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1D7" w:rsidRPr="002511D7" w:rsidRDefault="002511D7" w:rsidP="00CF0B65">
      <w:pPr>
        <w:pStyle w:val="BodyText"/>
        <w:rPr>
          <w:b/>
          <w:u w:val="single"/>
        </w:rPr>
      </w:pPr>
      <w:r w:rsidRPr="002511D7">
        <w:rPr>
          <w:b/>
          <w:u w:val="single"/>
        </w:rPr>
        <w:t>EMBARGO: NOT FOR BROADCAST OR PUBLICATION BEFORE 11.30AM TODAY</w:t>
      </w:r>
    </w:p>
    <w:p w:rsidR="00CF0B65" w:rsidRDefault="00CF0B65" w:rsidP="00CF0B65">
      <w:pPr>
        <w:pStyle w:val="BodyText"/>
        <w:rPr>
          <w:b/>
        </w:rPr>
      </w:pPr>
      <w:r>
        <w:rPr>
          <w:b/>
        </w:rPr>
        <w:t>31 August 2012</w:t>
      </w:r>
      <w:r w:rsidR="002511D7">
        <w:rPr>
          <w:b/>
        </w:rPr>
        <w:tab/>
      </w:r>
    </w:p>
    <w:p w:rsidR="00CF0B65" w:rsidRDefault="00CF0B65" w:rsidP="00CF0B65">
      <w:pPr>
        <w:pStyle w:val="BodyText"/>
        <w:jc w:val="center"/>
        <w:rPr>
          <w:b/>
        </w:rPr>
      </w:pPr>
      <w:r>
        <w:rPr>
          <w:b/>
        </w:rPr>
        <w:t xml:space="preserve">Good operating performance overtaken by asset </w:t>
      </w:r>
      <w:proofErr w:type="spellStart"/>
      <w:r>
        <w:rPr>
          <w:b/>
        </w:rPr>
        <w:t>writedowns</w:t>
      </w:r>
      <w:proofErr w:type="spellEnd"/>
    </w:p>
    <w:p w:rsidR="00CF0B65" w:rsidRDefault="00CF0B65" w:rsidP="00CF0B65">
      <w:pPr>
        <w:pStyle w:val="BodyText"/>
      </w:pPr>
    </w:p>
    <w:p w:rsidR="00CF0B65" w:rsidRDefault="00CF0B65" w:rsidP="00CF0B65">
      <w:pPr>
        <w:pStyle w:val="BodyText"/>
      </w:pPr>
      <w:r>
        <w:t xml:space="preserve">Solid Energy’s underlying earnings of $99.7 million (2011: $86.2 million) for the year ended 30 June 2012 is good in a deteriorating market, says Solid Energy Chairman, John Palmer. However, the company’s decision to impair a number of </w:t>
      </w:r>
      <w:r w:rsidR="00D32C8C">
        <w:t>assets</w:t>
      </w:r>
      <w:r>
        <w:t xml:space="preserve"> has resulted in a loss of $40.2 million (2011: profit of $87.2 million).  Total asset impairments, net of tax, of $110.6 million have been booked as at 30 June 2012. </w:t>
      </w:r>
    </w:p>
    <w:p w:rsidR="00CF0B65" w:rsidRDefault="00CF0B65" w:rsidP="00CF0B65">
      <w:pPr>
        <w:pStyle w:val="BodyText"/>
      </w:pPr>
    </w:p>
    <w:p w:rsidR="00CF0B65" w:rsidRDefault="00CF0B65" w:rsidP="00CF0B65">
      <w:pPr>
        <w:pStyle w:val="BodyText"/>
      </w:pPr>
      <w:r>
        <w:t xml:space="preserve">Earlier this week, Solid Energy announced that it plans to reduce underground coal mining operations and exit renewable fuel production. The company plans to wind back operations at </w:t>
      </w:r>
      <w:proofErr w:type="spellStart"/>
      <w:r>
        <w:t>Huntly</w:t>
      </w:r>
      <w:proofErr w:type="spellEnd"/>
      <w:r>
        <w:t xml:space="preserve"> East Underground Mine and is reviewing the future of Spring Creek Underground Mine. The Nature’s Flame wood pellet business has been set up as a standalone operation and the biodiesel business will be divested.  As a result, Solid Energy is taking the opportunity to write down these and other assets. </w:t>
      </w:r>
    </w:p>
    <w:p w:rsidR="00CF0B65" w:rsidRDefault="00CF0B65" w:rsidP="00CF0B65">
      <w:pPr>
        <w:pStyle w:val="BodyText"/>
      </w:pPr>
    </w:p>
    <w:p w:rsidR="00CF0B65" w:rsidRDefault="00CF0B65" w:rsidP="00CF0B65">
      <w:pPr>
        <w:pStyle w:val="BodyText"/>
      </w:pPr>
      <w:r>
        <w:t xml:space="preserve">“This result and the changes we are proposing to preserve the long-term value of the business clearly reflect the impact of the global economic downturn and the impact of worldwide commodity markets on the business,” says John Palmer.  “Our underground mines have struggled for some time to be profitable as costs have escalated, while at the same time export coal prices have weakened substantially. The current carrying values of these mines cannot be justified based on projected earnings and have therefore been written down.  </w:t>
      </w:r>
    </w:p>
    <w:p w:rsidR="00CF0B65" w:rsidRDefault="00CF0B65" w:rsidP="00CF0B65">
      <w:pPr>
        <w:pStyle w:val="BodyText"/>
      </w:pPr>
    </w:p>
    <w:p w:rsidR="00CF0B65" w:rsidRDefault="00CF0B65" w:rsidP="00CF0B65">
      <w:pPr>
        <w:pStyle w:val="BodyText"/>
        <w:spacing w:after="180"/>
      </w:pPr>
      <w:r>
        <w:t>“In recent years the company has made a significant investment developing renewable energy businesses.  The harsh reality is that other fuels are far more competitive in the current financial environment.  We took a long-run view of these businesses which relied on a sustained price premium which has largely failed to materialise.</w:t>
      </w:r>
      <w:r w:rsidR="00D32C8C">
        <w:t>”</w:t>
      </w:r>
      <w:r>
        <w:t xml:space="preserve">  </w:t>
      </w:r>
    </w:p>
    <w:p w:rsidR="00CF0B65" w:rsidRDefault="00CF0B65" w:rsidP="00CF0B65">
      <w:pPr>
        <w:pStyle w:val="BodyText"/>
      </w:pPr>
      <w:r>
        <w:t xml:space="preserve">Revenue of $978.4 million was up 18% on the previous year (2011: $828.7 million), the second-highest annual revenue (2009: $979.5 million).  Coal sales were up 13% to 4.6 Million tonnes (Mt) (2011: 4.1 Mt) boosted by product stockpiled due to shipping delays at the Port of </w:t>
      </w:r>
      <w:proofErr w:type="spellStart"/>
      <w:r>
        <w:t>Lyttelton</w:t>
      </w:r>
      <w:proofErr w:type="spellEnd"/>
      <w:r>
        <w:t xml:space="preserve"> following the Canterbury earthquakes in June 2011.  Coal exports of 2.4 Mt were up 20% on the previous year (2011: 2.0 Mt) with New Zealand coal sales up 6% at 2.2 Mt (2011: 2.1 Mt).  Prices </w:t>
      </w:r>
      <w:proofErr w:type="gramStart"/>
      <w:r>
        <w:t>ranged  from</w:t>
      </w:r>
      <w:proofErr w:type="gramEnd"/>
      <w:r>
        <w:t xml:space="preserve"> a high of US$300/tonne for hard coking coal at the start of the financial year, to a low of US$206/tonne, then up to US$225 at year end.  The average US dollar price received in the first half of the year was up 31% on the prior year, but softened to up 9% overall for the full year.  Average New Zealand dollars prices were up 6% for the full year.”</w:t>
      </w:r>
    </w:p>
    <w:p w:rsidR="00CF0B65" w:rsidRDefault="00CF0B65" w:rsidP="00CF0B65">
      <w:pPr>
        <w:pStyle w:val="BodyText"/>
        <w:spacing w:after="180"/>
      </w:pPr>
    </w:p>
    <w:p w:rsidR="00CF0B65" w:rsidRDefault="00CF0B65" w:rsidP="00CF0B65">
      <w:pPr>
        <w:pStyle w:val="BodyText"/>
      </w:pPr>
      <w:r w:rsidRPr="00FF172A">
        <w:lastRenderedPageBreak/>
        <w:t>The company paid a dividend of $</w:t>
      </w:r>
      <w:r>
        <w:t>30 million on 30 September 2011</w:t>
      </w:r>
      <w:r w:rsidRPr="00C05D79">
        <w:t xml:space="preserve">.  Mr Palmer says that given the volatility and </w:t>
      </w:r>
      <w:r>
        <w:t>continued weakness</w:t>
      </w:r>
      <w:r w:rsidRPr="00C05D79">
        <w:t xml:space="preserve"> of international coal markets, the company has not declared a further dividend</w:t>
      </w:r>
      <w:r>
        <w:t xml:space="preserve"> for the year. </w:t>
      </w:r>
    </w:p>
    <w:p w:rsidR="00CF0B65" w:rsidRDefault="00CF0B65" w:rsidP="00CF0B65">
      <w:pPr>
        <w:pStyle w:val="BodyText"/>
      </w:pPr>
    </w:p>
    <w:p w:rsidR="00CF0B65" w:rsidRPr="00D32C8C" w:rsidRDefault="00CF0B65" w:rsidP="00D32C8C">
      <w:pPr>
        <w:pStyle w:val="BodyText"/>
        <w:spacing w:after="180"/>
      </w:pPr>
      <w:r w:rsidRPr="00AC3BC0">
        <w:t>During the year</w:t>
      </w:r>
      <w:r>
        <w:t>,</w:t>
      </w:r>
      <w:r w:rsidRPr="00AC3BC0">
        <w:t xml:space="preserve"> </w:t>
      </w:r>
      <w:r>
        <w:t>Solid Energy</w:t>
      </w:r>
      <w:r w:rsidRPr="00AC3BC0">
        <w:t xml:space="preserve"> met a number of key milestones in delivering its long-term growth strategy</w:t>
      </w:r>
      <w:r>
        <w:t>.</w:t>
      </w:r>
      <w:r w:rsidRPr="00AC3BC0">
        <w:t xml:space="preserve"> The $22 million underground coal gasification pilot plant started producing syngas in April 2012 and the $29 million </w:t>
      </w:r>
      <w:proofErr w:type="spellStart"/>
      <w:r w:rsidRPr="00AC3BC0">
        <w:t>Mataura</w:t>
      </w:r>
      <w:proofErr w:type="spellEnd"/>
      <w:r w:rsidRPr="00AC3BC0">
        <w:t xml:space="preserve"> domestic-scale briquette plant is about to start production.  In May 2012, </w:t>
      </w:r>
      <w:r>
        <w:t xml:space="preserve">the company proved coal seam gas technology at its </w:t>
      </w:r>
      <w:proofErr w:type="spellStart"/>
      <w:r w:rsidRPr="00AC3BC0">
        <w:t>Huntly</w:t>
      </w:r>
      <w:proofErr w:type="spellEnd"/>
      <w:r w:rsidRPr="00AC3BC0">
        <w:t xml:space="preserve"> demonstration </w:t>
      </w:r>
      <w:r>
        <w:t xml:space="preserve">plant, </w:t>
      </w:r>
      <w:r w:rsidRPr="00AC3BC0">
        <w:t>produc</w:t>
      </w:r>
      <w:r>
        <w:t>ing</w:t>
      </w:r>
      <w:r w:rsidRPr="00AC3BC0">
        <w:t xml:space="preserve"> </w:t>
      </w:r>
      <w:r>
        <w:t xml:space="preserve">high-quality gas, converted to electricity on site </w:t>
      </w:r>
      <w:r w:rsidRPr="00AC3BC0">
        <w:t>and exported into the national grid</w:t>
      </w:r>
      <w:r>
        <w:t xml:space="preserve">. The company is closing down the plant to focus its commercialisation efforts on the significantly larger </w:t>
      </w:r>
      <w:proofErr w:type="spellStart"/>
      <w:r>
        <w:t>Taranaki</w:t>
      </w:r>
      <w:proofErr w:type="spellEnd"/>
      <w:r>
        <w:t xml:space="preserve"> field.</w:t>
      </w:r>
      <w:r w:rsidDel="006D0C9B">
        <w:t xml:space="preserve"> </w:t>
      </w:r>
    </w:p>
    <w:p w:rsidR="00CF0B65" w:rsidRPr="00BA6B80" w:rsidRDefault="00CF0B65" w:rsidP="00CF0B65">
      <w:pPr>
        <w:pStyle w:val="BodyText"/>
        <w:rPr>
          <w:b/>
        </w:rPr>
      </w:pPr>
      <w:r w:rsidRPr="00BA6B80">
        <w:rPr>
          <w:b/>
        </w:rPr>
        <w:t>Outlook</w:t>
      </w:r>
    </w:p>
    <w:p w:rsidR="00CF0B65" w:rsidRDefault="00CF0B65" w:rsidP="00CF0B65">
      <w:pPr>
        <w:pStyle w:val="BodyText"/>
      </w:pPr>
      <w:r w:rsidRPr="00BA6B80">
        <w:t>John Palmer concludes: “Solid Energy’s financial situation for the next period will continue to be challenging</w:t>
      </w:r>
      <w:r>
        <w:t xml:space="preserve"> and is worse than during the 2008 global financial crisis.</w:t>
      </w:r>
      <w:r w:rsidRPr="00BA6B80">
        <w:t xml:space="preserve"> </w:t>
      </w:r>
      <w:r>
        <w:t xml:space="preserve">In </w:t>
      </w:r>
      <w:r w:rsidRPr="00BA6B80">
        <w:t>2008</w:t>
      </w:r>
      <w:r>
        <w:t xml:space="preserve">-09 when US dollar export coal prices collapsed, the New Zealand dollar followed.  Coal </w:t>
      </w:r>
      <w:r w:rsidRPr="00BA6B80">
        <w:t>prices rebounded relatively quickly in the following year, w</w:t>
      </w:r>
      <w:r>
        <w:t>hereas this time, with a high New Zealand dollar, w</w:t>
      </w:r>
      <w:r w:rsidRPr="00BA6B80">
        <w:t xml:space="preserve">e expect </w:t>
      </w:r>
      <w:r>
        <w:t xml:space="preserve">prices to be weak for a </w:t>
      </w:r>
      <w:r w:rsidRPr="00BA6B80">
        <w:t>prolonged</w:t>
      </w:r>
      <w:r>
        <w:t xml:space="preserve"> period</w:t>
      </w:r>
      <w:r w:rsidRPr="00BA6B80">
        <w:t>.</w:t>
      </w:r>
      <w:r>
        <w:t xml:space="preserve"> </w:t>
      </w:r>
    </w:p>
    <w:p w:rsidR="00CF0B65" w:rsidRPr="00BA6B80" w:rsidRDefault="00CF0B65" w:rsidP="00CF0B65">
      <w:pPr>
        <w:pStyle w:val="BodyText"/>
      </w:pPr>
    </w:p>
    <w:p w:rsidR="00D32C8C" w:rsidRPr="00D32C8C" w:rsidRDefault="00CF0B65" w:rsidP="00D32C8C">
      <w:pPr>
        <w:pStyle w:val="BodyText"/>
        <w:spacing w:after="180"/>
      </w:pPr>
      <w:r w:rsidRPr="00BA6B80">
        <w:t>“In addition, the company</w:t>
      </w:r>
      <w:r>
        <w:t>’s investments over the last four years increased its debt by $250 million</w:t>
      </w:r>
      <w:proofErr w:type="gramStart"/>
      <w:r>
        <w:t>.</w:t>
      </w:r>
      <w:r w:rsidRPr="00BA6B80">
        <w:t>.</w:t>
      </w:r>
      <w:proofErr w:type="gramEnd"/>
      <w:r w:rsidRPr="00BA6B80">
        <w:t xml:space="preserve">  We are actively managing the business to minimise the impacts of a weak international coal market</w:t>
      </w:r>
      <w:r>
        <w:t xml:space="preserve"> and to maintain </w:t>
      </w:r>
      <w:r w:rsidRPr="00BA6B80">
        <w:t>performance</w:t>
      </w:r>
      <w:r>
        <w:t>.  Management’s focus is generating cash and reorganising the company to manage through this difficult period.  In t</w:t>
      </w:r>
      <w:r w:rsidRPr="00BA6B80">
        <w:t>he short-term international coal markets</w:t>
      </w:r>
      <w:r>
        <w:t xml:space="preserve"> will continue to be volatile</w:t>
      </w:r>
      <w:r w:rsidRPr="00BA6B80">
        <w:t>, but we remain confident in our long-term demand outlook which is strong and unchanged.”</w:t>
      </w:r>
    </w:p>
    <w:tbl>
      <w:tblPr>
        <w:tblStyle w:val="TableList4"/>
        <w:tblW w:w="4946" w:type="pct"/>
        <w:tblLook w:val="04A0" w:firstRow="1" w:lastRow="0" w:firstColumn="1" w:lastColumn="0" w:noHBand="0" w:noVBand="1"/>
      </w:tblPr>
      <w:tblGrid>
        <w:gridCol w:w="4361"/>
        <w:gridCol w:w="1983"/>
        <w:gridCol w:w="1704"/>
        <w:gridCol w:w="1700"/>
      </w:tblGrid>
      <w:tr w:rsidR="00D32C8C" w:rsidRPr="001A6C33" w:rsidTr="00AC0003">
        <w:trPr>
          <w:cnfStyle w:val="100000000000" w:firstRow="1" w:lastRow="0" w:firstColumn="0" w:lastColumn="0" w:oddVBand="0" w:evenVBand="0" w:oddHBand="0" w:evenHBand="0" w:firstRowFirstColumn="0" w:firstRowLastColumn="0" w:lastRowFirstColumn="0" w:lastRowLastColumn="0"/>
          <w:trHeight w:val="385"/>
        </w:trPr>
        <w:tc>
          <w:tcPr>
            <w:tcW w:w="2237" w:type="pct"/>
          </w:tcPr>
          <w:p w:rsidR="00D32C8C" w:rsidRDefault="00D32C8C" w:rsidP="00AC0003">
            <w:pPr>
              <w:pStyle w:val="BodyText"/>
              <w:spacing w:line="240" w:lineRule="auto"/>
              <w:rPr>
                <w:rFonts w:cs="Arial"/>
                <w:b w:val="0"/>
                <w:bCs w:val="0"/>
                <w:color w:val="FFFFFF" w:themeColor="background1"/>
                <w:szCs w:val="20"/>
              </w:rPr>
            </w:pPr>
          </w:p>
          <w:p w:rsidR="00D32C8C" w:rsidRPr="00266DD5" w:rsidRDefault="00D32C8C" w:rsidP="00AC0003">
            <w:pPr>
              <w:pStyle w:val="BodyText"/>
              <w:spacing w:line="240" w:lineRule="auto"/>
              <w:rPr>
                <w:rFonts w:cs="Arial"/>
                <w:b w:val="0"/>
                <w:bCs w:val="0"/>
                <w:color w:val="FFFFFF" w:themeColor="background1"/>
                <w:szCs w:val="20"/>
              </w:rPr>
            </w:pPr>
            <w:r w:rsidRPr="00266DD5">
              <w:rPr>
                <w:rFonts w:cs="Arial"/>
                <w:color w:val="FFFFFF" w:themeColor="background1"/>
                <w:szCs w:val="20"/>
              </w:rPr>
              <w:t>Year Ended 30 June</w:t>
            </w:r>
          </w:p>
        </w:tc>
        <w:tc>
          <w:tcPr>
            <w:tcW w:w="1017" w:type="pct"/>
          </w:tcPr>
          <w:p w:rsidR="00D32C8C" w:rsidRDefault="00D32C8C" w:rsidP="00AC0003">
            <w:pPr>
              <w:pStyle w:val="BodyText"/>
              <w:spacing w:after="0" w:line="240" w:lineRule="auto"/>
              <w:ind w:left="0" w:firstLine="0"/>
              <w:jc w:val="right"/>
              <w:rPr>
                <w:rFonts w:cs="Arial"/>
                <w:b w:val="0"/>
                <w:bCs w:val="0"/>
                <w:color w:val="FFFFFF" w:themeColor="background1"/>
                <w:szCs w:val="20"/>
              </w:rPr>
            </w:pPr>
            <w:r w:rsidRPr="00266DD5">
              <w:rPr>
                <w:rFonts w:cs="Arial"/>
                <w:color w:val="FFFFFF" w:themeColor="background1"/>
                <w:szCs w:val="20"/>
              </w:rPr>
              <w:t>NZ$M</w:t>
            </w:r>
          </w:p>
          <w:p w:rsidR="00D32C8C" w:rsidRPr="00266DD5" w:rsidRDefault="00D32C8C" w:rsidP="00AC0003">
            <w:pPr>
              <w:pStyle w:val="BodyText"/>
              <w:spacing w:after="0" w:line="240" w:lineRule="auto"/>
              <w:ind w:left="0" w:firstLine="0"/>
              <w:jc w:val="right"/>
              <w:rPr>
                <w:rFonts w:cs="Arial"/>
                <w:b w:val="0"/>
                <w:bCs w:val="0"/>
                <w:color w:val="FFFFFF" w:themeColor="background1"/>
                <w:szCs w:val="20"/>
              </w:rPr>
            </w:pPr>
            <w:r w:rsidRPr="00266DD5">
              <w:rPr>
                <w:rFonts w:cs="Arial"/>
                <w:color w:val="FFFFFF" w:themeColor="background1"/>
                <w:szCs w:val="20"/>
              </w:rPr>
              <w:t>2012</w:t>
            </w:r>
          </w:p>
        </w:tc>
        <w:tc>
          <w:tcPr>
            <w:tcW w:w="874" w:type="pct"/>
          </w:tcPr>
          <w:p w:rsidR="00D32C8C" w:rsidRDefault="00D32C8C" w:rsidP="00AC0003">
            <w:pPr>
              <w:pStyle w:val="BodyText"/>
              <w:spacing w:after="0" w:line="240" w:lineRule="auto"/>
              <w:ind w:left="0" w:firstLine="0"/>
              <w:jc w:val="right"/>
              <w:rPr>
                <w:rFonts w:cs="Arial"/>
                <w:b w:val="0"/>
                <w:bCs w:val="0"/>
                <w:color w:val="FFFFFF" w:themeColor="background1"/>
                <w:szCs w:val="20"/>
              </w:rPr>
            </w:pPr>
            <w:r w:rsidRPr="00266DD5">
              <w:rPr>
                <w:rFonts w:cs="Arial"/>
                <w:color w:val="FFFFFF" w:themeColor="background1"/>
                <w:szCs w:val="20"/>
              </w:rPr>
              <w:t>NZ$M</w:t>
            </w:r>
          </w:p>
          <w:p w:rsidR="00D32C8C" w:rsidRPr="00266DD5" w:rsidRDefault="00D32C8C" w:rsidP="00AC0003">
            <w:pPr>
              <w:pStyle w:val="BodyText"/>
              <w:spacing w:after="0" w:line="240" w:lineRule="auto"/>
              <w:ind w:left="0" w:firstLine="0"/>
              <w:jc w:val="right"/>
              <w:rPr>
                <w:rFonts w:cs="Arial"/>
                <w:b w:val="0"/>
                <w:bCs w:val="0"/>
                <w:color w:val="FFFFFF" w:themeColor="background1"/>
                <w:szCs w:val="20"/>
              </w:rPr>
            </w:pPr>
            <w:r w:rsidRPr="00266DD5">
              <w:rPr>
                <w:rFonts w:cs="Arial"/>
                <w:color w:val="FFFFFF" w:themeColor="background1"/>
                <w:szCs w:val="20"/>
              </w:rPr>
              <w:t>2011</w:t>
            </w:r>
          </w:p>
        </w:tc>
        <w:tc>
          <w:tcPr>
            <w:tcW w:w="872" w:type="pct"/>
          </w:tcPr>
          <w:p w:rsidR="00D32C8C" w:rsidRDefault="00D32C8C" w:rsidP="00AC0003">
            <w:pPr>
              <w:pStyle w:val="BodyText"/>
              <w:spacing w:after="0" w:line="240" w:lineRule="auto"/>
              <w:ind w:left="0" w:firstLine="0"/>
              <w:jc w:val="right"/>
              <w:rPr>
                <w:rFonts w:cs="Arial"/>
                <w:b w:val="0"/>
                <w:bCs w:val="0"/>
                <w:color w:val="FFFFFF" w:themeColor="background1"/>
                <w:szCs w:val="20"/>
              </w:rPr>
            </w:pPr>
          </w:p>
          <w:p w:rsidR="00D32C8C" w:rsidRPr="00266DD5" w:rsidRDefault="00D32C8C" w:rsidP="00AC0003">
            <w:pPr>
              <w:pStyle w:val="BodyText"/>
              <w:spacing w:after="0" w:line="240" w:lineRule="auto"/>
              <w:ind w:left="0" w:firstLine="0"/>
              <w:jc w:val="right"/>
              <w:rPr>
                <w:rFonts w:cs="Arial"/>
                <w:b w:val="0"/>
                <w:bCs w:val="0"/>
                <w:color w:val="FFFFFF" w:themeColor="background1"/>
                <w:szCs w:val="20"/>
              </w:rPr>
            </w:pPr>
            <w:r w:rsidRPr="00266DD5">
              <w:rPr>
                <w:rFonts w:cs="Arial"/>
                <w:color w:val="FFFFFF" w:themeColor="background1"/>
                <w:szCs w:val="20"/>
              </w:rPr>
              <w:t xml:space="preserve">Change </w:t>
            </w:r>
          </w:p>
        </w:tc>
      </w:tr>
      <w:tr w:rsidR="00D32C8C" w:rsidRPr="001A6C33" w:rsidTr="00AC0003">
        <w:tc>
          <w:tcPr>
            <w:tcW w:w="2237" w:type="pct"/>
          </w:tcPr>
          <w:p w:rsidR="00D32C8C" w:rsidRPr="00266DD5" w:rsidRDefault="00D32C8C" w:rsidP="00AC0003">
            <w:pPr>
              <w:pStyle w:val="BodyText"/>
              <w:spacing w:after="0"/>
              <w:ind w:left="0" w:firstLine="0"/>
              <w:rPr>
                <w:rFonts w:cs="Arial"/>
                <w:szCs w:val="20"/>
              </w:rPr>
            </w:pPr>
            <w:r w:rsidRPr="00266DD5">
              <w:rPr>
                <w:rFonts w:cs="Arial"/>
                <w:szCs w:val="20"/>
              </w:rPr>
              <w:t>Revenue</w:t>
            </w:r>
          </w:p>
        </w:tc>
        <w:tc>
          <w:tcPr>
            <w:tcW w:w="1017" w:type="pct"/>
            <w:vAlign w:val="center"/>
          </w:tcPr>
          <w:p w:rsidR="00D32C8C" w:rsidRPr="00266DD5" w:rsidRDefault="00D32C8C" w:rsidP="00AC0003">
            <w:pPr>
              <w:ind w:firstLineChars="200" w:firstLine="400"/>
              <w:jc w:val="right"/>
              <w:rPr>
                <w:rFonts w:cs="Arial"/>
                <w:color w:val="000000"/>
                <w:szCs w:val="20"/>
              </w:rPr>
            </w:pPr>
            <w:r w:rsidRPr="00266DD5">
              <w:rPr>
                <w:rFonts w:cs="Arial"/>
                <w:color w:val="000000"/>
                <w:szCs w:val="20"/>
              </w:rPr>
              <w:t>978.4</w:t>
            </w:r>
          </w:p>
        </w:tc>
        <w:tc>
          <w:tcPr>
            <w:tcW w:w="874" w:type="pct"/>
            <w:vAlign w:val="center"/>
          </w:tcPr>
          <w:p w:rsidR="00D32C8C" w:rsidRPr="00266DD5" w:rsidRDefault="00D32C8C" w:rsidP="00AC0003">
            <w:pPr>
              <w:ind w:firstLineChars="200" w:firstLine="400"/>
              <w:jc w:val="right"/>
              <w:rPr>
                <w:rFonts w:cs="Arial"/>
                <w:color w:val="000000"/>
                <w:szCs w:val="20"/>
              </w:rPr>
            </w:pPr>
            <w:r w:rsidRPr="00266DD5">
              <w:rPr>
                <w:rFonts w:cs="Arial"/>
                <w:color w:val="000000"/>
                <w:szCs w:val="20"/>
              </w:rPr>
              <w:t>828.7</w:t>
            </w:r>
          </w:p>
        </w:tc>
        <w:tc>
          <w:tcPr>
            <w:tcW w:w="872" w:type="pct"/>
          </w:tcPr>
          <w:p w:rsidR="00D32C8C" w:rsidRPr="00266DD5" w:rsidRDefault="00D32C8C" w:rsidP="00AC0003">
            <w:pPr>
              <w:jc w:val="right"/>
              <w:rPr>
                <w:szCs w:val="20"/>
              </w:rPr>
            </w:pPr>
            <w:r w:rsidRPr="00266DD5">
              <w:rPr>
                <w:szCs w:val="20"/>
              </w:rPr>
              <w:t>+18%</w:t>
            </w:r>
          </w:p>
        </w:tc>
      </w:tr>
      <w:tr w:rsidR="00D32C8C" w:rsidRPr="001A6C33" w:rsidTr="00AC0003">
        <w:tc>
          <w:tcPr>
            <w:tcW w:w="2237" w:type="pct"/>
          </w:tcPr>
          <w:p w:rsidR="00D32C8C" w:rsidRPr="00266DD5" w:rsidRDefault="00D32C8C" w:rsidP="00AC0003">
            <w:pPr>
              <w:pStyle w:val="BodyText"/>
              <w:spacing w:after="0"/>
              <w:ind w:left="0" w:firstLine="0"/>
              <w:rPr>
                <w:rFonts w:cs="Arial"/>
                <w:szCs w:val="20"/>
              </w:rPr>
            </w:pPr>
            <w:r w:rsidRPr="00266DD5">
              <w:rPr>
                <w:rFonts w:cs="Arial"/>
                <w:szCs w:val="20"/>
              </w:rPr>
              <w:t xml:space="preserve">EBITDA </w:t>
            </w:r>
            <w:r w:rsidRPr="001A6C33">
              <w:rPr>
                <w:szCs w:val="20"/>
                <w:vertAlign w:val="superscript"/>
              </w:rPr>
              <w:t>[</w:t>
            </w:r>
            <w:r w:rsidRPr="00F70A17">
              <w:rPr>
                <w:szCs w:val="20"/>
                <w:vertAlign w:val="superscript"/>
              </w:rPr>
              <w:t>1]</w:t>
            </w:r>
          </w:p>
        </w:tc>
        <w:tc>
          <w:tcPr>
            <w:tcW w:w="1017" w:type="pct"/>
            <w:vAlign w:val="center"/>
          </w:tcPr>
          <w:p w:rsidR="00D32C8C" w:rsidRPr="00C14786" w:rsidRDefault="00D32C8C" w:rsidP="00AC0003">
            <w:pPr>
              <w:ind w:firstLineChars="200" w:firstLine="400"/>
              <w:jc w:val="right"/>
              <w:rPr>
                <w:rFonts w:cs="Arial"/>
                <w:color w:val="000000"/>
                <w:szCs w:val="20"/>
              </w:rPr>
            </w:pPr>
            <w:r>
              <w:rPr>
                <w:rFonts w:cs="Arial"/>
                <w:color w:val="000000"/>
                <w:szCs w:val="20"/>
              </w:rPr>
              <w:t>44.9</w:t>
            </w:r>
          </w:p>
        </w:tc>
        <w:tc>
          <w:tcPr>
            <w:tcW w:w="874" w:type="pct"/>
            <w:vAlign w:val="center"/>
          </w:tcPr>
          <w:p w:rsidR="00D32C8C" w:rsidRPr="00C14786" w:rsidRDefault="00D32C8C" w:rsidP="00AC0003">
            <w:pPr>
              <w:ind w:firstLineChars="200" w:firstLine="400"/>
              <w:jc w:val="right"/>
              <w:rPr>
                <w:rFonts w:cs="Arial"/>
                <w:color w:val="000000"/>
                <w:szCs w:val="20"/>
              </w:rPr>
            </w:pPr>
            <w:r w:rsidRPr="00C14786">
              <w:rPr>
                <w:rFonts w:cs="Arial"/>
                <w:color w:val="000000"/>
                <w:szCs w:val="20"/>
              </w:rPr>
              <w:t>200.8</w:t>
            </w:r>
          </w:p>
        </w:tc>
        <w:tc>
          <w:tcPr>
            <w:tcW w:w="872" w:type="pct"/>
          </w:tcPr>
          <w:p w:rsidR="00D32C8C" w:rsidRPr="00C14786" w:rsidRDefault="00D32C8C" w:rsidP="00AC0003">
            <w:pPr>
              <w:jc w:val="right"/>
              <w:rPr>
                <w:szCs w:val="20"/>
              </w:rPr>
            </w:pPr>
            <w:r w:rsidRPr="00C14786">
              <w:rPr>
                <w:szCs w:val="20"/>
              </w:rPr>
              <w:t>-</w:t>
            </w:r>
            <w:r>
              <w:rPr>
                <w:szCs w:val="20"/>
              </w:rPr>
              <w:t>78</w:t>
            </w:r>
            <w:r w:rsidRPr="00C14786">
              <w:rPr>
                <w:szCs w:val="20"/>
              </w:rPr>
              <w:t>%</w:t>
            </w:r>
          </w:p>
        </w:tc>
      </w:tr>
      <w:tr w:rsidR="00D32C8C" w:rsidRPr="001A6C33" w:rsidTr="00AC0003">
        <w:tc>
          <w:tcPr>
            <w:tcW w:w="2237" w:type="pct"/>
          </w:tcPr>
          <w:p w:rsidR="00D32C8C" w:rsidRPr="00266DD5" w:rsidRDefault="00D32C8C" w:rsidP="00AC0003">
            <w:pPr>
              <w:pStyle w:val="BodyText"/>
              <w:spacing w:after="0"/>
              <w:ind w:left="0" w:firstLine="0"/>
              <w:rPr>
                <w:rFonts w:cs="Arial"/>
                <w:szCs w:val="20"/>
              </w:rPr>
            </w:pPr>
            <w:r w:rsidRPr="00266DD5">
              <w:rPr>
                <w:rFonts w:cs="Arial"/>
                <w:szCs w:val="20"/>
              </w:rPr>
              <w:t xml:space="preserve">EBIT </w:t>
            </w:r>
            <w:r w:rsidRPr="001A6C33">
              <w:rPr>
                <w:szCs w:val="20"/>
                <w:vertAlign w:val="superscript"/>
              </w:rPr>
              <w:t>[</w:t>
            </w:r>
            <w:r w:rsidRPr="00F70A17">
              <w:rPr>
                <w:szCs w:val="20"/>
                <w:vertAlign w:val="superscript"/>
              </w:rPr>
              <w:t>2]</w:t>
            </w:r>
          </w:p>
        </w:tc>
        <w:tc>
          <w:tcPr>
            <w:tcW w:w="1017" w:type="pct"/>
            <w:vAlign w:val="center"/>
          </w:tcPr>
          <w:p w:rsidR="00D32C8C" w:rsidRPr="00C14786" w:rsidRDefault="00D32C8C" w:rsidP="00AC0003">
            <w:pPr>
              <w:ind w:firstLineChars="200" w:firstLine="400"/>
              <w:jc w:val="right"/>
              <w:rPr>
                <w:rFonts w:cs="Arial"/>
                <w:color w:val="000000"/>
                <w:szCs w:val="20"/>
              </w:rPr>
            </w:pPr>
            <w:r w:rsidRPr="00C14786">
              <w:rPr>
                <w:rFonts w:cs="Arial"/>
                <w:color w:val="000000"/>
                <w:szCs w:val="20"/>
              </w:rPr>
              <w:t>(</w:t>
            </w:r>
            <w:r>
              <w:rPr>
                <w:rFonts w:cs="Arial"/>
                <w:color w:val="000000"/>
                <w:szCs w:val="20"/>
              </w:rPr>
              <w:t>27.7</w:t>
            </w:r>
            <w:r w:rsidRPr="00C14786">
              <w:rPr>
                <w:rFonts w:cs="Arial"/>
                <w:color w:val="000000"/>
                <w:szCs w:val="20"/>
              </w:rPr>
              <w:t>)</w:t>
            </w:r>
          </w:p>
        </w:tc>
        <w:tc>
          <w:tcPr>
            <w:tcW w:w="874" w:type="pct"/>
            <w:vAlign w:val="center"/>
          </w:tcPr>
          <w:p w:rsidR="00D32C8C" w:rsidRPr="00C14786" w:rsidRDefault="00D32C8C" w:rsidP="00AC0003">
            <w:pPr>
              <w:ind w:firstLineChars="200" w:firstLine="400"/>
              <w:jc w:val="right"/>
              <w:rPr>
                <w:rFonts w:cs="Arial"/>
                <w:color w:val="000000"/>
                <w:szCs w:val="20"/>
              </w:rPr>
            </w:pPr>
            <w:r w:rsidRPr="00C14786">
              <w:rPr>
                <w:rFonts w:cs="Arial"/>
                <w:color w:val="000000"/>
                <w:szCs w:val="20"/>
              </w:rPr>
              <w:t>137.2</w:t>
            </w:r>
          </w:p>
        </w:tc>
        <w:tc>
          <w:tcPr>
            <w:tcW w:w="872" w:type="pct"/>
          </w:tcPr>
          <w:p w:rsidR="00D32C8C" w:rsidRPr="00C14786" w:rsidRDefault="00D32C8C" w:rsidP="00AC0003">
            <w:pPr>
              <w:jc w:val="right"/>
              <w:rPr>
                <w:szCs w:val="20"/>
              </w:rPr>
            </w:pPr>
            <w:r w:rsidRPr="00C14786">
              <w:rPr>
                <w:szCs w:val="20"/>
              </w:rPr>
              <w:t>-</w:t>
            </w:r>
            <w:r>
              <w:rPr>
                <w:szCs w:val="20"/>
              </w:rPr>
              <w:t>120</w:t>
            </w:r>
            <w:r w:rsidRPr="00C14786">
              <w:rPr>
                <w:szCs w:val="20"/>
              </w:rPr>
              <w:t>%</w:t>
            </w:r>
          </w:p>
        </w:tc>
      </w:tr>
      <w:tr w:rsidR="00D32C8C" w:rsidRPr="001A6C33" w:rsidTr="00AC0003">
        <w:tc>
          <w:tcPr>
            <w:tcW w:w="2237" w:type="pct"/>
          </w:tcPr>
          <w:p w:rsidR="00D32C8C" w:rsidRPr="00266DD5" w:rsidRDefault="00D32C8C" w:rsidP="00AC0003">
            <w:pPr>
              <w:pStyle w:val="BodyText"/>
              <w:spacing w:after="0"/>
              <w:ind w:left="0" w:firstLine="0"/>
              <w:rPr>
                <w:rFonts w:cs="Arial"/>
                <w:szCs w:val="20"/>
              </w:rPr>
            </w:pPr>
            <w:r w:rsidRPr="00266DD5">
              <w:rPr>
                <w:rFonts w:cs="Arial"/>
                <w:szCs w:val="20"/>
              </w:rPr>
              <w:t>Net Profit after Tax</w:t>
            </w:r>
          </w:p>
        </w:tc>
        <w:tc>
          <w:tcPr>
            <w:tcW w:w="1017" w:type="pct"/>
            <w:vAlign w:val="center"/>
          </w:tcPr>
          <w:p w:rsidR="00D32C8C" w:rsidRPr="00C14786" w:rsidRDefault="00D32C8C" w:rsidP="00AC0003">
            <w:pPr>
              <w:ind w:firstLineChars="200" w:firstLine="400"/>
              <w:jc w:val="right"/>
              <w:rPr>
                <w:rFonts w:cs="Arial"/>
                <w:color w:val="000000"/>
                <w:szCs w:val="20"/>
              </w:rPr>
            </w:pPr>
            <w:r w:rsidRPr="00C14786">
              <w:rPr>
                <w:rFonts w:cs="Arial"/>
                <w:color w:val="000000"/>
                <w:szCs w:val="20"/>
              </w:rPr>
              <w:t>(</w:t>
            </w:r>
            <w:r>
              <w:rPr>
                <w:rFonts w:cs="Arial"/>
                <w:color w:val="000000"/>
                <w:szCs w:val="20"/>
              </w:rPr>
              <w:t>40.2</w:t>
            </w:r>
            <w:r w:rsidRPr="00C14786">
              <w:rPr>
                <w:rFonts w:cs="Arial"/>
                <w:color w:val="000000"/>
                <w:szCs w:val="20"/>
              </w:rPr>
              <w:t>)</w:t>
            </w:r>
          </w:p>
        </w:tc>
        <w:tc>
          <w:tcPr>
            <w:tcW w:w="874" w:type="pct"/>
            <w:vAlign w:val="center"/>
          </w:tcPr>
          <w:p w:rsidR="00D32C8C" w:rsidRPr="00C14786" w:rsidRDefault="00D32C8C" w:rsidP="00AC0003">
            <w:pPr>
              <w:ind w:firstLineChars="200" w:firstLine="400"/>
              <w:jc w:val="right"/>
              <w:rPr>
                <w:rFonts w:cs="Arial"/>
                <w:color w:val="000000"/>
                <w:szCs w:val="20"/>
              </w:rPr>
            </w:pPr>
            <w:r w:rsidRPr="00C14786">
              <w:rPr>
                <w:rFonts w:cs="Arial"/>
                <w:color w:val="000000"/>
                <w:szCs w:val="20"/>
              </w:rPr>
              <w:t>87.2</w:t>
            </w:r>
          </w:p>
        </w:tc>
        <w:tc>
          <w:tcPr>
            <w:tcW w:w="872" w:type="pct"/>
          </w:tcPr>
          <w:p w:rsidR="00D32C8C" w:rsidRPr="00C14786" w:rsidRDefault="00D32C8C" w:rsidP="00AC0003">
            <w:pPr>
              <w:jc w:val="right"/>
              <w:rPr>
                <w:szCs w:val="20"/>
              </w:rPr>
            </w:pPr>
            <w:r w:rsidRPr="00C14786">
              <w:rPr>
                <w:szCs w:val="20"/>
              </w:rPr>
              <w:t>-</w:t>
            </w:r>
            <w:r>
              <w:rPr>
                <w:szCs w:val="20"/>
              </w:rPr>
              <w:t>146</w:t>
            </w:r>
            <w:r w:rsidRPr="00C14786">
              <w:rPr>
                <w:szCs w:val="20"/>
              </w:rPr>
              <w:t>%</w:t>
            </w:r>
          </w:p>
        </w:tc>
      </w:tr>
      <w:tr w:rsidR="00D32C8C" w:rsidRPr="001A6C33" w:rsidTr="00AC0003">
        <w:tc>
          <w:tcPr>
            <w:tcW w:w="2237" w:type="pct"/>
          </w:tcPr>
          <w:p w:rsidR="00D32C8C" w:rsidRPr="00266DD5" w:rsidRDefault="00D32C8C" w:rsidP="00AC0003">
            <w:pPr>
              <w:pStyle w:val="BodyText"/>
              <w:spacing w:line="240" w:lineRule="auto"/>
              <w:jc w:val="left"/>
              <w:rPr>
                <w:rFonts w:cs="Arial"/>
                <w:szCs w:val="20"/>
              </w:rPr>
            </w:pPr>
            <w:r w:rsidRPr="00266DD5">
              <w:rPr>
                <w:rFonts w:cs="Arial"/>
                <w:szCs w:val="20"/>
              </w:rPr>
              <w:t>Total Underlying Earnings adjustments</w:t>
            </w:r>
            <w:r w:rsidRPr="00266DD5">
              <w:rPr>
                <w:rFonts w:cs="Arial"/>
                <w:szCs w:val="20"/>
              </w:rPr>
              <w:br/>
              <w:t>(net of tax)</w:t>
            </w:r>
          </w:p>
        </w:tc>
        <w:tc>
          <w:tcPr>
            <w:tcW w:w="1017" w:type="pct"/>
            <w:vAlign w:val="center"/>
          </w:tcPr>
          <w:p w:rsidR="00D32C8C" w:rsidRPr="00266DD5" w:rsidRDefault="00D32C8C" w:rsidP="00AC0003">
            <w:pPr>
              <w:ind w:firstLineChars="200" w:firstLine="400"/>
              <w:jc w:val="right"/>
              <w:rPr>
                <w:rFonts w:cs="Arial"/>
                <w:color w:val="000000"/>
                <w:szCs w:val="20"/>
              </w:rPr>
            </w:pPr>
            <w:r>
              <w:rPr>
                <w:rFonts w:cs="Arial"/>
                <w:color w:val="000000"/>
                <w:szCs w:val="20"/>
              </w:rPr>
              <w:t>139.9</w:t>
            </w:r>
          </w:p>
        </w:tc>
        <w:tc>
          <w:tcPr>
            <w:tcW w:w="874" w:type="pct"/>
            <w:vAlign w:val="center"/>
          </w:tcPr>
          <w:p w:rsidR="00D32C8C" w:rsidRPr="00266DD5" w:rsidRDefault="00D32C8C" w:rsidP="00AC0003">
            <w:pPr>
              <w:ind w:firstLineChars="200" w:firstLine="400"/>
              <w:jc w:val="right"/>
              <w:rPr>
                <w:rFonts w:cs="Arial"/>
                <w:color w:val="000000"/>
                <w:szCs w:val="20"/>
              </w:rPr>
            </w:pPr>
            <w:r w:rsidRPr="00266DD5">
              <w:rPr>
                <w:rFonts w:cs="Arial"/>
                <w:color w:val="000000"/>
                <w:szCs w:val="20"/>
              </w:rPr>
              <w:t>(1.0)</w:t>
            </w:r>
          </w:p>
        </w:tc>
        <w:tc>
          <w:tcPr>
            <w:tcW w:w="872" w:type="pct"/>
          </w:tcPr>
          <w:p w:rsidR="00D32C8C" w:rsidRPr="00266DD5" w:rsidRDefault="00D32C8C" w:rsidP="00AC0003">
            <w:pPr>
              <w:jc w:val="right"/>
              <w:rPr>
                <w:szCs w:val="20"/>
              </w:rPr>
            </w:pPr>
            <w:r w:rsidRPr="00266DD5">
              <w:rPr>
                <w:szCs w:val="20"/>
              </w:rPr>
              <w:t>-</w:t>
            </w:r>
          </w:p>
        </w:tc>
      </w:tr>
      <w:tr w:rsidR="00D32C8C" w:rsidRPr="001A6C33" w:rsidTr="00AC0003">
        <w:tc>
          <w:tcPr>
            <w:tcW w:w="2237" w:type="pct"/>
          </w:tcPr>
          <w:p w:rsidR="00D32C8C" w:rsidRPr="00266DD5" w:rsidRDefault="00D32C8C" w:rsidP="00AC0003">
            <w:pPr>
              <w:pStyle w:val="BodyText"/>
              <w:spacing w:after="0"/>
              <w:ind w:left="0" w:firstLine="0"/>
              <w:rPr>
                <w:rFonts w:cs="Arial"/>
                <w:szCs w:val="20"/>
              </w:rPr>
            </w:pPr>
            <w:r w:rsidRPr="00266DD5">
              <w:rPr>
                <w:rFonts w:cs="Arial"/>
                <w:szCs w:val="20"/>
              </w:rPr>
              <w:t xml:space="preserve">Underlying Earnings </w:t>
            </w:r>
            <w:r>
              <w:rPr>
                <w:rFonts w:cs="Arial"/>
                <w:szCs w:val="20"/>
              </w:rPr>
              <w:t xml:space="preserve">after tax </w:t>
            </w:r>
            <w:r w:rsidRPr="001A6C33">
              <w:rPr>
                <w:szCs w:val="20"/>
                <w:vertAlign w:val="superscript"/>
              </w:rPr>
              <w:t>[3</w:t>
            </w:r>
            <w:r w:rsidRPr="00F70A17">
              <w:rPr>
                <w:szCs w:val="20"/>
                <w:vertAlign w:val="superscript"/>
              </w:rPr>
              <w:t>]</w:t>
            </w:r>
          </w:p>
        </w:tc>
        <w:tc>
          <w:tcPr>
            <w:tcW w:w="1017" w:type="pct"/>
            <w:vAlign w:val="center"/>
          </w:tcPr>
          <w:p w:rsidR="00D32C8C" w:rsidRPr="00266DD5" w:rsidRDefault="00D32C8C" w:rsidP="00AC0003">
            <w:pPr>
              <w:ind w:firstLineChars="200" w:firstLine="400"/>
              <w:jc w:val="right"/>
              <w:rPr>
                <w:rFonts w:cs="Arial"/>
                <w:color w:val="000000"/>
                <w:szCs w:val="20"/>
              </w:rPr>
            </w:pPr>
            <w:r>
              <w:rPr>
                <w:rFonts w:cs="Arial"/>
                <w:color w:val="000000"/>
                <w:szCs w:val="20"/>
              </w:rPr>
              <w:t>99</w:t>
            </w:r>
            <w:r w:rsidRPr="00266DD5">
              <w:rPr>
                <w:rFonts w:cs="Arial"/>
                <w:color w:val="000000"/>
                <w:szCs w:val="20"/>
              </w:rPr>
              <w:t>.</w:t>
            </w:r>
            <w:r>
              <w:rPr>
                <w:rFonts w:cs="Arial"/>
                <w:color w:val="000000"/>
                <w:szCs w:val="20"/>
              </w:rPr>
              <w:t>7</w:t>
            </w:r>
          </w:p>
        </w:tc>
        <w:tc>
          <w:tcPr>
            <w:tcW w:w="874" w:type="pct"/>
            <w:vAlign w:val="center"/>
          </w:tcPr>
          <w:p w:rsidR="00D32C8C" w:rsidRPr="00266DD5" w:rsidRDefault="00D32C8C" w:rsidP="00AC0003">
            <w:pPr>
              <w:ind w:firstLineChars="200" w:firstLine="400"/>
              <w:jc w:val="right"/>
              <w:rPr>
                <w:rFonts w:cs="Arial"/>
                <w:color w:val="000000"/>
                <w:szCs w:val="20"/>
              </w:rPr>
            </w:pPr>
            <w:r w:rsidRPr="00266DD5">
              <w:rPr>
                <w:rFonts w:cs="Arial"/>
                <w:color w:val="000000"/>
                <w:szCs w:val="20"/>
              </w:rPr>
              <w:t>86.2</w:t>
            </w:r>
          </w:p>
        </w:tc>
        <w:tc>
          <w:tcPr>
            <w:tcW w:w="872" w:type="pct"/>
          </w:tcPr>
          <w:p w:rsidR="00D32C8C" w:rsidRPr="00266DD5" w:rsidRDefault="00D32C8C" w:rsidP="00AC0003">
            <w:pPr>
              <w:jc w:val="right"/>
              <w:rPr>
                <w:szCs w:val="20"/>
              </w:rPr>
            </w:pPr>
            <w:r w:rsidRPr="00266DD5">
              <w:rPr>
                <w:szCs w:val="20"/>
              </w:rPr>
              <w:t>+</w:t>
            </w:r>
            <w:r>
              <w:rPr>
                <w:szCs w:val="20"/>
              </w:rPr>
              <w:t>16</w:t>
            </w:r>
            <w:r w:rsidRPr="00266DD5">
              <w:rPr>
                <w:szCs w:val="20"/>
              </w:rPr>
              <w:t>%</w:t>
            </w:r>
          </w:p>
        </w:tc>
      </w:tr>
      <w:tr w:rsidR="00D32C8C" w:rsidRPr="001A6C33" w:rsidTr="00AC0003">
        <w:tc>
          <w:tcPr>
            <w:tcW w:w="2237" w:type="pct"/>
          </w:tcPr>
          <w:p w:rsidR="00D32C8C" w:rsidRPr="00266DD5" w:rsidRDefault="00D32C8C" w:rsidP="00AC0003">
            <w:pPr>
              <w:pStyle w:val="BodyText"/>
              <w:spacing w:after="0"/>
              <w:ind w:left="0" w:firstLine="0"/>
              <w:rPr>
                <w:rFonts w:cs="Arial"/>
                <w:szCs w:val="20"/>
              </w:rPr>
            </w:pPr>
            <w:r w:rsidRPr="00266DD5">
              <w:rPr>
                <w:rFonts w:cs="Arial"/>
                <w:szCs w:val="20"/>
              </w:rPr>
              <w:t xml:space="preserve">Operating </w:t>
            </w:r>
            <w:proofErr w:type="spellStart"/>
            <w:r w:rsidRPr="00266DD5">
              <w:rPr>
                <w:rFonts w:cs="Arial"/>
                <w:szCs w:val="20"/>
              </w:rPr>
              <w:t>Cashflow</w:t>
            </w:r>
            <w:proofErr w:type="spellEnd"/>
          </w:p>
        </w:tc>
        <w:tc>
          <w:tcPr>
            <w:tcW w:w="1017" w:type="pct"/>
            <w:vAlign w:val="center"/>
          </w:tcPr>
          <w:p w:rsidR="00D32C8C" w:rsidRPr="00266DD5" w:rsidRDefault="00D32C8C" w:rsidP="00AC0003">
            <w:pPr>
              <w:ind w:firstLineChars="200" w:firstLine="400"/>
              <w:jc w:val="right"/>
              <w:rPr>
                <w:rFonts w:cs="Arial"/>
                <w:color w:val="000000"/>
                <w:szCs w:val="20"/>
              </w:rPr>
            </w:pPr>
            <w:r>
              <w:rPr>
                <w:rFonts w:cs="Arial"/>
                <w:color w:val="000000"/>
                <w:szCs w:val="20"/>
              </w:rPr>
              <w:t>142.2</w:t>
            </w:r>
          </w:p>
        </w:tc>
        <w:tc>
          <w:tcPr>
            <w:tcW w:w="874" w:type="pct"/>
            <w:vAlign w:val="center"/>
          </w:tcPr>
          <w:p w:rsidR="00D32C8C" w:rsidRPr="00266DD5" w:rsidRDefault="00D32C8C" w:rsidP="00AC0003">
            <w:pPr>
              <w:ind w:firstLineChars="200" w:firstLine="400"/>
              <w:jc w:val="right"/>
              <w:rPr>
                <w:rFonts w:cs="Arial"/>
                <w:color w:val="000000"/>
                <w:szCs w:val="20"/>
              </w:rPr>
            </w:pPr>
            <w:r w:rsidRPr="00266DD5">
              <w:rPr>
                <w:rFonts w:cs="Arial"/>
                <w:color w:val="000000"/>
                <w:szCs w:val="20"/>
              </w:rPr>
              <w:t>128.9</w:t>
            </w:r>
          </w:p>
        </w:tc>
        <w:tc>
          <w:tcPr>
            <w:tcW w:w="872" w:type="pct"/>
          </w:tcPr>
          <w:p w:rsidR="00D32C8C" w:rsidRPr="00266DD5" w:rsidRDefault="00D32C8C" w:rsidP="00AC0003">
            <w:pPr>
              <w:jc w:val="right"/>
              <w:rPr>
                <w:szCs w:val="20"/>
              </w:rPr>
            </w:pPr>
            <w:r w:rsidRPr="00266DD5">
              <w:rPr>
                <w:szCs w:val="20"/>
              </w:rPr>
              <w:t>+</w:t>
            </w:r>
            <w:r>
              <w:rPr>
                <w:szCs w:val="20"/>
              </w:rPr>
              <w:t>10</w:t>
            </w:r>
            <w:r w:rsidRPr="00266DD5">
              <w:rPr>
                <w:szCs w:val="20"/>
              </w:rPr>
              <w:t>%</w:t>
            </w:r>
          </w:p>
        </w:tc>
      </w:tr>
      <w:tr w:rsidR="00D32C8C" w:rsidRPr="001A6C33" w:rsidTr="00AC0003">
        <w:tc>
          <w:tcPr>
            <w:tcW w:w="2237" w:type="pct"/>
          </w:tcPr>
          <w:p w:rsidR="00D32C8C" w:rsidRPr="001A6C33" w:rsidRDefault="00D32C8C" w:rsidP="00AC0003">
            <w:pPr>
              <w:pStyle w:val="BodyText"/>
              <w:rPr>
                <w:rFonts w:cs="Arial"/>
                <w:i/>
                <w:szCs w:val="20"/>
              </w:rPr>
            </w:pPr>
            <w:r w:rsidRPr="00266DD5">
              <w:rPr>
                <w:rFonts w:cs="Arial"/>
                <w:szCs w:val="20"/>
              </w:rPr>
              <w:t>Dividends Paid</w:t>
            </w:r>
            <w:r w:rsidRPr="001A6C33">
              <w:rPr>
                <w:rFonts w:cs="Arial"/>
                <w:i/>
                <w:szCs w:val="20"/>
              </w:rPr>
              <w:t xml:space="preserve"> </w:t>
            </w:r>
          </w:p>
        </w:tc>
        <w:tc>
          <w:tcPr>
            <w:tcW w:w="1017" w:type="pct"/>
            <w:vAlign w:val="center"/>
          </w:tcPr>
          <w:p w:rsidR="00D32C8C" w:rsidRPr="00266DD5" w:rsidRDefault="00D32C8C" w:rsidP="00AC0003">
            <w:pPr>
              <w:ind w:firstLineChars="200" w:firstLine="400"/>
              <w:jc w:val="right"/>
              <w:rPr>
                <w:rFonts w:cs="Arial"/>
                <w:color w:val="000000"/>
                <w:szCs w:val="20"/>
              </w:rPr>
            </w:pPr>
            <w:r w:rsidRPr="00266DD5">
              <w:rPr>
                <w:rFonts w:cs="Arial"/>
                <w:color w:val="000000"/>
                <w:szCs w:val="20"/>
              </w:rPr>
              <w:t>30</w:t>
            </w:r>
          </w:p>
        </w:tc>
        <w:tc>
          <w:tcPr>
            <w:tcW w:w="874" w:type="pct"/>
            <w:vAlign w:val="center"/>
          </w:tcPr>
          <w:p w:rsidR="00D32C8C" w:rsidRPr="00266DD5" w:rsidRDefault="00D32C8C" w:rsidP="00AC0003">
            <w:pPr>
              <w:ind w:firstLineChars="200" w:firstLine="400"/>
              <w:jc w:val="right"/>
              <w:rPr>
                <w:rFonts w:cs="Arial"/>
                <w:color w:val="000000"/>
                <w:szCs w:val="20"/>
              </w:rPr>
            </w:pPr>
            <w:r w:rsidRPr="00266DD5">
              <w:rPr>
                <w:rFonts w:cs="Arial"/>
                <w:color w:val="000000"/>
                <w:szCs w:val="20"/>
              </w:rPr>
              <w:t>20</w:t>
            </w:r>
          </w:p>
        </w:tc>
        <w:tc>
          <w:tcPr>
            <w:tcW w:w="872" w:type="pct"/>
          </w:tcPr>
          <w:p w:rsidR="00D32C8C" w:rsidRPr="00266DD5" w:rsidRDefault="00D32C8C" w:rsidP="00AC0003">
            <w:pPr>
              <w:jc w:val="right"/>
              <w:rPr>
                <w:szCs w:val="20"/>
              </w:rPr>
            </w:pPr>
            <w:r w:rsidRPr="00266DD5">
              <w:rPr>
                <w:szCs w:val="20"/>
              </w:rPr>
              <w:t>-</w:t>
            </w:r>
          </w:p>
        </w:tc>
      </w:tr>
      <w:tr w:rsidR="00D32C8C" w:rsidRPr="001A6C33" w:rsidTr="00AC0003">
        <w:tc>
          <w:tcPr>
            <w:tcW w:w="2237" w:type="pct"/>
          </w:tcPr>
          <w:p w:rsidR="00D32C8C" w:rsidRPr="00266DD5" w:rsidRDefault="00D32C8C" w:rsidP="00AC0003">
            <w:pPr>
              <w:pStyle w:val="BodyText"/>
              <w:spacing w:after="0"/>
              <w:ind w:left="0" w:firstLine="0"/>
              <w:rPr>
                <w:rFonts w:cs="Arial"/>
                <w:szCs w:val="20"/>
              </w:rPr>
            </w:pPr>
            <w:r w:rsidRPr="00266DD5">
              <w:rPr>
                <w:rFonts w:cs="Arial"/>
                <w:szCs w:val="20"/>
              </w:rPr>
              <w:t xml:space="preserve">Return on Equity </w:t>
            </w:r>
            <w:r w:rsidRPr="001A6C33">
              <w:rPr>
                <w:szCs w:val="20"/>
                <w:vertAlign w:val="superscript"/>
              </w:rPr>
              <w:t>[4</w:t>
            </w:r>
            <w:r w:rsidRPr="00F70A17">
              <w:rPr>
                <w:szCs w:val="20"/>
                <w:vertAlign w:val="superscript"/>
              </w:rPr>
              <w:t>]</w:t>
            </w:r>
          </w:p>
        </w:tc>
        <w:tc>
          <w:tcPr>
            <w:tcW w:w="1017" w:type="pct"/>
            <w:vAlign w:val="center"/>
          </w:tcPr>
          <w:p w:rsidR="00D32C8C" w:rsidRPr="00C14786" w:rsidRDefault="00D32C8C" w:rsidP="00AC0003">
            <w:pPr>
              <w:ind w:firstLineChars="200" w:firstLine="400"/>
              <w:jc w:val="right"/>
              <w:rPr>
                <w:rFonts w:cs="Arial"/>
                <w:color w:val="000000"/>
                <w:szCs w:val="20"/>
              </w:rPr>
            </w:pPr>
            <w:r w:rsidRPr="00C14786">
              <w:rPr>
                <w:rFonts w:cs="Arial"/>
                <w:color w:val="000000"/>
                <w:szCs w:val="20"/>
              </w:rPr>
              <w:t>-</w:t>
            </w:r>
            <w:r>
              <w:rPr>
                <w:rFonts w:cs="Arial"/>
                <w:color w:val="000000"/>
                <w:szCs w:val="20"/>
              </w:rPr>
              <w:t>9</w:t>
            </w:r>
            <w:r w:rsidRPr="00C14786">
              <w:rPr>
                <w:rFonts w:cs="Arial"/>
                <w:color w:val="000000"/>
                <w:szCs w:val="20"/>
              </w:rPr>
              <w:t>%</w:t>
            </w:r>
          </w:p>
        </w:tc>
        <w:tc>
          <w:tcPr>
            <w:tcW w:w="874" w:type="pct"/>
            <w:vAlign w:val="center"/>
          </w:tcPr>
          <w:p w:rsidR="00D32C8C" w:rsidRPr="00FE0686" w:rsidRDefault="00D32C8C" w:rsidP="00AC0003">
            <w:pPr>
              <w:ind w:firstLineChars="200" w:firstLine="400"/>
              <w:jc w:val="right"/>
              <w:rPr>
                <w:rFonts w:cs="Arial"/>
                <w:color w:val="000000"/>
                <w:szCs w:val="20"/>
              </w:rPr>
            </w:pPr>
            <w:r w:rsidRPr="00FE0686">
              <w:rPr>
                <w:rFonts w:cs="Arial"/>
                <w:color w:val="000000"/>
                <w:szCs w:val="20"/>
              </w:rPr>
              <w:t>18%</w:t>
            </w:r>
          </w:p>
        </w:tc>
        <w:tc>
          <w:tcPr>
            <w:tcW w:w="872" w:type="pct"/>
          </w:tcPr>
          <w:p w:rsidR="00D32C8C" w:rsidRPr="0041308A" w:rsidRDefault="00D32C8C" w:rsidP="00AC0003">
            <w:pPr>
              <w:jc w:val="right"/>
              <w:rPr>
                <w:szCs w:val="20"/>
              </w:rPr>
            </w:pPr>
            <w:r w:rsidRPr="0041308A">
              <w:rPr>
                <w:szCs w:val="20"/>
              </w:rPr>
              <w:t>-</w:t>
            </w:r>
          </w:p>
        </w:tc>
      </w:tr>
      <w:tr w:rsidR="00D32C8C" w:rsidRPr="001A6C33" w:rsidTr="00AC0003">
        <w:trPr>
          <w:trHeight w:val="247"/>
        </w:trPr>
        <w:tc>
          <w:tcPr>
            <w:tcW w:w="2237" w:type="pct"/>
          </w:tcPr>
          <w:p w:rsidR="00D32C8C" w:rsidRPr="00266DD5" w:rsidRDefault="00D32C8C" w:rsidP="00AC0003">
            <w:pPr>
              <w:pStyle w:val="BodyText"/>
              <w:spacing w:after="0"/>
              <w:ind w:left="0" w:firstLine="0"/>
              <w:rPr>
                <w:rFonts w:cs="Arial"/>
                <w:szCs w:val="20"/>
              </w:rPr>
            </w:pPr>
            <w:r w:rsidRPr="00266DD5">
              <w:rPr>
                <w:rFonts w:cs="Arial"/>
                <w:szCs w:val="20"/>
              </w:rPr>
              <w:t xml:space="preserve">Gearing Ratio </w:t>
            </w:r>
            <w:r w:rsidRPr="001A6C33">
              <w:rPr>
                <w:szCs w:val="20"/>
                <w:vertAlign w:val="superscript"/>
              </w:rPr>
              <w:t>[5</w:t>
            </w:r>
            <w:r w:rsidRPr="00F70A17">
              <w:rPr>
                <w:szCs w:val="20"/>
                <w:vertAlign w:val="superscript"/>
              </w:rPr>
              <w:t>]</w:t>
            </w:r>
          </w:p>
        </w:tc>
        <w:tc>
          <w:tcPr>
            <w:tcW w:w="1017" w:type="pct"/>
            <w:vAlign w:val="center"/>
          </w:tcPr>
          <w:p w:rsidR="00D32C8C" w:rsidRPr="00C14786" w:rsidRDefault="00D32C8C" w:rsidP="00AC0003">
            <w:pPr>
              <w:ind w:firstLineChars="200" w:firstLine="400"/>
              <w:jc w:val="right"/>
              <w:rPr>
                <w:rFonts w:cs="Arial"/>
                <w:color w:val="000000"/>
                <w:szCs w:val="20"/>
              </w:rPr>
            </w:pPr>
            <w:r w:rsidRPr="00C14786">
              <w:rPr>
                <w:rFonts w:cs="Arial"/>
                <w:color w:val="000000"/>
                <w:szCs w:val="20"/>
              </w:rPr>
              <w:t>4</w:t>
            </w:r>
            <w:r>
              <w:rPr>
                <w:rFonts w:cs="Arial"/>
                <w:color w:val="000000"/>
                <w:szCs w:val="20"/>
              </w:rPr>
              <w:t>2</w:t>
            </w:r>
            <w:r w:rsidRPr="00C14786">
              <w:rPr>
                <w:rFonts w:cs="Arial"/>
                <w:color w:val="000000"/>
                <w:szCs w:val="20"/>
              </w:rPr>
              <w:t>%</w:t>
            </w:r>
          </w:p>
        </w:tc>
        <w:tc>
          <w:tcPr>
            <w:tcW w:w="874" w:type="pct"/>
            <w:vAlign w:val="center"/>
          </w:tcPr>
          <w:p w:rsidR="00D32C8C" w:rsidRPr="00FE0686" w:rsidRDefault="00D32C8C" w:rsidP="00AC0003">
            <w:pPr>
              <w:ind w:firstLineChars="200" w:firstLine="400"/>
              <w:jc w:val="right"/>
              <w:rPr>
                <w:rFonts w:cs="Arial"/>
                <w:color w:val="000000"/>
                <w:szCs w:val="20"/>
              </w:rPr>
            </w:pPr>
            <w:r w:rsidRPr="00FE0686">
              <w:rPr>
                <w:rFonts w:cs="Arial"/>
                <w:color w:val="000000"/>
                <w:szCs w:val="20"/>
              </w:rPr>
              <w:t>30%</w:t>
            </w:r>
          </w:p>
        </w:tc>
        <w:tc>
          <w:tcPr>
            <w:tcW w:w="872" w:type="pct"/>
          </w:tcPr>
          <w:p w:rsidR="00D32C8C" w:rsidRPr="0041308A" w:rsidRDefault="00D32C8C" w:rsidP="00AC0003">
            <w:pPr>
              <w:jc w:val="right"/>
              <w:rPr>
                <w:szCs w:val="20"/>
              </w:rPr>
            </w:pPr>
            <w:r w:rsidRPr="0041308A">
              <w:rPr>
                <w:szCs w:val="20"/>
              </w:rPr>
              <w:t>-</w:t>
            </w:r>
          </w:p>
        </w:tc>
      </w:tr>
    </w:tbl>
    <w:p w:rsidR="00D32C8C" w:rsidRDefault="00D32C8C" w:rsidP="00D32C8C">
      <w:pPr>
        <w:pStyle w:val="BodyText"/>
        <w:rPr>
          <w:rFonts w:cs="Arial"/>
          <w:b/>
          <w:sz w:val="16"/>
          <w:szCs w:val="16"/>
        </w:rPr>
      </w:pPr>
    </w:p>
    <w:p w:rsidR="00D32C8C" w:rsidRPr="00BC4168" w:rsidRDefault="00D32C8C" w:rsidP="00D32C8C">
      <w:pPr>
        <w:pStyle w:val="BodyText"/>
        <w:rPr>
          <w:rFonts w:cs="Arial"/>
          <w:b/>
          <w:sz w:val="16"/>
          <w:szCs w:val="16"/>
        </w:rPr>
      </w:pPr>
      <w:r>
        <w:rPr>
          <w:rFonts w:cs="Arial"/>
          <w:b/>
          <w:sz w:val="16"/>
          <w:szCs w:val="16"/>
        </w:rPr>
        <w:t xml:space="preserve">Definitions </w:t>
      </w:r>
      <w:r w:rsidRPr="00BC4168">
        <w:rPr>
          <w:rFonts w:cs="Arial"/>
          <w:sz w:val="16"/>
          <w:szCs w:val="16"/>
        </w:rPr>
        <w:t>(All amounts are NZ$ million unless otherwise stated)</w:t>
      </w:r>
    </w:p>
    <w:p w:rsidR="00D32C8C" w:rsidRPr="00881881" w:rsidRDefault="00D32C8C" w:rsidP="00D32C8C">
      <w:pPr>
        <w:pStyle w:val="BodyText"/>
        <w:rPr>
          <w:rFonts w:cs="Arial"/>
          <w:sz w:val="16"/>
          <w:szCs w:val="16"/>
        </w:rPr>
      </w:pPr>
      <w:r>
        <w:rPr>
          <w:rFonts w:cs="Arial"/>
          <w:sz w:val="16"/>
          <w:szCs w:val="16"/>
        </w:rPr>
        <w:t>1     EBITDA:</w:t>
      </w:r>
      <w:r w:rsidRPr="00881881">
        <w:rPr>
          <w:rFonts w:cs="Arial"/>
          <w:sz w:val="16"/>
          <w:szCs w:val="16"/>
        </w:rPr>
        <w:t xml:space="preserve"> Earnings </w:t>
      </w:r>
      <w:proofErr w:type="gramStart"/>
      <w:r w:rsidRPr="00881881">
        <w:rPr>
          <w:rFonts w:cs="Arial"/>
          <w:sz w:val="16"/>
          <w:szCs w:val="16"/>
        </w:rPr>
        <w:t>Before</w:t>
      </w:r>
      <w:proofErr w:type="gramEnd"/>
      <w:r w:rsidRPr="00881881">
        <w:rPr>
          <w:rFonts w:cs="Arial"/>
          <w:sz w:val="16"/>
          <w:szCs w:val="16"/>
        </w:rPr>
        <w:t xml:space="preserve"> Interest, Tax, Depreciation &amp; Amortisation</w:t>
      </w:r>
      <w:r>
        <w:rPr>
          <w:rFonts w:cs="Arial"/>
          <w:sz w:val="16"/>
          <w:szCs w:val="16"/>
        </w:rPr>
        <w:t xml:space="preserve"> </w:t>
      </w:r>
    </w:p>
    <w:p w:rsidR="00D32C8C" w:rsidRDefault="00D32C8C" w:rsidP="00D32C8C">
      <w:pPr>
        <w:pStyle w:val="BodyText"/>
        <w:rPr>
          <w:rFonts w:cs="Arial"/>
          <w:sz w:val="16"/>
          <w:szCs w:val="16"/>
        </w:rPr>
      </w:pPr>
      <w:r>
        <w:rPr>
          <w:rFonts w:cs="Arial"/>
          <w:sz w:val="16"/>
          <w:szCs w:val="16"/>
        </w:rPr>
        <w:t>2     EBIT:</w:t>
      </w:r>
      <w:r w:rsidRPr="00881881">
        <w:rPr>
          <w:rFonts w:cs="Arial"/>
          <w:sz w:val="16"/>
          <w:szCs w:val="16"/>
        </w:rPr>
        <w:t xml:space="preserve"> Earnings </w:t>
      </w:r>
      <w:proofErr w:type="gramStart"/>
      <w:r w:rsidRPr="00881881">
        <w:rPr>
          <w:rFonts w:cs="Arial"/>
          <w:sz w:val="16"/>
          <w:szCs w:val="16"/>
        </w:rPr>
        <w:t>Before</w:t>
      </w:r>
      <w:proofErr w:type="gramEnd"/>
      <w:r w:rsidRPr="00881881">
        <w:rPr>
          <w:rFonts w:cs="Arial"/>
          <w:sz w:val="16"/>
          <w:szCs w:val="16"/>
        </w:rPr>
        <w:t xml:space="preserve"> Interest &amp; Tax</w:t>
      </w:r>
      <w:r w:rsidDel="00400A7A">
        <w:rPr>
          <w:rFonts w:cs="Arial"/>
          <w:sz w:val="16"/>
          <w:szCs w:val="16"/>
        </w:rPr>
        <w:t xml:space="preserve"> </w:t>
      </w:r>
    </w:p>
    <w:p w:rsidR="00D32C8C" w:rsidRDefault="00D32C8C" w:rsidP="00D32C8C">
      <w:pPr>
        <w:pStyle w:val="BodyText"/>
        <w:rPr>
          <w:rFonts w:cs="Arial"/>
          <w:sz w:val="16"/>
          <w:szCs w:val="16"/>
        </w:rPr>
      </w:pPr>
      <w:r>
        <w:rPr>
          <w:rFonts w:cs="Arial"/>
          <w:sz w:val="16"/>
          <w:szCs w:val="16"/>
        </w:rPr>
        <w:t xml:space="preserve">3     </w:t>
      </w:r>
      <w:r w:rsidRPr="00A041A2">
        <w:rPr>
          <w:rFonts w:cs="Arial"/>
          <w:sz w:val="16"/>
          <w:szCs w:val="16"/>
        </w:rPr>
        <w:t>Underlying Earnings:</w:t>
      </w:r>
      <w:r>
        <w:rPr>
          <w:rFonts w:cs="Arial"/>
          <w:sz w:val="16"/>
          <w:szCs w:val="16"/>
        </w:rPr>
        <w:t xml:space="preserve"> Net Profit after Tax excluding, impairments, &amp; large one off items</w:t>
      </w:r>
    </w:p>
    <w:p w:rsidR="00D32C8C" w:rsidRDefault="00D32C8C" w:rsidP="00D32C8C">
      <w:pPr>
        <w:pStyle w:val="BodyText"/>
        <w:rPr>
          <w:rFonts w:cs="Arial"/>
          <w:sz w:val="16"/>
          <w:szCs w:val="16"/>
        </w:rPr>
      </w:pPr>
      <w:r>
        <w:rPr>
          <w:rFonts w:cs="Arial"/>
          <w:sz w:val="16"/>
          <w:szCs w:val="16"/>
        </w:rPr>
        <w:t xml:space="preserve">4     Return on Equity: </w:t>
      </w:r>
      <w:r w:rsidRPr="00C1043A">
        <w:rPr>
          <w:rFonts w:cs="Arial"/>
          <w:sz w:val="16"/>
          <w:szCs w:val="16"/>
        </w:rPr>
        <w:t>Net profit after tax / Average shareholders’ equity</w:t>
      </w:r>
    </w:p>
    <w:p w:rsidR="00B359A3" w:rsidRDefault="00D32C8C" w:rsidP="00D32C8C">
      <w:pPr>
        <w:pStyle w:val="BodyText"/>
      </w:pPr>
      <w:r>
        <w:rPr>
          <w:rFonts w:cs="Arial"/>
          <w:sz w:val="16"/>
          <w:szCs w:val="16"/>
        </w:rPr>
        <w:t xml:space="preserve">5     Gearing Ratio: </w:t>
      </w:r>
      <w:r w:rsidRPr="00C1043A">
        <w:rPr>
          <w:rFonts w:cs="Arial"/>
          <w:sz w:val="16"/>
          <w:szCs w:val="16"/>
        </w:rPr>
        <w:t>Net debt / (Net debt + equity)</w:t>
      </w:r>
    </w:p>
    <w:p w:rsidR="00AE5B88" w:rsidRPr="00D32C8C" w:rsidRDefault="00AE5B88" w:rsidP="00AE5B88">
      <w:pPr>
        <w:pStyle w:val="ContactDetails"/>
        <w:rPr>
          <w:b/>
        </w:rPr>
      </w:pPr>
      <w:r w:rsidRPr="00D32C8C">
        <w:rPr>
          <w:b/>
        </w:rPr>
        <w:lastRenderedPageBreak/>
        <w:t>For further information contact:</w:t>
      </w:r>
    </w:p>
    <w:p w:rsidR="00D32C8C" w:rsidRDefault="00D32C8C" w:rsidP="00AE5B88">
      <w:pPr>
        <w:pStyle w:val="ContactDetails"/>
      </w:pPr>
    </w:p>
    <w:p w:rsidR="00AE5B88" w:rsidRDefault="00AE5B88" w:rsidP="00AE5B88">
      <w:pPr>
        <w:pStyle w:val="ContactDetails"/>
      </w:pPr>
      <w:r>
        <w:t>Vicki Blyth</w:t>
      </w:r>
      <w:r>
        <w:tab/>
        <w:t>Telephone: 03 345 6000</w:t>
      </w:r>
    </w:p>
    <w:p w:rsidR="00AE5B88" w:rsidRDefault="00120BE1" w:rsidP="00AE5B88">
      <w:pPr>
        <w:pStyle w:val="ContactDetails"/>
      </w:pPr>
      <w:r>
        <w:t>General Manager Communications</w:t>
      </w:r>
      <w:r w:rsidR="00B36472">
        <w:tab/>
        <w:t>Mobile: 021</w:t>
      </w:r>
      <w:r w:rsidR="00AE5B88">
        <w:t xml:space="preserve"> 670 250</w:t>
      </w:r>
    </w:p>
    <w:p w:rsidR="00AE5B88" w:rsidRDefault="00AE5B88" w:rsidP="00AE5B88">
      <w:pPr>
        <w:pStyle w:val="ContactDetails"/>
      </w:pPr>
      <w:r>
        <w:t>Solid Energy New Zealand Limited</w:t>
      </w:r>
      <w:r w:rsidR="00D32C8C">
        <w:t>, or</w:t>
      </w:r>
    </w:p>
    <w:p w:rsidR="00D32C8C" w:rsidRDefault="00D32C8C" w:rsidP="00AE5B88">
      <w:pPr>
        <w:pStyle w:val="ContactDetails"/>
      </w:pPr>
    </w:p>
    <w:p w:rsidR="00D32C8C" w:rsidRDefault="00D32C8C" w:rsidP="00AE5B88">
      <w:pPr>
        <w:pStyle w:val="ContactDetails"/>
      </w:pPr>
      <w:r>
        <w:t>Bryn Somerville</w:t>
      </w:r>
    </w:p>
    <w:p w:rsidR="00D32C8C" w:rsidRDefault="00D32C8C" w:rsidP="00AE5B88">
      <w:pPr>
        <w:pStyle w:val="ContactDetails"/>
      </w:pPr>
      <w:r>
        <w:t>Communication Manager</w:t>
      </w:r>
      <w:r>
        <w:tab/>
        <w:t>Telephone 027 295 4299</w:t>
      </w:r>
    </w:p>
    <w:p w:rsidR="00D32C8C" w:rsidRDefault="00D32C8C" w:rsidP="00AE5B88">
      <w:pPr>
        <w:pStyle w:val="ContactDetails"/>
      </w:pPr>
      <w:bookmarkStart w:id="0" w:name="_GoBack"/>
      <w:bookmarkEnd w:id="0"/>
      <w:r>
        <w:t>Solid Energy New Zealand Limited</w:t>
      </w:r>
    </w:p>
    <w:sectPr w:rsidR="00D32C8C" w:rsidSect="00B359A3">
      <w:footerReference w:type="default" r:id="rId8"/>
      <w:headerReference w:type="first" r:id="rId9"/>
      <w:footerReference w:type="first" r:id="rId10"/>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E6A" w:rsidRDefault="00F60E6A" w:rsidP="00DE78F1">
      <w:pPr>
        <w:pStyle w:val="Header"/>
      </w:pPr>
      <w:r>
        <w:separator/>
      </w:r>
    </w:p>
  </w:endnote>
  <w:endnote w:type="continuationSeparator" w:id="0">
    <w:p w:rsidR="00F60E6A" w:rsidRDefault="00F60E6A" w:rsidP="00DE78F1">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3A5" w:rsidRPr="00B359A3" w:rsidRDefault="006B33A5" w:rsidP="00B359A3">
    <w:pPr>
      <w:pStyle w:val="Footer"/>
      <w:pBdr>
        <w:top w:val="single" w:sz="4" w:space="4" w:color="auto"/>
      </w:pBdr>
    </w:pPr>
    <w:r>
      <w:tab/>
      <w:t xml:space="preserve">Page </w:t>
    </w:r>
    <w:r>
      <w:rPr>
        <w:rStyle w:val="PageNumber"/>
      </w:rPr>
      <w:fldChar w:fldCharType="begin"/>
    </w:r>
    <w:r>
      <w:rPr>
        <w:rStyle w:val="PageNumber"/>
      </w:rPr>
      <w:instrText xml:space="preserve"> PAGE </w:instrText>
    </w:r>
    <w:r>
      <w:rPr>
        <w:rStyle w:val="PageNumber"/>
      </w:rPr>
      <w:fldChar w:fldCharType="separate"/>
    </w:r>
    <w:r w:rsidR="002511D7">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511D7">
      <w:rPr>
        <w:rStyle w:val="PageNumber"/>
        <w:noProof/>
      </w:rPr>
      <w:t>3</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F10" w:rsidRDefault="006A1F10" w:rsidP="006A1F10">
    <w:pPr>
      <w:pStyle w:val="Footer"/>
      <w:pBdr>
        <w:top w:val="single" w:sz="4" w:space="4" w:color="auto"/>
      </w:pBdr>
    </w:pPr>
    <w:r>
      <w:t>Solid Energy New Zealand Limited</w:t>
    </w:r>
  </w:p>
  <w:p w:rsidR="006A1F10" w:rsidRDefault="006A1F10" w:rsidP="006A1F10">
    <w:pPr>
      <w:pStyle w:val="Footer"/>
    </w:pPr>
    <w:r>
      <w:t>15 Show Place, Christchurch 8024</w:t>
    </w:r>
    <w:r>
      <w:tab/>
    </w:r>
    <w:r>
      <w:tab/>
      <w:t>Telephone: (03) 345 6000</w:t>
    </w:r>
  </w:p>
  <w:p w:rsidR="006B33A5" w:rsidRPr="006A1F10" w:rsidRDefault="006A1F10" w:rsidP="006A1F10">
    <w:pPr>
      <w:pStyle w:val="Footer"/>
    </w:pPr>
    <w:r>
      <w:t>PO Box 1303, Christchurch 8140</w:t>
    </w:r>
    <w:r>
      <w:tab/>
    </w:r>
    <w:r>
      <w:tab/>
      <w:t>Facsimile: (03) 345 6016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E6A" w:rsidRDefault="00F60E6A" w:rsidP="00DE78F1">
      <w:pPr>
        <w:pStyle w:val="Header"/>
      </w:pPr>
      <w:r>
        <w:separator/>
      </w:r>
    </w:p>
  </w:footnote>
  <w:footnote w:type="continuationSeparator" w:id="0">
    <w:p w:rsidR="00F60E6A" w:rsidRDefault="00F60E6A" w:rsidP="00DE78F1">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ayout w:type="fixed"/>
      <w:tblCellMar>
        <w:top w:w="170" w:type="dxa"/>
        <w:left w:w="0" w:type="dxa"/>
        <w:bottom w:w="170" w:type="dxa"/>
        <w:right w:w="0" w:type="dxa"/>
      </w:tblCellMar>
      <w:tblLook w:val="01E0" w:firstRow="1" w:lastRow="1" w:firstColumn="1" w:lastColumn="1" w:noHBand="0" w:noVBand="0"/>
    </w:tblPr>
    <w:tblGrid>
      <w:gridCol w:w="4820"/>
      <w:gridCol w:w="4820"/>
    </w:tblGrid>
    <w:tr w:rsidR="006B33A5" w:rsidTr="00B359A3">
      <w:tc>
        <w:tcPr>
          <w:tcW w:w="4820" w:type="dxa"/>
          <w:vAlign w:val="center"/>
        </w:tcPr>
        <w:p w:rsidR="006B33A5" w:rsidRDefault="000B16E3" w:rsidP="0010282D">
          <w:pPr>
            <w:pStyle w:val="Title"/>
          </w:pPr>
          <w:r>
            <w:t xml:space="preserve">MEDIA </w:t>
          </w:r>
          <w:r w:rsidR="0010282D">
            <w:t>RELEASE</w:t>
          </w:r>
        </w:p>
      </w:tc>
      <w:tc>
        <w:tcPr>
          <w:tcW w:w="4820" w:type="dxa"/>
          <w:vAlign w:val="center"/>
        </w:tcPr>
        <w:p w:rsidR="006B33A5" w:rsidRDefault="008F4393" w:rsidP="00B359A3">
          <w:pPr>
            <w:pStyle w:val="Header"/>
            <w:jc w:val="right"/>
          </w:pPr>
          <w:r>
            <w:rPr>
              <w:noProof/>
              <w:lang w:eastAsia="en-NZ"/>
            </w:rPr>
            <w:drawing>
              <wp:inline distT="0" distB="0" distL="0" distR="0">
                <wp:extent cx="952500" cy="866775"/>
                <wp:effectExtent l="0" t="0" r="0" b="9525"/>
                <wp:docPr id="1" name="Picture 1" descr="SolE%20Logo%20SQUARE%20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lE%20Logo%20SQUARE%20b&amp;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866775"/>
                        </a:xfrm>
                        <a:prstGeom prst="rect">
                          <a:avLst/>
                        </a:prstGeom>
                        <a:noFill/>
                        <a:ln>
                          <a:noFill/>
                        </a:ln>
                      </pic:spPr>
                    </pic:pic>
                  </a:graphicData>
                </a:graphic>
              </wp:inline>
            </w:drawing>
          </w:r>
        </w:p>
      </w:tc>
    </w:tr>
  </w:tbl>
  <w:p w:rsidR="006B33A5" w:rsidRDefault="006B33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F0945E"/>
    <w:lvl w:ilvl="0">
      <w:start w:val="1"/>
      <w:numFmt w:val="decimal"/>
      <w:lvlText w:val="%1."/>
      <w:lvlJc w:val="left"/>
      <w:pPr>
        <w:tabs>
          <w:tab w:val="num" w:pos="1492"/>
        </w:tabs>
        <w:ind w:left="1492" w:hanging="360"/>
      </w:pPr>
    </w:lvl>
  </w:abstractNum>
  <w:abstractNum w:abstractNumId="1">
    <w:nsid w:val="FFFFFF7D"/>
    <w:multiLevelType w:val="singleLevel"/>
    <w:tmpl w:val="31785440"/>
    <w:lvl w:ilvl="0">
      <w:start w:val="1"/>
      <w:numFmt w:val="decimal"/>
      <w:lvlText w:val="%1."/>
      <w:lvlJc w:val="left"/>
      <w:pPr>
        <w:tabs>
          <w:tab w:val="num" w:pos="1209"/>
        </w:tabs>
        <w:ind w:left="1209" w:hanging="360"/>
      </w:pPr>
    </w:lvl>
  </w:abstractNum>
  <w:abstractNum w:abstractNumId="2">
    <w:nsid w:val="FFFFFF7E"/>
    <w:multiLevelType w:val="singleLevel"/>
    <w:tmpl w:val="8D36B1F4"/>
    <w:lvl w:ilvl="0">
      <w:start w:val="1"/>
      <w:numFmt w:val="decimal"/>
      <w:lvlText w:val="%1."/>
      <w:lvlJc w:val="left"/>
      <w:pPr>
        <w:tabs>
          <w:tab w:val="num" w:pos="926"/>
        </w:tabs>
        <w:ind w:left="926" w:hanging="360"/>
      </w:pPr>
    </w:lvl>
  </w:abstractNum>
  <w:abstractNum w:abstractNumId="3">
    <w:nsid w:val="FFFFFF7F"/>
    <w:multiLevelType w:val="singleLevel"/>
    <w:tmpl w:val="88828144"/>
    <w:lvl w:ilvl="0">
      <w:start w:val="1"/>
      <w:numFmt w:val="decimal"/>
      <w:lvlText w:val="%1."/>
      <w:lvlJc w:val="left"/>
      <w:pPr>
        <w:tabs>
          <w:tab w:val="num" w:pos="643"/>
        </w:tabs>
        <w:ind w:left="643" w:hanging="360"/>
      </w:pPr>
    </w:lvl>
  </w:abstractNum>
  <w:abstractNum w:abstractNumId="4">
    <w:nsid w:val="FFFFFF80"/>
    <w:multiLevelType w:val="singleLevel"/>
    <w:tmpl w:val="617A21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3122C9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01AF4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D237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0FE5466"/>
    <w:lvl w:ilvl="0">
      <w:start w:val="1"/>
      <w:numFmt w:val="decimal"/>
      <w:pStyle w:val="ListNumber"/>
      <w:lvlText w:val="%1."/>
      <w:lvlJc w:val="left"/>
      <w:pPr>
        <w:tabs>
          <w:tab w:val="num" w:pos="360"/>
        </w:tabs>
        <w:ind w:left="360" w:hanging="360"/>
      </w:pPr>
    </w:lvl>
  </w:abstractNum>
  <w:abstractNum w:abstractNumId="9">
    <w:nsid w:val="FFFFFF89"/>
    <w:multiLevelType w:val="singleLevel"/>
    <w:tmpl w:val="604CC8E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FD7CE8"/>
    <w:multiLevelType w:val="hybridMultilevel"/>
    <w:tmpl w:val="33466CB8"/>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E6A"/>
    <w:rsid w:val="000747D7"/>
    <w:rsid w:val="000B16E3"/>
    <w:rsid w:val="0010282D"/>
    <w:rsid w:val="00120BE1"/>
    <w:rsid w:val="00147646"/>
    <w:rsid w:val="001E1837"/>
    <w:rsid w:val="002511D7"/>
    <w:rsid w:val="002533BB"/>
    <w:rsid w:val="003D69FA"/>
    <w:rsid w:val="00413754"/>
    <w:rsid w:val="00441B22"/>
    <w:rsid w:val="00444A24"/>
    <w:rsid w:val="00472B15"/>
    <w:rsid w:val="00476659"/>
    <w:rsid w:val="00480D19"/>
    <w:rsid w:val="004A3B1F"/>
    <w:rsid w:val="004E62E0"/>
    <w:rsid w:val="00585C65"/>
    <w:rsid w:val="00621600"/>
    <w:rsid w:val="006A1F10"/>
    <w:rsid w:val="006B33A5"/>
    <w:rsid w:val="006C5CD3"/>
    <w:rsid w:val="00781E11"/>
    <w:rsid w:val="007A70FE"/>
    <w:rsid w:val="0084094F"/>
    <w:rsid w:val="00891A57"/>
    <w:rsid w:val="008A1D07"/>
    <w:rsid w:val="008F4393"/>
    <w:rsid w:val="008F6309"/>
    <w:rsid w:val="00950859"/>
    <w:rsid w:val="0099211F"/>
    <w:rsid w:val="00A3316C"/>
    <w:rsid w:val="00AE5B88"/>
    <w:rsid w:val="00B359A3"/>
    <w:rsid w:val="00B36472"/>
    <w:rsid w:val="00B544C1"/>
    <w:rsid w:val="00BB022F"/>
    <w:rsid w:val="00CF0B65"/>
    <w:rsid w:val="00D32C8C"/>
    <w:rsid w:val="00D4501B"/>
    <w:rsid w:val="00D847DF"/>
    <w:rsid w:val="00DE78F1"/>
    <w:rsid w:val="00E00CD4"/>
    <w:rsid w:val="00E4340A"/>
    <w:rsid w:val="00E702CC"/>
    <w:rsid w:val="00F16378"/>
    <w:rsid w:val="00F5167E"/>
    <w:rsid w:val="00F60E6A"/>
    <w:rsid w:val="00F74B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List Bullet" w:qFormat="1"/>
    <w:lsdException w:name="List Number" w:qFormat="1"/>
    <w:lsdException w:name="Body Text" w:uiPriority="2" w:qFormat="1"/>
    <w:lsdException w:name="List Continue" w:qFormat="1"/>
    <w:lsdException w:name="Date" w:qFormat="1"/>
    <w:lsdException w:name="Strong" w:uiPriority="9" w:qFormat="1"/>
    <w:lsdException w:name="Emphasis" w:uiPriority="10"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D32C8C"/>
    <w:pPr>
      <w:spacing w:after="40"/>
      <w:ind w:left="284" w:hanging="284"/>
    </w:pPr>
    <w:rPr>
      <w:rFonts w:ascii="Arial" w:hAnsi="Arial"/>
      <w:szCs w:val="24"/>
      <w:lang w:eastAsia="en-US"/>
    </w:rPr>
  </w:style>
  <w:style w:type="paragraph" w:styleId="Heading1">
    <w:name w:val="heading 1"/>
    <w:basedOn w:val="zzBodyBase"/>
    <w:next w:val="BodyText"/>
    <w:qFormat/>
    <w:rsid w:val="008A1D07"/>
    <w:pPr>
      <w:keepNext/>
      <w:keepLines/>
      <w:jc w:val="center"/>
      <w:outlineLvl w:val="0"/>
    </w:pPr>
    <w:rPr>
      <w:rFonts w:cs="Arial"/>
      <w:b/>
      <w:bCs/>
      <w:szCs w:val="32"/>
    </w:rPr>
  </w:style>
  <w:style w:type="paragraph" w:styleId="Heading2">
    <w:name w:val="heading 2"/>
    <w:basedOn w:val="zzBodyBase"/>
    <w:next w:val="BodyText"/>
    <w:uiPriority w:val="1"/>
    <w:qFormat/>
    <w:rsid w:val="008A1D07"/>
    <w:pPr>
      <w:keepNext/>
      <w:keepLines/>
      <w:outlineLvl w:val="1"/>
    </w:pPr>
    <w:rPr>
      <w:rFonts w:cs="Arial"/>
      <w:b/>
      <w:bCs/>
      <w:iCs/>
      <w:szCs w:val="28"/>
    </w:rPr>
  </w:style>
  <w:style w:type="paragraph" w:styleId="Heading3">
    <w:name w:val="heading 3"/>
    <w:basedOn w:val="zzBodyBase"/>
    <w:next w:val="BodyText"/>
    <w:rsid w:val="00E4340A"/>
    <w:pPr>
      <w:keepNext/>
      <w:keepLines/>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8"/>
    <w:qFormat/>
    <w:rsid w:val="0084094F"/>
    <w:rPr>
      <w:b/>
      <w:bCs/>
      <w:szCs w:val="20"/>
    </w:rPr>
  </w:style>
  <w:style w:type="paragraph" w:styleId="Header">
    <w:name w:val="header"/>
    <w:basedOn w:val="zzBodyBase"/>
    <w:rsid w:val="004E62E0"/>
    <w:pPr>
      <w:tabs>
        <w:tab w:val="center" w:pos="4320"/>
        <w:tab w:val="right" w:pos="8640"/>
      </w:tabs>
      <w:spacing w:line="240" w:lineRule="auto"/>
      <w:jc w:val="left"/>
    </w:pPr>
  </w:style>
  <w:style w:type="paragraph" w:styleId="Footer">
    <w:name w:val="footer"/>
    <w:basedOn w:val="zzBodyBase"/>
    <w:rsid w:val="00585C65"/>
    <w:pPr>
      <w:tabs>
        <w:tab w:val="center" w:pos="4820"/>
        <w:tab w:val="right" w:pos="9639"/>
      </w:tabs>
      <w:spacing w:line="240" w:lineRule="auto"/>
      <w:jc w:val="left"/>
    </w:pPr>
    <w:rPr>
      <w:i/>
      <w:sz w:val="18"/>
    </w:rPr>
  </w:style>
  <w:style w:type="table" w:styleId="TableGrid">
    <w:name w:val="Table Grid"/>
    <w:basedOn w:val="TableNormal"/>
    <w:rsid w:val="00B359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359A3"/>
  </w:style>
  <w:style w:type="paragraph" w:customStyle="1" w:styleId="zzBodyBase">
    <w:name w:val="zzBodyBase"/>
    <w:rsid w:val="004E62E0"/>
    <w:pPr>
      <w:suppressAutoHyphens/>
      <w:spacing w:line="360" w:lineRule="auto"/>
      <w:jc w:val="both"/>
    </w:pPr>
    <w:rPr>
      <w:rFonts w:ascii="Arial" w:hAnsi="Arial"/>
      <w:szCs w:val="22"/>
      <w:lang w:eastAsia="en-US"/>
    </w:rPr>
  </w:style>
  <w:style w:type="paragraph" w:styleId="BodyText">
    <w:name w:val="Body Text"/>
    <w:basedOn w:val="zzBodyBase"/>
    <w:uiPriority w:val="2"/>
    <w:qFormat/>
    <w:rsid w:val="0099211F"/>
  </w:style>
  <w:style w:type="paragraph" w:styleId="Title">
    <w:name w:val="Title"/>
    <w:rsid w:val="0099211F"/>
    <w:pPr>
      <w:keepLines/>
      <w:suppressAutoHyphens/>
      <w:outlineLvl w:val="0"/>
    </w:pPr>
    <w:rPr>
      <w:rFonts w:ascii="Arial" w:hAnsi="Arial" w:cs="Arial"/>
      <w:b/>
      <w:bCs/>
      <w:kern w:val="28"/>
      <w:sz w:val="32"/>
      <w:szCs w:val="32"/>
      <w:lang w:eastAsia="en-US"/>
    </w:rPr>
  </w:style>
  <w:style w:type="paragraph" w:styleId="Date">
    <w:name w:val="Date"/>
    <w:basedOn w:val="zzBodyBase"/>
    <w:next w:val="BodyText"/>
    <w:uiPriority w:val="6"/>
    <w:qFormat/>
    <w:rsid w:val="00E4340A"/>
  </w:style>
  <w:style w:type="paragraph" w:styleId="ListBullet">
    <w:name w:val="List Bullet"/>
    <w:basedOn w:val="zzBodyBase"/>
    <w:uiPriority w:val="3"/>
    <w:qFormat/>
    <w:rsid w:val="00E4340A"/>
    <w:pPr>
      <w:numPr>
        <w:numId w:val="1"/>
      </w:numPr>
    </w:pPr>
  </w:style>
  <w:style w:type="paragraph" w:styleId="ListNumber">
    <w:name w:val="List Number"/>
    <w:basedOn w:val="zzBodyBase"/>
    <w:uiPriority w:val="4"/>
    <w:qFormat/>
    <w:rsid w:val="00E4340A"/>
    <w:pPr>
      <w:numPr>
        <w:numId w:val="6"/>
      </w:numPr>
    </w:pPr>
  </w:style>
  <w:style w:type="paragraph" w:customStyle="1" w:styleId="ContactDetails">
    <w:name w:val="Contact Details"/>
    <w:basedOn w:val="zzBodyBase"/>
    <w:uiPriority w:val="7"/>
    <w:qFormat/>
    <w:rsid w:val="00AE5B88"/>
    <w:pPr>
      <w:keepNext/>
      <w:keepLines/>
      <w:tabs>
        <w:tab w:val="left" w:pos="4536"/>
      </w:tabs>
      <w:spacing w:line="240" w:lineRule="auto"/>
      <w:jc w:val="left"/>
    </w:pPr>
  </w:style>
  <w:style w:type="paragraph" w:styleId="ListContinue">
    <w:name w:val="List Continue"/>
    <w:basedOn w:val="zzBodyBase"/>
    <w:uiPriority w:val="5"/>
    <w:qFormat/>
    <w:rsid w:val="003D69FA"/>
    <w:pPr>
      <w:ind w:left="357"/>
    </w:pPr>
  </w:style>
  <w:style w:type="paragraph" w:styleId="BalloonText">
    <w:name w:val="Balloon Text"/>
    <w:basedOn w:val="Normal"/>
    <w:link w:val="BalloonTextChar"/>
    <w:rsid w:val="000B16E3"/>
    <w:rPr>
      <w:rFonts w:ascii="Tahoma" w:hAnsi="Tahoma" w:cs="Tahoma"/>
      <w:sz w:val="16"/>
      <w:szCs w:val="16"/>
    </w:rPr>
  </w:style>
  <w:style w:type="character" w:customStyle="1" w:styleId="BalloonTextChar">
    <w:name w:val="Balloon Text Char"/>
    <w:basedOn w:val="DefaultParagraphFont"/>
    <w:link w:val="BalloonText"/>
    <w:rsid w:val="000B16E3"/>
    <w:rPr>
      <w:rFonts w:ascii="Tahoma" w:hAnsi="Tahoma" w:cs="Tahoma"/>
      <w:sz w:val="16"/>
      <w:szCs w:val="16"/>
      <w:lang w:eastAsia="en-US"/>
    </w:rPr>
  </w:style>
  <w:style w:type="table" w:styleId="TableList4">
    <w:name w:val="Table List 4"/>
    <w:basedOn w:val="TableNormal"/>
    <w:rsid w:val="00D32C8C"/>
    <w:pPr>
      <w:spacing w:after="40"/>
      <w:ind w:left="284" w:hanging="28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List Bullet" w:qFormat="1"/>
    <w:lsdException w:name="List Number" w:qFormat="1"/>
    <w:lsdException w:name="Body Text" w:uiPriority="2" w:qFormat="1"/>
    <w:lsdException w:name="List Continue" w:qFormat="1"/>
    <w:lsdException w:name="Date" w:qFormat="1"/>
    <w:lsdException w:name="Strong" w:uiPriority="9" w:qFormat="1"/>
    <w:lsdException w:name="Emphasis" w:uiPriority="10"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D32C8C"/>
    <w:pPr>
      <w:spacing w:after="40"/>
      <w:ind w:left="284" w:hanging="284"/>
    </w:pPr>
    <w:rPr>
      <w:rFonts w:ascii="Arial" w:hAnsi="Arial"/>
      <w:szCs w:val="24"/>
      <w:lang w:eastAsia="en-US"/>
    </w:rPr>
  </w:style>
  <w:style w:type="paragraph" w:styleId="Heading1">
    <w:name w:val="heading 1"/>
    <w:basedOn w:val="zzBodyBase"/>
    <w:next w:val="BodyText"/>
    <w:qFormat/>
    <w:rsid w:val="008A1D07"/>
    <w:pPr>
      <w:keepNext/>
      <w:keepLines/>
      <w:jc w:val="center"/>
      <w:outlineLvl w:val="0"/>
    </w:pPr>
    <w:rPr>
      <w:rFonts w:cs="Arial"/>
      <w:b/>
      <w:bCs/>
      <w:szCs w:val="32"/>
    </w:rPr>
  </w:style>
  <w:style w:type="paragraph" w:styleId="Heading2">
    <w:name w:val="heading 2"/>
    <w:basedOn w:val="zzBodyBase"/>
    <w:next w:val="BodyText"/>
    <w:uiPriority w:val="1"/>
    <w:qFormat/>
    <w:rsid w:val="008A1D07"/>
    <w:pPr>
      <w:keepNext/>
      <w:keepLines/>
      <w:outlineLvl w:val="1"/>
    </w:pPr>
    <w:rPr>
      <w:rFonts w:cs="Arial"/>
      <w:b/>
      <w:bCs/>
      <w:iCs/>
      <w:szCs w:val="28"/>
    </w:rPr>
  </w:style>
  <w:style w:type="paragraph" w:styleId="Heading3">
    <w:name w:val="heading 3"/>
    <w:basedOn w:val="zzBodyBase"/>
    <w:next w:val="BodyText"/>
    <w:rsid w:val="00E4340A"/>
    <w:pPr>
      <w:keepNext/>
      <w:keepLines/>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8"/>
    <w:qFormat/>
    <w:rsid w:val="0084094F"/>
    <w:rPr>
      <w:b/>
      <w:bCs/>
      <w:szCs w:val="20"/>
    </w:rPr>
  </w:style>
  <w:style w:type="paragraph" w:styleId="Header">
    <w:name w:val="header"/>
    <w:basedOn w:val="zzBodyBase"/>
    <w:rsid w:val="004E62E0"/>
    <w:pPr>
      <w:tabs>
        <w:tab w:val="center" w:pos="4320"/>
        <w:tab w:val="right" w:pos="8640"/>
      </w:tabs>
      <w:spacing w:line="240" w:lineRule="auto"/>
      <w:jc w:val="left"/>
    </w:pPr>
  </w:style>
  <w:style w:type="paragraph" w:styleId="Footer">
    <w:name w:val="footer"/>
    <w:basedOn w:val="zzBodyBase"/>
    <w:rsid w:val="00585C65"/>
    <w:pPr>
      <w:tabs>
        <w:tab w:val="center" w:pos="4820"/>
        <w:tab w:val="right" w:pos="9639"/>
      </w:tabs>
      <w:spacing w:line="240" w:lineRule="auto"/>
      <w:jc w:val="left"/>
    </w:pPr>
    <w:rPr>
      <w:i/>
      <w:sz w:val="18"/>
    </w:rPr>
  </w:style>
  <w:style w:type="table" w:styleId="TableGrid">
    <w:name w:val="Table Grid"/>
    <w:basedOn w:val="TableNormal"/>
    <w:rsid w:val="00B359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359A3"/>
  </w:style>
  <w:style w:type="paragraph" w:customStyle="1" w:styleId="zzBodyBase">
    <w:name w:val="zzBodyBase"/>
    <w:rsid w:val="004E62E0"/>
    <w:pPr>
      <w:suppressAutoHyphens/>
      <w:spacing w:line="360" w:lineRule="auto"/>
      <w:jc w:val="both"/>
    </w:pPr>
    <w:rPr>
      <w:rFonts w:ascii="Arial" w:hAnsi="Arial"/>
      <w:szCs w:val="22"/>
      <w:lang w:eastAsia="en-US"/>
    </w:rPr>
  </w:style>
  <w:style w:type="paragraph" w:styleId="BodyText">
    <w:name w:val="Body Text"/>
    <w:basedOn w:val="zzBodyBase"/>
    <w:uiPriority w:val="2"/>
    <w:qFormat/>
    <w:rsid w:val="0099211F"/>
  </w:style>
  <w:style w:type="paragraph" w:styleId="Title">
    <w:name w:val="Title"/>
    <w:rsid w:val="0099211F"/>
    <w:pPr>
      <w:keepLines/>
      <w:suppressAutoHyphens/>
      <w:outlineLvl w:val="0"/>
    </w:pPr>
    <w:rPr>
      <w:rFonts w:ascii="Arial" w:hAnsi="Arial" w:cs="Arial"/>
      <w:b/>
      <w:bCs/>
      <w:kern w:val="28"/>
      <w:sz w:val="32"/>
      <w:szCs w:val="32"/>
      <w:lang w:eastAsia="en-US"/>
    </w:rPr>
  </w:style>
  <w:style w:type="paragraph" w:styleId="Date">
    <w:name w:val="Date"/>
    <w:basedOn w:val="zzBodyBase"/>
    <w:next w:val="BodyText"/>
    <w:uiPriority w:val="6"/>
    <w:qFormat/>
    <w:rsid w:val="00E4340A"/>
  </w:style>
  <w:style w:type="paragraph" w:styleId="ListBullet">
    <w:name w:val="List Bullet"/>
    <w:basedOn w:val="zzBodyBase"/>
    <w:uiPriority w:val="3"/>
    <w:qFormat/>
    <w:rsid w:val="00E4340A"/>
    <w:pPr>
      <w:numPr>
        <w:numId w:val="1"/>
      </w:numPr>
    </w:pPr>
  </w:style>
  <w:style w:type="paragraph" w:styleId="ListNumber">
    <w:name w:val="List Number"/>
    <w:basedOn w:val="zzBodyBase"/>
    <w:uiPriority w:val="4"/>
    <w:qFormat/>
    <w:rsid w:val="00E4340A"/>
    <w:pPr>
      <w:numPr>
        <w:numId w:val="6"/>
      </w:numPr>
    </w:pPr>
  </w:style>
  <w:style w:type="paragraph" w:customStyle="1" w:styleId="ContactDetails">
    <w:name w:val="Contact Details"/>
    <w:basedOn w:val="zzBodyBase"/>
    <w:uiPriority w:val="7"/>
    <w:qFormat/>
    <w:rsid w:val="00AE5B88"/>
    <w:pPr>
      <w:keepNext/>
      <w:keepLines/>
      <w:tabs>
        <w:tab w:val="left" w:pos="4536"/>
      </w:tabs>
      <w:spacing w:line="240" w:lineRule="auto"/>
      <w:jc w:val="left"/>
    </w:pPr>
  </w:style>
  <w:style w:type="paragraph" w:styleId="ListContinue">
    <w:name w:val="List Continue"/>
    <w:basedOn w:val="zzBodyBase"/>
    <w:uiPriority w:val="5"/>
    <w:qFormat/>
    <w:rsid w:val="003D69FA"/>
    <w:pPr>
      <w:ind w:left="357"/>
    </w:pPr>
  </w:style>
  <w:style w:type="paragraph" w:styleId="BalloonText">
    <w:name w:val="Balloon Text"/>
    <w:basedOn w:val="Normal"/>
    <w:link w:val="BalloonTextChar"/>
    <w:rsid w:val="000B16E3"/>
    <w:rPr>
      <w:rFonts w:ascii="Tahoma" w:hAnsi="Tahoma" w:cs="Tahoma"/>
      <w:sz w:val="16"/>
      <w:szCs w:val="16"/>
    </w:rPr>
  </w:style>
  <w:style w:type="character" w:customStyle="1" w:styleId="BalloonTextChar">
    <w:name w:val="Balloon Text Char"/>
    <w:basedOn w:val="DefaultParagraphFont"/>
    <w:link w:val="BalloonText"/>
    <w:rsid w:val="000B16E3"/>
    <w:rPr>
      <w:rFonts w:ascii="Tahoma" w:hAnsi="Tahoma" w:cs="Tahoma"/>
      <w:sz w:val="16"/>
      <w:szCs w:val="16"/>
      <w:lang w:eastAsia="en-US"/>
    </w:rPr>
  </w:style>
  <w:style w:type="table" w:styleId="TableList4">
    <w:name w:val="Table List 4"/>
    <w:basedOn w:val="TableNormal"/>
    <w:rsid w:val="00D32C8C"/>
    <w:pPr>
      <w:spacing w:after="40"/>
      <w:ind w:left="284" w:hanging="28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_Secured\COMMUNICATIONS%20DEPT\Templates\Media_Relea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Media_Release.dotx</Template>
  <TotalTime>7</TotalTime>
  <Pages>3</Pages>
  <Words>897</Words>
  <Characters>4694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Media Statement</vt:lpstr>
    </vt:vector>
  </TitlesOfParts>
  <Company>Solid Energy NZ Ltd</Company>
  <LinksUpToDate>false</LinksUpToDate>
  <CharactersWithSpaces>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creator>Bryn Somerville</dc:creator>
  <cp:lastModifiedBy>Bryn Somerville</cp:lastModifiedBy>
  <cp:revision>6</cp:revision>
  <cp:lastPrinted>2010-12-13T23:20:00Z</cp:lastPrinted>
  <dcterms:created xsi:type="dcterms:W3CDTF">2012-08-30T07:06:00Z</dcterms:created>
  <dcterms:modified xsi:type="dcterms:W3CDTF">2012-08-30T10:03:00Z</dcterms:modified>
</cp:coreProperties>
</file>