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6302" w14:textId="77777777" w:rsidR="00C06683" w:rsidRPr="00A139D1" w:rsidRDefault="00C06683" w:rsidP="004D052C">
      <w:pPr>
        <w:pBdr>
          <w:bottom w:val="single" w:sz="4" w:space="1" w:color="auto"/>
        </w:pBdr>
        <w:spacing w:after="120"/>
        <w:ind w:left="-709"/>
        <w:rPr>
          <w:rFonts w:ascii="Arial" w:eastAsia="Times New Roman" w:hAnsi="Arial" w:cs="Arial"/>
          <w:b/>
          <w:bCs/>
        </w:rPr>
      </w:pPr>
      <w:r w:rsidRPr="009050AF">
        <w:rPr>
          <w:rFonts w:ascii="Arial" w:eastAsia="Times New Roman" w:hAnsi="Arial" w:cs="Arial"/>
          <w:b/>
          <w:bCs/>
        </w:rPr>
        <w:t xml:space="preserve">Types of workers and people that would be in scope for Steps </w:t>
      </w:r>
      <w:r w:rsidR="00B41982">
        <w:rPr>
          <w:rFonts w:ascii="Arial" w:eastAsia="Times New Roman" w:hAnsi="Arial" w:cs="Arial"/>
          <w:b/>
          <w:bCs/>
        </w:rPr>
        <w:t>1</w:t>
      </w:r>
      <w:r w:rsidRPr="009050AF">
        <w:rPr>
          <w:rFonts w:ascii="Arial" w:eastAsia="Times New Roman" w:hAnsi="Arial" w:cs="Arial"/>
          <w:b/>
          <w:bCs/>
        </w:rPr>
        <w:t>-5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B41982" w:rsidRPr="00A819DA" w14:paraId="17C84A6B" w14:textId="77777777" w:rsidTr="00A819DA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48524906" w14:textId="77777777" w:rsidR="00B41982" w:rsidRPr="00A819DA" w:rsidRDefault="00B41982" w:rsidP="00B41982">
            <w:pPr>
              <w:pStyle w:val="CabStandard"/>
              <w:numPr>
                <w:ilvl w:val="0"/>
                <w:numId w:val="0"/>
              </w:num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9DA">
              <w:rPr>
                <w:rFonts w:ascii="Arial" w:hAnsi="Arial" w:cs="Arial"/>
                <w:b/>
                <w:sz w:val="22"/>
                <w:szCs w:val="22"/>
              </w:rPr>
              <w:t>Step 1 – 11:59pm 27 February 2022</w:t>
            </w:r>
          </w:p>
        </w:tc>
      </w:tr>
      <w:tr w:rsidR="00A819DA" w:rsidRPr="00A819DA" w14:paraId="4F980B5F" w14:textId="77777777" w:rsidTr="00A819DA">
        <w:tc>
          <w:tcPr>
            <w:tcW w:w="3119" w:type="dxa"/>
            <w:shd w:val="clear" w:color="auto" w:fill="D9D9D9" w:themeFill="background1" w:themeFillShade="D9"/>
          </w:tcPr>
          <w:p w14:paraId="79DB992C" w14:textId="77777777" w:rsidR="00A819DA" w:rsidRPr="00A819DA" w:rsidRDefault="00A819DA" w:rsidP="00A819DA">
            <w:pPr>
              <w:pStyle w:val="CabStandard"/>
              <w:numPr>
                <w:ilvl w:val="0"/>
                <w:numId w:val="0"/>
              </w:num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9DA">
              <w:rPr>
                <w:rFonts w:ascii="Arial" w:hAnsi="Arial" w:cs="Arial"/>
                <w:b/>
                <w:sz w:val="22"/>
                <w:szCs w:val="22"/>
              </w:rPr>
              <w:t>Group eligible to travel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789036ED" w14:textId="77777777" w:rsidR="00A819DA" w:rsidRPr="00A819DA" w:rsidRDefault="00A819DA" w:rsidP="00A819DA">
            <w:pPr>
              <w:pStyle w:val="CabStandard"/>
              <w:numPr>
                <w:ilvl w:val="0"/>
                <w:numId w:val="0"/>
              </w:num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9DA">
              <w:rPr>
                <w:rFonts w:ascii="Arial" w:hAnsi="Arial" w:cs="Arial"/>
                <w:b/>
                <w:sz w:val="22"/>
                <w:szCs w:val="22"/>
              </w:rPr>
              <w:t>Types of workers / people</w:t>
            </w:r>
          </w:p>
        </w:tc>
      </w:tr>
      <w:tr w:rsidR="00B41982" w:rsidRPr="00A819DA" w14:paraId="5C95A422" w14:textId="77777777" w:rsidTr="00A819DA">
        <w:tc>
          <w:tcPr>
            <w:tcW w:w="3119" w:type="dxa"/>
            <w:shd w:val="clear" w:color="auto" w:fill="FFFFFF" w:themeFill="background1"/>
          </w:tcPr>
          <w:p w14:paraId="16F91D4C" w14:textId="77777777" w:rsidR="005129F9" w:rsidRPr="00A819DA" w:rsidRDefault="005129F9" w:rsidP="005129F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  <w:lang w:val="en-US"/>
              </w:rPr>
              <w:t xml:space="preserve">Reopen to New Zealanders and other </w:t>
            </w:r>
            <w:hyperlink r:id="rId5" w:history="1">
              <w:r w:rsidRPr="00A819DA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 xml:space="preserve">eligible </w:t>
              </w:r>
              <w:proofErr w:type="spellStart"/>
              <w:r w:rsidRPr="00A819DA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travellers</w:t>
              </w:r>
              <w:proofErr w:type="spellEnd"/>
            </w:hyperlink>
            <w:r w:rsidRPr="00A819DA">
              <w:rPr>
                <w:rFonts w:ascii="Arial" w:hAnsi="Arial" w:cs="Arial"/>
                <w:sz w:val="22"/>
                <w:szCs w:val="22"/>
                <w:lang w:val="en-US"/>
              </w:rPr>
              <w:t xml:space="preserve"> under current border settings </w:t>
            </w:r>
            <w:r w:rsidRPr="00A819D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from </w:t>
            </w:r>
            <w:r w:rsidRPr="00A819DA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Australia</w:t>
            </w:r>
          </w:p>
          <w:p w14:paraId="6DE5A1A8" w14:textId="77777777" w:rsidR="00B41982" w:rsidRPr="00A819DA" w:rsidRDefault="00B41982" w:rsidP="002318B4">
            <w:pPr>
              <w:pStyle w:val="CabStandard"/>
              <w:numPr>
                <w:ilvl w:val="0"/>
                <w:numId w:val="0"/>
              </w:numPr>
              <w:spacing w:after="120"/>
              <w:ind w:left="60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D779AF3" w14:textId="77777777" w:rsidR="002318B4" w:rsidRPr="00A819DA" w:rsidRDefault="002318B4" w:rsidP="00A63992">
            <w:pPr>
              <w:pStyle w:val="CabStandard"/>
              <w:numPr>
                <w:ilvl w:val="0"/>
                <w:numId w:val="0"/>
              </w:numPr>
              <w:spacing w:after="12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 xml:space="preserve">Those who </w:t>
            </w:r>
            <w:r w:rsidR="00F962C5" w:rsidRPr="00A819DA">
              <w:rPr>
                <w:rFonts w:ascii="Arial" w:hAnsi="Arial" w:cs="Arial"/>
                <w:sz w:val="22"/>
                <w:szCs w:val="22"/>
              </w:rPr>
              <w:t>are eligible under any existing border exceptions</w:t>
            </w:r>
            <w:r w:rsidR="00BB1AF0" w:rsidRPr="00A819DA">
              <w:rPr>
                <w:rFonts w:ascii="Arial" w:hAnsi="Arial" w:cs="Arial"/>
                <w:sz w:val="22"/>
                <w:szCs w:val="22"/>
              </w:rPr>
              <w:t xml:space="preserve">, such as: </w:t>
            </w:r>
          </w:p>
          <w:p w14:paraId="10802BEE" w14:textId="77777777" w:rsidR="00343B54" w:rsidRPr="00A819DA" w:rsidRDefault="00343B54" w:rsidP="00343B54">
            <w:pPr>
              <w:pStyle w:val="CabStandard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Critical Health workers</w:t>
            </w:r>
          </w:p>
          <w:p w14:paraId="20220029" w14:textId="77777777" w:rsidR="00343B54" w:rsidRPr="00A819DA" w:rsidRDefault="00343B54" w:rsidP="00343B54">
            <w:pPr>
              <w:pStyle w:val="CabStandard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Short term ‘other critical workers’</w:t>
            </w:r>
          </w:p>
          <w:p w14:paraId="536CEF4C" w14:textId="77777777" w:rsidR="00343B54" w:rsidRPr="00A819DA" w:rsidRDefault="00343B54" w:rsidP="00343B54">
            <w:pPr>
              <w:pStyle w:val="CabStandard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Long term ‘other critical workers’</w:t>
            </w:r>
          </w:p>
          <w:p w14:paraId="15251E9D" w14:textId="77777777" w:rsidR="00343B54" w:rsidRPr="00A819DA" w:rsidRDefault="00343B54" w:rsidP="00343B54">
            <w:pPr>
              <w:pStyle w:val="CabStandard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Border exceptions:</w:t>
            </w:r>
          </w:p>
          <w:p w14:paraId="4C142502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Dairy farm managers and assistants</w:t>
            </w:r>
          </w:p>
          <w:p w14:paraId="3BDC8B81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Shearers and wool handlers</w:t>
            </w:r>
          </w:p>
          <w:p w14:paraId="16E09C2C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Deepwater fishing crew</w:t>
            </w:r>
          </w:p>
          <w:p w14:paraId="41D40253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Rural contractors</w:t>
            </w:r>
          </w:p>
          <w:p w14:paraId="7D6A08C9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General practice veterinarians</w:t>
            </w:r>
          </w:p>
          <w:p w14:paraId="67DFF0AB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Teachers</w:t>
            </w:r>
          </w:p>
          <w:p w14:paraId="1520AE75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International students</w:t>
            </w:r>
          </w:p>
          <w:p w14:paraId="21D18C48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 xml:space="preserve">Government approved events and programmes, for example Antarctic programmes </w:t>
            </w:r>
          </w:p>
          <w:p w14:paraId="7EFF6E75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Major infrastructure projects</w:t>
            </w:r>
          </w:p>
          <w:p w14:paraId="283D8993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 xml:space="preserve">Tech sector workers </w:t>
            </w:r>
          </w:p>
          <w:p w14:paraId="5BD384AC" w14:textId="77777777" w:rsidR="004D052C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External auditors</w:t>
            </w:r>
          </w:p>
        </w:tc>
      </w:tr>
      <w:tr w:rsidR="00B41982" w:rsidRPr="00A819DA" w14:paraId="22BD8FF9" w14:textId="77777777" w:rsidTr="00A819DA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73C68A89" w14:textId="77777777" w:rsidR="00B41982" w:rsidRPr="00A819DA" w:rsidRDefault="00B41982" w:rsidP="00C06683">
            <w:pPr>
              <w:pStyle w:val="CabStandard"/>
              <w:numPr>
                <w:ilvl w:val="0"/>
                <w:numId w:val="0"/>
              </w:num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9DA">
              <w:rPr>
                <w:rFonts w:ascii="Arial" w:hAnsi="Arial" w:cs="Arial"/>
                <w:b/>
                <w:sz w:val="22"/>
                <w:szCs w:val="22"/>
              </w:rPr>
              <w:t>Step 2 – 11:59pm 13 March 2022</w:t>
            </w:r>
          </w:p>
        </w:tc>
      </w:tr>
      <w:tr w:rsidR="00B41982" w:rsidRPr="00A819DA" w14:paraId="7C765F1A" w14:textId="77777777" w:rsidTr="00A819DA">
        <w:tc>
          <w:tcPr>
            <w:tcW w:w="3119" w:type="dxa"/>
            <w:shd w:val="clear" w:color="auto" w:fill="D9D9D9" w:themeFill="background1" w:themeFillShade="D9"/>
          </w:tcPr>
          <w:p w14:paraId="5D491401" w14:textId="77777777" w:rsidR="00B41982" w:rsidRPr="00A819DA" w:rsidRDefault="00B41982" w:rsidP="00C06683">
            <w:pPr>
              <w:pStyle w:val="CabStandard"/>
              <w:numPr>
                <w:ilvl w:val="0"/>
                <w:numId w:val="0"/>
              </w:num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9DA">
              <w:rPr>
                <w:rFonts w:ascii="Arial" w:hAnsi="Arial" w:cs="Arial"/>
                <w:b/>
                <w:sz w:val="22"/>
                <w:szCs w:val="22"/>
              </w:rPr>
              <w:t>Group eligible to travel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57914E51" w14:textId="77777777" w:rsidR="00B41982" w:rsidRPr="00A819DA" w:rsidRDefault="00B41982" w:rsidP="00C06683">
            <w:pPr>
              <w:pStyle w:val="CabStandard"/>
              <w:numPr>
                <w:ilvl w:val="0"/>
                <w:numId w:val="0"/>
              </w:num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9DA">
              <w:rPr>
                <w:rFonts w:ascii="Arial" w:hAnsi="Arial" w:cs="Arial"/>
                <w:b/>
                <w:sz w:val="22"/>
                <w:szCs w:val="22"/>
              </w:rPr>
              <w:t>Types of workers / people</w:t>
            </w:r>
          </w:p>
        </w:tc>
      </w:tr>
      <w:tr w:rsidR="005129F9" w:rsidRPr="00A819DA" w14:paraId="6EB1EEBB" w14:textId="77777777" w:rsidTr="00A819DA">
        <w:tc>
          <w:tcPr>
            <w:tcW w:w="3119" w:type="dxa"/>
          </w:tcPr>
          <w:p w14:paraId="642B54F1" w14:textId="77777777" w:rsidR="005129F9" w:rsidRPr="00A819DA" w:rsidRDefault="005129F9" w:rsidP="005129F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  <w:lang w:val="en-US"/>
              </w:rPr>
              <w:t xml:space="preserve">Reopen to New Zealanders and other </w:t>
            </w:r>
            <w:hyperlink r:id="rId6" w:history="1">
              <w:r w:rsidRPr="00A819DA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 xml:space="preserve">eligible </w:t>
              </w:r>
              <w:proofErr w:type="spellStart"/>
              <w:r w:rsidRPr="00A819DA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travellers</w:t>
              </w:r>
              <w:proofErr w:type="spellEnd"/>
            </w:hyperlink>
            <w:r w:rsidRPr="00A819DA">
              <w:rPr>
                <w:rFonts w:ascii="Arial" w:hAnsi="Arial" w:cs="Arial"/>
                <w:sz w:val="22"/>
                <w:szCs w:val="22"/>
                <w:lang w:val="en-US"/>
              </w:rPr>
              <w:t xml:space="preserve"> under current border settings </w:t>
            </w:r>
            <w:r w:rsidRPr="00A819DA">
              <w:rPr>
                <w:rFonts w:ascii="Arial" w:hAnsi="Arial" w:cs="Arial"/>
                <w:b/>
                <w:sz w:val="22"/>
                <w:szCs w:val="22"/>
                <w:lang w:val="en-US"/>
              </w:rPr>
              <w:t>from the rest of the world</w:t>
            </w:r>
          </w:p>
          <w:p w14:paraId="6D667BFD" w14:textId="77777777" w:rsidR="005129F9" w:rsidRPr="00A819DA" w:rsidRDefault="005129F9" w:rsidP="005129F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</w:tcPr>
          <w:p w14:paraId="0FAF7BF8" w14:textId="77777777" w:rsidR="0023550A" w:rsidRPr="00A819DA" w:rsidRDefault="0023550A" w:rsidP="0023550A">
            <w:pPr>
              <w:pStyle w:val="CabStandard"/>
              <w:numPr>
                <w:ilvl w:val="0"/>
                <w:numId w:val="0"/>
              </w:numPr>
              <w:spacing w:after="12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 xml:space="preserve">Those who are eligible under any existing border exceptions, such as: </w:t>
            </w:r>
          </w:p>
          <w:p w14:paraId="5A3391AA" w14:textId="77777777" w:rsidR="00343B54" w:rsidRPr="00A819DA" w:rsidRDefault="00343B54" w:rsidP="00343B54">
            <w:pPr>
              <w:pStyle w:val="CabStandard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Critical Health workers</w:t>
            </w:r>
          </w:p>
          <w:p w14:paraId="076805EC" w14:textId="77777777" w:rsidR="00343B54" w:rsidRPr="00A819DA" w:rsidRDefault="00343B54" w:rsidP="00343B54">
            <w:pPr>
              <w:pStyle w:val="CabStandard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Short term ‘other critical workers’</w:t>
            </w:r>
          </w:p>
          <w:p w14:paraId="3CB7D612" w14:textId="77777777" w:rsidR="00343B54" w:rsidRPr="00A819DA" w:rsidRDefault="00343B54" w:rsidP="00343B54">
            <w:pPr>
              <w:pStyle w:val="CabStandard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Long term ‘other critical workers’</w:t>
            </w:r>
          </w:p>
          <w:p w14:paraId="739C583D" w14:textId="77777777" w:rsidR="00343B54" w:rsidRPr="00A819DA" w:rsidRDefault="00343B54" w:rsidP="00343B54">
            <w:pPr>
              <w:pStyle w:val="CabStandard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Border exceptions:</w:t>
            </w:r>
          </w:p>
          <w:p w14:paraId="4FF204FC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Dairy farm managers and assistants</w:t>
            </w:r>
          </w:p>
          <w:p w14:paraId="12B615E2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Shearers and wool handlers</w:t>
            </w:r>
          </w:p>
          <w:p w14:paraId="6E724CE0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Deepwater fishing crew</w:t>
            </w:r>
          </w:p>
          <w:p w14:paraId="31FC1C0C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Rural contractors</w:t>
            </w:r>
          </w:p>
          <w:p w14:paraId="2FCCB6C7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General practice veterinarians</w:t>
            </w:r>
          </w:p>
          <w:p w14:paraId="5B8CAF88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Teachers</w:t>
            </w:r>
          </w:p>
          <w:p w14:paraId="3F36D9EF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International students</w:t>
            </w:r>
          </w:p>
          <w:p w14:paraId="36538462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 xml:space="preserve">Government approved events and programmes, for example Antarctic programmes </w:t>
            </w:r>
          </w:p>
          <w:p w14:paraId="3D0A8648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Major infrastructure projects</w:t>
            </w:r>
          </w:p>
          <w:p w14:paraId="57CE5A76" w14:textId="77777777" w:rsidR="00343B54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 xml:space="preserve">Tech sector workers </w:t>
            </w:r>
          </w:p>
          <w:p w14:paraId="227146B2" w14:textId="77777777" w:rsidR="005129F9" w:rsidRPr="00A819DA" w:rsidRDefault="00343B54" w:rsidP="00343B54">
            <w:pPr>
              <w:pStyle w:val="CabStandard"/>
              <w:numPr>
                <w:ilvl w:val="0"/>
                <w:numId w:val="8"/>
              </w:numPr>
              <w:spacing w:after="120"/>
              <w:ind w:left="1168" w:hanging="425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External auditors</w:t>
            </w:r>
          </w:p>
        </w:tc>
      </w:tr>
      <w:tr w:rsidR="00B41982" w:rsidRPr="00A819DA" w14:paraId="7182757D" w14:textId="77777777" w:rsidTr="00A819DA">
        <w:tc>
          <w:tcPr>
            <w:tcW w:w="3119" w:type="dxa"/>
          </w:tcPr>
          <w:p w14:paraId="3B20747E" w14:textId="77777777" w:rsidR="00B41982" w:rsidRPr="00A819DA" w:rsidRDefault="00B41982" w:rsidP="00C06683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Expanded border exception for Other Critical Workers in roles longer than six months</w:t>
            </w:r>
            <w:r w:rsidRPr="00A819DA">
              <w:rPr>
                <w:rFonts w:ascii="Arial" w:hAnsi="Arial" w:cs="Arial"/>
                <w:sz w:val="22"/>
                <w:szCs w:val="22"/>
              </w:rPr>
              <w:t xml:space="preserve"> (1.5 x median wage bright line test) </w:t>
            </w:r>
          </w:p>
        </w:tc>
        <w:tc>
          <w:tcPr>
            <w:tcW w:w="7371" w:type="dxa"/>
          </w:tcPr>
          <w:p w14:paraId="6721E9A7" w14:textId="77777777" w:rsidR="00B41982" w:rsidRPr="00A819DA" w:rsidRDefault="00B41982" w:rsidP="00C06683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 xml:space="preserve">Skilled workers earning at least 1.5 x the median wage ($84,240 a year). </w:t>
            </w:r>
          </w:p>
          <w:p w14:paraId="1B0D8A61" w14:textId="77777777" w:rsidR="00B41982" w:rsidRPr="00A819DA" w:rsidRDefault="00B41982" w:rsidP="00C06683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Key sectors that will benefit from this change are ICT, agriculture, education and office professionals (e.g. accountants, HR advisors, auditors, economists).</w:t>
            </w:r>
          </w:p>
        </w:tc>
      </w:tr>
      <w:tr w:rsidR="00B41982" w:rsidRPr="00A819DA" w14:paraId="08061C77" w14:textId="77777777" w:rsidTr="00A819DA">
        <w:trPr>
          <w:trHeight w:val="1241"/>
        </w:trPr>
        <w:tc>
          <w:tcPr>
            <w:tcW w:w="3119" w:type="dxa"/>
          </w:tcPr>
          <w:p w14:paraId="34E23CD7" w14:textId="77777777" w:rsidR="00B41982" w:rsidRPr="00A819DA" w:rsidRDefault="00B41982" w:rsidP="00C06683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 xml:space="preserve">Working Holiday Schemes </w:t>
            </w:r>
          </w:p>
          <w:p w14:paraId="6644C478" w14:textId="77777777" w:rsidR="00B41982" w:rsidRPr="00A819DA" w:rsidRDefault="00B41982" w:rsidP="00C06683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371" w:type="dxa"/>
          </w:tcPr>
          <w:p w14:paraId="77320A8E" w14:textId="77777777" w:rsidR="00B41982" w:rsidRPr="00A819DA" w:rsidRDefault="00B41982" w:rsidP="00C06683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 xml:space="preserve">People coming to work and travel in New Zealand. </w:t>
            </w:r>
          </w:p>
          <w:p w14:paraId="55CBD70E" w14:textId="77777777" w:rsidR="007F75E5" w:rsidRPr="00A819DA" w:rsidRDefault="00B41982" w:rsidP="0023550A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Working Holiday makers play an important role in our seasonal sectors, such as tourism, hospitality and the primary industries</w:t>
            </w:r>
            <w:r w:rsidR="0023550A" w:rsidRPr="00A819D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41982" w:rsidRPr="00A819DA" w14:paraId="310CB3BF" w14:textId="77777777" w:rsidTr="00A819DA">
        <w:tc>
          <w:tcPr>
            <w:tcW w:w="10490" w:type="dxa"/>
            <w:gridSpan w:val="2"/>
            <w:shd w:val="clear" w:color="auto" w:fill="BFBFBF" w:themeFill="background1" w:themeFillShade="BF"/>
          </w:tcPr>
          <w:p w14:paraId="6D7EB5AE" w14:textId="77777777" w:rsidR="00B41982" w:rsidRPr="00A819DA" w:rsidRDefault="00B41982" w:rsidP="00C06683">
            <w:pPr>
              <w:pStyle w:val="CabStandard"/>
              <w:numPr>
                <w:ilvl w:val="0"/>
                <w:numId w:val="0"/>
              </w:num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9DA">
              <w:rPr>
                <w:rFonts w:ascii="Arial" w:hAnsi="Arial" w:cs="Arial"/>
                <w:b/>
                <w:sz w:val="22"/>
                <w:szCs w:val="22"/>
              </w:rPr>
              <w:t>Step 3 – 11:59pm 12 April 2022</w:t>
            </w:r>
          </w:p>
        </w:tc>
      </w:tr>
      <w:tr w:rsidR="00B41982" w:rsidRPr="00A819DA" w14:paraId="2D0C0328" w14:textId="77777777" w:rsidTr="00A819DA">
        <w:tc>
          <w:tcPr>
            <w:tcW w:w="3119" w:type="dxa"/>
            <w:shd w:val="clear" w:color="auto" w:fill="BFBFBF" w:themeFill="background1" w:themeFillShade="BF"/>
          </w:tcPr>
          <w:p w14:paraId="4F5870A4" w14:textId="77777777" w:rsidR="00B41982" w:rsidRPr="00A819DA" w:rsidRDefault="00B41982" w:rsidP="00C06683">
            <w:pPr>
              <w:pStyle w:val="CabStandard"/>
              <w:numPr>
                <w:ilvl w:val="0"/>
                <w:numId w:val="0"/>
              </w:numPr>
              <w:spacing w:after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19DA">
              <w:rPr>
                <w:rFonts w:ascii="Arial" w:hAnsi="Arial" w:cs="Arial"/>
                <w:b/>
                <w:sz w:val="22"/>
                <w:szCs w:val="22"/>
              </w:rPr>
              <w:t>Group eligible to travel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14:paraId="0EE61DA5" w14:textId="77777777" w:rsidR="00B41982" w:rsidRPr="00A819DA" w:rsidRDefault="00B41982" w:rsidP="00C06683">
            <w:pPr>
              <w:pStyle w:val="CabStandard"/>
              <w:numPr>
                <w:ilvl w:val="0"/>
                <w:numId w:val="0"/>
              </w:num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b/>
                <w:sz w:val="22"/>
                <w:szCs w:val="22"/>
              </w:rPr>
              <w:t>Types of workers / people</w:t>
            </w:r>
          </w:p>
        </w:tc>
      </w:tr>
      <w:tr w:rsidR="00B41982" w:rsidRPr="00A819DA" w14:paraId="28EC8DC9" w14:textId="77777777" w:rsidTr="00A819DA">
        <w:tc>
          <w:tcPr>
            <w:tcW w:w="3119" w:type="dxa"/>
          </w:tcPr>
          <w:p w14:paraId="40E1E28F" w14:textId="77777777" w:rsidR="00B41982" w:rsidRPr="00A819DA" w:rsidRDefault="00B41982" w:rsidP="00C06683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Existing visa holders</w:t>
            </w:r>
          </w:p>
        </w:tc>
        <w:tc>
          <w:tcPr>
            <w:tcW w:w="7371" w:type="dxa"/>
          </w:tcPr>
          <w:p w14:paraId="34BD574D" w14:textId="77777777" w:rsidR="00A63992" w:rsidRPr="00A819DA" w:rsidRDefault="00A63992" w:rsidP="00A63992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People who hold a current valid temporary visa and are currently outside of New Zealand.</w:t>
            </w:r>
          </w:p>
          <w:p w14:paraId="5ECAE629" w14:textId="77777777" w:rsidR="00A819DA" w:rsidRPr="00A819DA" w:rsidRDefault="00A63992" w:rsidP="00A63992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Will be eligible to travel from 12 April. Some existing visa holders may no longer meet the requirements of their original visa, or no longer wish to travel.</w:t>
            </w:r>
          </w:p>
        </w:tc>
      </w:tr>
      <w:tr w:rsidR="00B41982" w:rsidRPr="00A819DA" w14:paraId="285E9F5A" w14:textId="77777777" w:rsidTr="00A819DA">
        <w:trPr>
          <w:trHeight w:val="781"/>
        </w:trPr>
        <w:tc>
          <w:tcPr>
            <w:tcW w:w="3119" w:type="dxa"/>
          </w:tcPr>
          <w:p w14:paraId="16081829" w14:textId="77777777" w:rsidR="00B41982" w:rsidRPr="00A819DA" w:rsidRDefault="00B41982" w:rsidP="00C06683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Students</w:t>
            </w:r>
          </w:p>
        </w:tc>
        <w:tc>
          <w:tcPr>
            <w:tcW w:w="7371" w:type="dxa"/>
          </w:tcPr>
          <w:p w14:paraId="4F93A2F4" w14:textId="77777777" w:rsidR="004E4772" w:rsidRPr="00A819DA" w:rsidRDefault="004E4772" w:rsidP="00C06683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Up to 5000 student</w:t>
            </w:r>
            <w:r w:rsidR="00BB1AF0" w:rsidRPr="00A819DA">
              <w:rPr>
                <w:rFonts w:ascii="Arial" w:hAnsi="Arial" w:cs="Arial"/>
                <w:sz w:val="22"/>
                <w:szCs w:val="22"/>
              </w:rPr>
              <w:t>s</w:t>
            </w:r>
            <w:r w:rsidRPr="00A819DA">
              <w:rPr>
                <w:rFonts w:ascii="Arial" w:hAnsi="Arial" w:cs="Arial"/>
                <w:sz w:val="22"/>
                <w:szCs w:val="22"/>
              </w:rPr>
              <w:t xml:space="preserve"> eligible to enter New Zealand to study for semester two.</w:t>
            </w:r>
          </w:p>
          <w:p w14:paraId="6DDF3E1C" w14:textId="77777777" w:rsidR="00B41982" w:rsidRPr="00A819DA" w:rsidRDefault="00B41982" w:rsidP="00C06683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Details to be determined by the Ministe</w:t>
            </w:r>
            <w:r w:rsidR="004E4772" w:rsidRPr="00A819DA">
              <w:rPr>
                <w:rFonts w:ascii="Arial" w:hAnsi="Arial" w:cs="Arial"/>
                <w:sz w:val="22"/>
                <w:szCs w:val="22"/>
              </w:rPr>
              <w:t>rs of Education and Immigration.</w:t>
            </w:r>
          </w:p>
        </w:tc>
      </w:tr>
      <w:tr w:rsidR="00C57D19" w:rsidRPr="00A819DA" w14:paraId="4B4AC808" w14:textId="77777777" w:rsidTr="00A819DA">
        <w:trPr>
          <w:trHeight w:val="781"/>
        </w:trPr>
        <w:tc>
          <w:tcPr>
            <w:tcW w:w="3119" w:type="dxa"/>
          </w:tcPr>
          <w:p w14:paraId="5113F7D1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Class exceptions for critical workforces</w:t>
            </w:r>
          </w:p>
          <w:p w14:paraId="0616E8A4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7E79BA5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Seasonal workers, critical workers who don’t meet the bright-line test and other priority travellers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819DA">
              <w:rPr>
                <w:rFonts w:ascii="Arial" w:hAnsi="Arial" w:cs="Arial"/>
                <w:sz w:val="22"/>
                <w:szCs w:val="22"/>
              </w:rPr>
              <w:t xml:space="preserve"> Existing Border Exceptions remain eligible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819DA">
              <w:rPr>
                <w:rFonts w:ascii="Arial" w:hAnsi="Arial" w:cs="Arial"/>
                <w:sz w:val="22"/>
                <w:szCs w:val="22"/>
              </w:rPr>
              <w:t xml:space="preserve"> as well as </w:t>
            </w:r>
            <w:r>
              <w:rPr>
                <w:rFonts w:ascii="Arial" w:hAnsi="Arial" w:cs="Arial"/>
                <w:sz w:val="22"/>
                <w:szCs w:val="22"/>
              </w:rPr>
              <w:t>consideration of</w:t>
            </w:r>
            <w:r w:rsidRPr="00A819DA">
              <w:rPr>
                <w:rFonts w:ascii="Arial" w:hAnsi="Arial" w:cs="Arial"/>
                <w:sz w:val="22"/>
                <w:szCs w:val="22"/>
              </w:rPr>
              <w:t xml:space="preserve"> creating new class exceptions, or additions to lists, for critical workforces that do not meet the 1.5 x median wage bright-line test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57D19" w:rsidRPr="00A819DA" w14:paraId="7869953F" w14:textId="77777777" w:rsidTr="00A819DA">
        <w:trPr>
          <w:trHeight w:val="781"/>
        </w:trPr>
        <w:tc>
          <w:tcPr>
            <w:tcW w:w="3119" w:type="dxa"/>
          </w:tcPr>
          <w:p w14:paraId="0EE8B280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Events and sports</w:t>
            </w:r>
          </w:p>
        </w:tc>
        <w:tc>
          <w:tcPr>
            <w:tcW w:w="7371" w:type="dxa"/>
          </w:tcPr>
          <w:p w14:paraId="101498F1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Professional sports players and team members (managers and coaches etc)</w:t>
            </w:r>
          </w:p>
          <w:p w14:paraId="013C111F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 xml:space="preserve">Performers and support crew for cultural events with significant national/ regional benefits. </w:t>
            </w:r>
          </w:p>
        </w:tc>
      </w:tr>
      <w:tr w:rsidR="00C57D19" w:rsidRPr="00A819DA" w14:paraId="6C5DC23F" w14:textId="77777777" w:rsidTr="00A819DA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058F7A91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9DA">
              <w:rPr>
                <w:rFonts w:ascii="Arial" w:hAnsi="Arial" w:cs="Arial"/>
                <w:b/>
                <w:sz w:val="22"/>
                <w:szCs w:val="22"/>
              </w:rPr>
              <w:t xml:space="preserve">Step 4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by </w:t>
            </w:r>
            <w:r w:rsidRPr="00A819DA">
              <w:rPr>
                <w:rFonts w:ascii="Arial" w:hAnsi="Arial" w:cs="Arial"/>
                <w:b/>
                <w:sz w:val="22"/>
                <w:szCs w:val="22"/>
              </w:rPr>
              <w:t>July 2022</w:t>
            </w:r>
          </w:p>
        </w:tc>
      </w:tr>
      <w:tr w:rsidR="00C57D19" w:rsidRPr="00A819DA" w14:paraId="42A3F9C8" w14:textId="77777777" w:rsidTr="00A819DA">
        <w:tc>
          <w:tcPr>
            <w:tcW w:w="3119" w:type="dxa"/>
            <w:shd w:val="clear" w:color="auto" w:fill="D9D9D9" w:themeFill="background1" w:themeFillShade="D9"/>
          </w:tcPr>
          <w:p w14:paraId="63F1E638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9DA">
              <w:rPr>
                <w:rFonts w:ascii="Arial" w:hAnsi="Arial" w:cs="Arial"/>
                <w:b/>
                <w:sz w:val="22"/>
                <w:szCs w:val="22"/>
              </w:rPr>
              <w:t>Group eligible to travel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5219CB95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9DA">
              <w:rPr>
                <w:rFonts w:ascii="Arial" w:hAnsi="Arial" w:cs="Arial"/>
                <w:b/>
                <w:sz w:val="22"/>
                <w:szCs w:val="22"/>
              </w:rPr>
              <w:t>Types of workers / people</w:t>
            </w:r>
          </w:p>
        </w:tc>
      </w:tr>
      <w:tr w:rsidR="00C57D19" w:rsidRPr="00A819DA" w14:paraId="58E42F1E" w14:textId="77777777" w:rsidTr="00A819DA">
        <w:tc>
          <w:tcPr>
            <w:tcW w:w="3119" w:type="dxa"/>
          </w:tcPr>
          <w:p w14:paraId="27B241A7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Australian citizens, permanent residents and other foreign nationals in Australia</w:t>
            </w:r>
          </w:p>
        </w:tc>
        <w:tc>
          <w:tcPr>
            <w:tcW w:w="7371" w:type="dxa"/>
          </w:tcPr>
          <w:p w14:paraId="7C8D6EE5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Short-term business travellers, people visiting family and friends, and tourists. Could include some workers.</w:t>
            </w:r>
          </w:p>
        </w:tc>
      </w:tr>
      <w:tr w:rsidR="00C57D19" w:rsidRPr="00A819DA" w14:paraId="405970C4" w14:textId="77777777" w:rsidTr="00A819DA">
        <w:tc>
          <w:tcPr>
            <w:tcW w:w="3119" w:type="dxa"/>
          </w:tcPr>
          <w:p w14:paraId="44F06957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Visa-waiver travellers</w:t>
            </w:r>
          </w:p>
        </w:tc>
        <w:tc>
          <w:tcPr>
            <w:tcW w:w="7371" w:type="dxa"/>
          </w:tcPr>
          <w:p w14:paraId="56060778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Visitors and short-term business travellers.</w:t>
            </w:r>
          </w:p>
        </w:tc>
      </w:tr>
      <w:tr w:rsidR="00C57D19" w:rsidRPr="00A819DA" w14:paraId="717018C2" w14:textId="77777777" w:rsidTr="00A819DA">
        <w:tc>
          <w:tcPr>
            <w:tcW w:w="3119" w:type="dxa"/>
          </w:tcPr>
          <w:p w14:paraId="4247F7CE" w14:textId="77777777" w:rsidR="00C57D19" w:rsidRPr="008B020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 xml:space="preserve">Accredited Employer Work Visas </w:t>
            </w:r>
            <w:r>
              <w:rPr>
                <w:rFonts w:ascii="Arial" w:hAnsi="Arial" w:cs="Arial"/>
                <w:sz w:val="22"/>
                <w:szCs w:val="22"/>
              </w:rPr>
              <w:t xml:space="preserve">(note this will open </w:t>
            </w:r>
            <w:r>
              <w:rPr>
                <w:rFonts w:ascii="Arial" w:hAnsi="Arial" w:cs="Arial"/>
                <w:b/>
                <w:sz w:val="22"/>
                <w:szCs w:val="22"/>
              </w:rPr>
              <w:t>from July)</w:t>
            </w:r>
          </w:p>
        </w:tc>
        <w:tc>
          <w:tcPr>
            <w:tcW w:w="7371" w:type="dxa"/>
          </w:tcPr>
          <w:p w14:paraId="5DFA6330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 xml:space="preserve">Workers earning over the median wage. </w:t>
            </w:r>
          </w:p>
          <w:p w14:paraId="69BC21F8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7D19" w:rsidRPr="00A819DA" w14:paraId="703E44C1" w14:textId="77777777" w:rsidTr="00A819DA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7472B95E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9DA">
              <w:rPr>
                <w:rFonts w:ascii="Arial" w:hAnsi="Arial" w:cs="Arial"/>
                <w:b/>
                <w:sz w:val="22"/>
                <w:szCs w:val="22"/>
              </w:rPr>
              <w:t>Step 5 – October 2022</w:t>
            </w:r>
          </w:p>
        </w:tc>
      </w:tr>
      <w:tr w:rsidR="00C57D19" w:rsidRPr="00A819DA" w14:paraId="517EBC46" w14:textId="77777777" w:rsidTr="00A819DA">
        <w:tc>
          <w:tcPr>
            <w:tcW w:w="3119" w:type="dxa"/>
            <w:shd w:val="clear" w:color="auto" w:fill="D9D9D9" w:themeFill="background1" w:themeFillShade="D9"/>
          </w:tcPr>
          <w:p w14:paraId="1FE098D3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9DA">
              <w:rPr>
                <w:rFonts w:ascii="Arial" w:hAnsi="Arial" w:cs="Arial"/>
                <w:b/>
                <w:sz w:val="22"/>
                <w:szCs w:val="22"/>
              </w:rPr>
              <w:t>Group eligible to travel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0653A21C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19DA">
              <w:rPr>
                <w:rFonts w:ascii="Arial" w:hAnsi="Arial" w:cs="Arial"/>
                <w:b/>
                <w:sz w:val="22"/>
                <w:szCs w:val="22"/>
              </w:rPr>
              <w:t>Types of workers / people</w:t>
            </w:r>
          </w:p>
        </w:tc>
      </w:tr>
      <w:tr w:rsidR="00C57D19" w:rsidRPr="00A819DA" w14:paraId="5564B39E" w14:textId="77777777" w:rsidTr="00A819DA">
        <w:tc>
          <w:tcPr>
            <w:tcW w:w="3119" w:type="dxa"/>
          </w:tcPr>
          <w:p w14:paraId="0609BACD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Visitor visas</w:t>
            </w:r>
          </w:p>
        </w:tc>
        <w:tc>
          <w:tcPr>
            <w:tcW w:w="7371" w:type="dxa"/>
          </w:tcPr>
          <w:p w14:paraId="3E4FF721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Visitors and business travellers.</w:t>
            </w:r>
          </w:p>
          <w:p w14:paraId="1CC890B8" w14:textId="77777777" w:rsidR="00C57D19" w:rsidRPr="00A819DA" w:rsidRDefault="00C57D19" w:rsidP="00C57D19">
            <w:pPr>
              <w:pStyle w:val="CabStandar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19DA">
              <w:rPr>
                <w:rFonts w:ascii="Arial" w:hAnsi="Arial" w:cs="Arial"/>
                <w:sz w:val="22"/>
                <w:szCs w:val="22"/>
              </w:rPr>
              <w:t>Normal visa processing resumes (excluding any deliberately paused categories which were paused prior to COVID-19).</w:t>
            </w:r>
          </w:p>
        </w:tc>
      </w:tr>
    </w:tbl>
    <w:p w14:paraId="134B86E6" w14:textId="77777777" w:rsidR="00F932C1" w:rsidRDefault="00826E4B"/>
    <w:sectPr w:rsidR="00F932C1" w:rsidSect="007A4CF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700"/>
    <w:multiLevelType w:val="hybridMultilevel"/>
    <w:tmpl w:val="34D05C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5065"/>
    <w:multiLevelType w:val="hybridMultilevel"/>
    <w:tmpl w:val="0D141D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2F20"/>
    <w:multiLevelType w:val="hybridMultilevel"/>
    <w:tmpl w:val="46929B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94E85"/>
    <w:multiLevelType w:val="hybridMultilevel"/>
    <w:tmpl w:val="167016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74C2"/>
    <w:multiLevelType w:val="hybridMultilevel"/>
    <w:tmpl w:val="1AB26C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5323F"/>
    <w:multiLevelType w:val="hybridMultilevel"/>
    <w:tmpl w:val="A9CC88B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5BCC"/>
    <w:multiLevelType w:val="multilevel"/>
    <w:tmpl w:val="0860AE28"/>
    <w:lvl w:ilvl="0">
      <w:start w:val="1"/>
      <w:numFmt w:val="decimal"/>
      <w:pStyle w:val="CabStandard"/>
      <w:lvlText w:val="%1"/>
      <w:lvlJc w:val="left"/>
      <w:pPr>
        <w:tabs>
          <w:tab w:val="num" w:pos="862"/>
        </w:tabs>
        <w:ind w:left="862" w:hanging="720"/>
      </w:pPr>
      <w:rPr>
        <w:rFonts w:ascii="Arial" w:hAnsi="Arial" w:cs="Arial" w:hint="default"/>
        <w:b w:val="0"/>
        <w:bCs w:val="0"/>
        <w:i w:val="0"/>
        <w:iCs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bCs w:val="0"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  <w:i w:val="0"/>
        <w:iCs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7" w15:restartNumberingAfterBreak="0">
    <w:nsid w:val="6B0A2E15"/>
    <w:multiLevelType w:val="hybridMultilevel"/>
    <w:tmpl w:val="39F2699C"/>
    <w:lvl w:ilvl="0" w:tplc="1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734560C6"/>
    <w:multiLevelType w:val="hybridMultilevel"/>
    <w:tmpl w:val="BD2841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858C7"/>
    <w:multiLevelType w:val="hybridMultilevel"/>
    <w:tmpl w:val="4BB4A93E"/>
    <w:lvl w:ilvl="0" w:tplc="ECF4E25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6"/>
  </w:num>
  <w:num w:numId="8">
    <w:abstractNumId w:val="5"/>
  </w:num>
  <w:num w:numId="9">
    <w:abstractNumId w:val="6"/>
  </w:num>
  <w:num w:numId="10">
    <w:abstractNumId w:val="6"/>
  </w:num>
  <w:num w:numId="11">
    <w:abstractNumId w:val="4"/>
  </w:num>
  <w:num w:numId="12">
    <w:abstractNumId w:val="1"/>
  </w:num>
  <w:num w:numId="13">
    <w:abstractNumId w:val="6"/>
  </w:num>
  <w:num w:numId="14">
    <w:abstractNumId w:val="6"/>
  </w:num>
  <w:num w:numId="15">
    <w:abstractNumId w:val="7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83"/>
    <w:rsid w:val="002318B4"/>
    <w:rsid w:val="0023550A"/>
    <w:rsid w:val="002760C3"/>
    <w:rsid w:val="00343B54"/>
    <w:rsid w:val="003559EA"/>
    <w:rsid w:val="003E1BED"/>
    <w:rsid w:val="00483237"/>
    <w:rsid w:val="004D052C"/>
    <w:rsid w:val="004E4772"/>
    <w:rsid w:val="005129F9"/>
    <w:rsid w:val="00596684"/>
    <w:rsid w:val="00635915"/>
    <w:rsid w:val="007B3C7A"/>
    <w:rsid w:val="007F75E5"/>
    <w:rsid w:val="00826E4B"/>
    <w:rsid w:val="008B020A"/>
    <w:rsid w:val="00A44CCC"/>
    <w:rsid w:val="00A63992"/>
    <w:rsid w:val="00A819DA"/>
    <w:rsid w:val="00B41982"/>
    <w:rsid w:val="00BB1AF0"/>
    <w:rsid w:val="00BB781C"/>
    <w:rsid w:val="00C06683"/>
    <w:rsid w:val="00C45353"/>
    <w:rsid w:val="00C57D19"/>
    <w:rsid w:val="00DF63A0"/>
    <w:rsid w:val="00E01452"/>
    <w:rsid w:val="00F228FD"/>
    <w:rsid w:val="00F50802"/>
    <w:rsid w:val="00F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BA7B"/>
  <w15:chartTrackingRefBased/>
  <w15:docId w15:val="{620D7D12-84AD-4797-A331-64BC073B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08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06683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aliases w:val="Header Table Grid"/>
    <w:basedOn w:val="TableNormal"/>
    <w:uiPriority w:val="59"/>
    <w:rsid w:val="00C0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Standard">
    <w:name w:val="CabStandard"/>
    <w:basedOn w:val="Normal"/>
    <w:link w:val="CabStandardChar"/>
    <w:qFormat/>
    <w:rsid w:val="00C06683"/>
    <w:pPr>
      <w:numPr>
        <w:numId w:val="1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character" w:customStyle="1" w:styleId="CabStandardChar">
    <w:name w:val="CabStandard Char"/>
    <w:basedOn w:val="DefaultParagraphFont"/>
    <w:link w:val="CabStandard"/>
    <w:locked/>
    <w:rsid w:val="00C06683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C06683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06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6683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6683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8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50802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styleId="Hyperlink">
    <w:name w:val="Hyperlink"/>
    <w:basedOn w:val="DefaultParagraphFont"/>
    <w:uiPriority w:val="99"/>
    <w:unhideWhenUsed/>
    <w:rsid w:val="00F96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migration.govt.nz/about-us/covid-19/border-closures-and-exceptions/entry-to-new-zealand/critical-purpose-reasons-you-can-travel-to-new-zealand" TargetMode="External"/><Relationship Id="rId5" Type="http://schemas.openxmlformats.org/officeDocument/2006/relationships/hyperlink" Target="https://www.immigration.govt.nz/about-us/covid-19/border-closures-and-exceptions/entry-to-new-zealand/critical-purpose-reasons-you-can-travel-to-new-zeal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Parliamentary Service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Holland</dc:creator>
  <cp:keywords/>
  <dc:description/>
  <cp:lastModifiedBy>Alex Tarrant</cp:lastModifiedBy>
  <cp:revision>2</cp:revision>
  <dcterms:created xsi:type="dcterms:W3CDTF">2022-02-02T22:00:00Z</dcterms:created>
  <dcterms:modified xsi:type="dcterms:W3CDTF">2022-02-02T22:00:00Z</dcterms:modified>
</cp:coreProperties>
</file>