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Calibri" w:hAnsi="Calibri"/>
          <w:sz w:val="22"/>
          <w:szCs w:val="22"/>
        </w:rPr>
      </w:pPr>
      <w:bookmarkStart w:id="0" w:name="_GoBack"/>
      <w:bookmarkEnd w:id="0"/>
    </w:p>
    <w:p>
      <w:pPr>
        <w:rPr>
          <w:rFonts w:ascii="Calibri" w:hAnsi="Calibri"/>
          <w:sz w:val="22"/>
          <w:szCs w:val="22"/>
        </w:rPr>
      </w:pPr>
    </w:p>
    <w:p>
      <w:pPr>
        <w:rPr>
          <w:rFonts w:ascii="Calibri" w:hAnsi="Calibri"/>
          <w:sz w:val="22"/>
          <w:szCs w:val="22"/>
        </w:rPr>
      </w:pPr>
    </w:p>
    <w:p>
      <w:pPr>
        <w:rPr>
          <w:rFonts w:ascii="Calibri" w:hAnsi="Calibri"/>
          <w:sz w:val="22"/>
          <w:szCs w:val="22"/>
        </w:rPr>
      </w:pPr>
    </w:p>
    <w:p>
      <w:pPr>
        <w:rPr>
          <w:rFonts w:ascii="Calibri" w:hAnsi="Calibri"/>
          <w:sz w:val="22"/>
          <w:szCs w:val="22"/>
        </w:rPr>
      </w:pPr>
    </w:p>
    <w:p>
      <w:pPr>
        <w:rPr>
          <w:rFonts w:ascii="Calibri" w:hAnsi="Calibri"/>
          <w:sz w:val="22"/>
          <w:szCs w:val="22"/>
        </w:rPr>
      </w:pPr>
    </w:p>
    <w:p>
      <w:pPr>
        <w:rPr>
          <w:rFonts w:ascii="Calibri" w:hAnsi="Calibri"/>
          <w:sz w:val="22"/>
          <w:szCs w:val="22"/>
        </w:rPr>
      </w:pPr>
    </w:p>
    <w:p>
      <w:pPr>
        <w:rPr>
          <w:rFonts w:ascii="Calibri" w:hAnsi="Calibri"/>
          <w:sz w:val="22"/>
          <w:szCs w:val="22"/>
        </w:rPr>
      </w:pPr>
    </w:p>
    <w:p>
      <w:pPr>
        <w:rPr>
          <w:rFonts w:ascii="Calibri" w:hAnsi="Calibri"/>
          <w:sz w:val="22"/>
          <w:szCs w:val="22"/>
        </w:rPr>
      </w:pPr>
    </w:p>
    <w:p>
      <w:pPr>
        <w:rPr>
          <w:rFonts w:ascii="Calibri" w:hAnsi="Calibri" w:eastAsia="Times New Roman" w:cs="Calibri"/>
          <w:sz w:val="22"/>
          <w:szCs w:val="22"/>
          <w:lang w:eastAsia="en-NZ"/>
        </w:rPr>
      </w:pPr>
      <w:r>
        <w:rPr>
          <w:rFonts w:ascii="Calibri" w:hAnsi="Calibri" w:eastAsia="Times New Roman" w:cs="Calibri"/>
          <w:sz w:val="22"/>
          <w:szCs w:val="22"/>
          <w:lang w:eastAsia="en-NZ"/>
        </w:rPr>
        <w:t>2 May 2022</w:t>
      </w:r>
    </w:p>
    <w:p>
      <w:pPr>
        <w:rPr>
          <w:rFonts w:ascii="Calibri" w:hAnsi="Calibri" w:eastAsia="Times New Roman" w:cs="Calibri"/>
          <w:sz w:val="22"/>
          <w:szCs w:val="22"/>
          <w:lang w:eastAsia="en-NZ"/>
        </w:rPr>
      </w:pPr>
    </w:p>
    <w:p>
      <w:pPr>
        <w:rPr>
          <w:rFonts w:ascii="Calibri" w:hAnsi="Calibri" w:eastAsia="Times New Roman" w:cs="Calibri"/>
          <w:b/>
          <w:bCs/>
          <w:sz w:val="28"/>
          <w:szCs w:val="28"/>
          <w:lang w:eastAsia="en-NZ"/>
        </w:rPr>
      </w:pPr>
    </w:p>
    <w:p>
      <w:pPr>
        <w:rPr>
          <w:rFonts w:asciiTheme="majorHAnsi" w:hAnsiTheme="majorHAnsi" w:cstheme="majorHAnsi"/>
          <w:b/>
          <w:bCs/>
          <w:sz w:val="28"/>
          <w:szCs w:val="28"/>
        </w:rPr>
      </w:pPr>
      <w:r>
        <w:rPr>
          <w:rFonts w:asciiTheme="majorHAnsi" w:hAnsiTheme="majorHAnsi" w:cstheme="majorHAnsi"/>
          <w:b/>
          <w:bCs/>
          <w:sz w:val="28"/>
          <w:szCs w:val="28"/>
        </w:rPr>
        <w:t>Strong New Vehicle Registrations of Hybrids and PHEVs in April 2022 but Light Commercial Vehicles Crash</w:t>
      </w:r>
    </w:p>
    <w:p>
      <w:pPr>
        <w:rPr>
          <w:rFonts w:ascii="Calibri" w:hAnsi="Calibri" w:eastAsia="Times New Roman" w:cs="Calibri"/>
          <w:sz w:val="22"/>
          <w:szCs w:val="22"/>
          <w:lang w:eastAsia="en-NZ"/>
        </w:rPr>
      </w:pPr>
    </w:p>
    <w:p>
      <w:pPr>
        <w:rPr>
          <w:rFonts w:ascii="Calibri" w:hAnsi="Calibri" w:eastAsia="Times New Roman" w:cs="Calibri"/>
          <w:sz w:val="22"/>
          <w:szCs w:val="22"/>
          <w:lang w:eastAsia="en-NZ"/>
        </w:rPr>
      </w:pPr>
      <w:r>
        <w:rPr>
          <w:rFonts w:ascii="Calibri" w:hAnsi="Calibri" w:eastAsia="Times New Roman" w:cs="Calibri"/>
          <w:sz w:val="22"/>
          <w:szCs w:val="22"/>
          <w:lang w:eastAsia="en-NZ"/>
        </w:rPr>
        <w:t xml:space="preserve">Motor Industry Association Chief Executive David Crawford says that as anticipated following the introduction of the Clean Car Discount fees that became operative on 1 April, registrations of 9,756 vehicles for the month are the weakest month of April since 2015. </w:t>
      </w:r>
    </w:p>
    <w:p>
      <w:pPr>
        <w:rPr>
          <w:rFonts w:ascii="Calibri" w:hAnsi="Calibri" w:eastAsia="Times New Roman" w:cs="Calibri"/>
          <w:sz w:val="22"/>
          <w:szCs w:val="22"/>
          <w:lang w:eastAsia="en-NZ"/>
        </w:rPr>
      </w:pPr>
    </w:p>
    <w:p>
      <w:pPr>
        <w:rPr>
          <w:rFonts w:ascii="Calibri" w:hAnsi="Calibri" w:eastAsia="Times New Roman" w:cs="Calibri"/>
          <w:sz w:val="22"/>
          <w:szCs w:val="22"/>
          <w:lang w:eastAsia="en-NZ"/>
        </w:rPr>
      </w:pPr>
      <w:r>
        <w:rPr>
          <w:rFonts w:ascii="Calibri" w:hAnsi="Calibri" w:eastAsia="Times New Roman" w:cs="Calibri"/>
          <w:sz w:val="22"/>
          <w:szCs w:val="22"/>
          <w:lang w:eastAsia="en-NZ"/>
        </w:rPr>
        <w:t>Registrations of 8,536 passenger cars and SUV’s were the second strongest month on record, largely due to sales of hybrid vehicles that are now eligible for a discount. However, registrations of 1,220 new commercial vehicles were down 72% with sales of light commercial vehicles coming in at just 730 units for the month.</w:t>
      </w:r>
    </w:p>
    <w:p>
      <w:pPr>
        <w:rPr>
          <w:rFonts w:ascii="Calibri" w:hAnsi="Calibri" w:eastAsia="Times New Roman" w:cs="Calibri"/>
          <w:sz w:val="22"/>
          <w:szCs w:val="22"/>
          <w:lang w:eastAsia="en-NZ"/>
        </w:rPr>
      </w:pPr>
    </w:p>
    <w:p>
      <w:pPr>
        <w:rPr>
          <w:rFonts w:ascii="Calibri" w:hAnsi="Calibri" w:eastAsia="Times New Roman" w:cs="Calibri"/>
          <w:sz w:val="22"/>
          <w:szCs w:val="22"/>
          <w:lang w:eastAsia="en-NZ"/>
        </w:rPr>
      </w:pPr>
      <w:r>
        <w:rPr>
          <w:rFonts w:ascii="Calibri" w:hAnsi="Calibri" w:eastAsia="Times New Roman" w:cs="Calibri"/>
          <w:sz w:val="22"/>
          <w:szCs w:val="22"/>
          <w:lang w:eastAsia="en-NZ"/>
        </w:rPr>
        <w:t xml:space="preserve">It is the first time on over a decade that a ute has not made it to a top three monthly registrations. It is anticipated sales of utes will gradually recover as the year progresses. </w:t>
      </w:r>
    </w:p>
    <w:p>
      <w:pPr>
        <w:rPr>
          <w:rFonts w:ascii="Calibri" w:hAnsi="Calibri" w:eastAsia="Times New Roman" w:cs="Calibri"/>
          <w:sz w:val="22"/>
          <w:szCs w:val="22"/>
          <w:lang w:eastAsia="en-NZ"/>
        </w:rPr>
      </w:pPr>
    </w:p>
    <w:p>
      <w:pPr>
        <w:rPr>
          <w:rFonts w:ascii="Calibri" w:hAnsi="Calibri" w:eastAsia="Times New Roman" w:cs="Calibri"/>
          <w:sz w:val="22"/>
          <w:szCs w:val="22"/>
          <w:lang w:eastAsia="en-NZ"/>
        </w:rPr>
      </w:pPr>
      <w:r>
        <w:rPr>
          <w:rFonts w:ascii="Calibri" w:hAnsi="Calibri" w:eastAsia="Times New Roman" w:cs="Calibri"/>
          <w:sz w:val="22"/>
          <w:szCs w:val="22"/>
          <w:lang w:eastAsia="en-NZ"/>
        </w:rPr>
        <w:t>Overall, registrations of 9,756 new vehicles were down 25.7% (3,377 units) on April 2021.  Year to date the market is up 3.4% (1,853 units) compared to the first four months of 2021.</w:t>
      </w:r>
    </w:p>
    <w:p>
      <w:pPr>
        <w:rPr>
          <w:rFonts w:ascii="Calibri" w:hAnsi="Calibri" w:eastAsia="Times New Roman" w:cs="Calibri"/>
          <w:sz w:val="22"/>
          <w:szCs w:val="22"/>
          <w:lang w:eastAsia="en-NZ"/>
        </w:rPr>
      </w:pPr>
    </w:p>
    <w:p>
      <w:pPr>
        <w:rPr>
          <w:rFonts w:ascii="Calibri" w:hAnsi="Calibri" w:eastAsia="Times New Roman" w:cs="Calibri"/>
          <w:sz w:val="22"/>
          <w:szCs w:val="22"/>
          <w:lang w:eastAsia="en-NZ"/>
        </w:rPr>
      </w:pPr>
    </w:p>
    <w:p>
      <w:pPr>
        <w:rPr>
          <w:rFonts w:ascii="Calibri" w:hAnsi="Calibri" w:eastAsia="Times New Roman" w:cs="Calibri"/>
          <w:b/>
          <w:bCs/>
          <w:sz w:val="22"/>
          <w:szCs w:val="22"/>
          <w:lang w:eastAsia="en-NZ"/>
        </w:rPr>
      </w:pPr>
      <w:r>
        <w:rPr>
          <w:rFonts w:ascii="Calibri" w:hAnsi="Calibri" w:eastAsia="Times New Roman" w:cs="Calibri"/>
          <w:b/>
          <w:bCs/>
          <w:sz w:val="22"/>
          <w:szCs w:val="22"/>
          <w:lang w:eastAsia="en-NZ"/>
        </w:rPr>
        <w:t>Key points</w:t>
      </w:r>
    </w:p>
    <w:p>
      <w:pPr>
        <w:pStyle w:val="14"/>
        <w:numPr>
          <w:ilvl w:val="0"/>
          <w:numId w:val="1"/>
        </w:numPr>
        <w:ind w:left="567" w:hanging="567"/>
        <w:contextualSpacing/>
        <w:rPr>
          <w:rFonts w:eastAsia="Times New Roman" w:cs="Calibri"/>
          <w:lang w:eastAsia="en-NZ"/>
        </w:rPr>
      </w:pPr>
      <w:r>
        <w:rPr>
          <w:rFonts w:eastAsia="Times New Roman" w:cs="Calibri"/>
          <w:lang w:eastAsia="en-NZ"/>
        </w:rPr>
        <w:t xml:space="preserve">Overall, April 2022 registrations of 9.756 vehicles were down 25.6% (3,377 units) on the same month in 2021, and are 3.4% up (1,853 units) on 2021 year to date. </w:t>
      </w:r>
    </w:p>
    <w:p>
      <w:pPr>
        <w:pStyle w:val="14"/>
        <w:ind w:left="567" w:hanging="567"/>
        <w:contextualSpacing/>
        <w:rPr>
          <w:rFonts w:eastAsia="Times New Roman" w:cs="Calibri"/>
          <w:lang w:eastAsia="en-NZ"/>
        </w:rPr>
      </w:pPr>
    </w:p>
    <w:p>
      <w:pPr>
        <w:pStyle w:val="14"/>
        <w:numPr>
          <w:ilvl w:val="0"/>
          <w:numId w:val="1"/>
        </w:numPr>
        <w:ind w:left="567" w:hanging="567"/>
        <w:contextualSpacing/>
        <w:rPr>
          <w:rFonts w:eastAsia="Times New Roman" w:cs="Calibri"/>
          <w:lang w:eastAsia="en-NZ"/>
        </w:rPr>
      </w:pPr>
      <w:r>
        <w:rPr>
          <w:rFonts w:eastAsia="Times New Roman" w:cs="Calibri"/>
          <w:lang w:eastAsia="en-NZ"/>
        </w:rPr>
        <w:t xml:space="preserve">There were 572 pure electric vehicles, 1,113 PHEV’s and 2,145 hybrid vehicles sold for the month. </w:t>
      </w:r>
    </w:p>
    <w:p>
      <w:pPr>
        <w:pStyle w:val="14"/>
        <w:rPr>
          <w:rFonts w:eastAsia="Times New Roman" w:cs="Calibri"/>
          <w:lang w:eastAsia="en-NZ"/>
        </w:rPr>
      </w:pPr>
    </w:p>
    <w:p>
      <w:pPr>
        <w:pStyle w:val="14"/>
        <w:numPr>
          <w:ilvl w:val="0"/>
          <w:numId w:val="1"/>
        </w:numPr>
        <w:ind w:left="567" w:hanging="567"/>
        <w:contextualSpacing/>
        <w:rPr>
          <w:rFonts w:eastAsia="Times New Roman" w:cs="Calibri"/>
          <w:lang w:eastAsia="en-NZ"/>
        </w:rPr>
      </w:pPr>
      <w:r>
        <w:rPr>
          <w:rFonts w:eastAsia="Times New Roman" w:cs="Calibri"/>
          <w:lang w:eastAsia="en-NZ"/>
        </w:rPr>
        <w:t xml:space="preserve">Registration of 8,536 passenger and SUVs for April 2022 were down 3.3% (287 units) on April 2021, while commercial vehicle registrations of 1,220 were down 71.7% (3,090 units) compared to April 2021. </w:t>
      </w:r>
    </w:p>
    <w:p>
      <w:pPr>
        <w:pStyle w:val="14"/>
        <w:ind w:left="567" w:hanging="567"/>
        <w:rPr>
          <w:rFonts w:eastAsia="Times New Roman" w:cs="Calibri"/>
          <w:lang w:eastAsia="en-NZ"/>
        </w:rPr>
      </w:pPr>
    </w:p>
    <w:p>
      <w:pPr>
        <w:pStyle w:val="14"/>
        <w:numPr>
          <w:ilvl w:val="0"/>
          <w:numId w:val="1"/>
        </w:numPr>
        <w:ind w:left="567" w:hanging="567"/>
        <w:contextualSpacing/>
        <w:rPr>
          <w:rFonts w:eastAsia="Times New Roman" w:cs="Calibri"/>
          <w:lang w:eastAsia="en-NZ"/>
        </w:rPr>
      </w:pPr>
      <w:r>
        <w:rPr>
          <w:rFonts w:eastAsia="Times New Roman" w:cs="Calibri"/>
          <w:lang w:eastAsia="en-NZ"/>
        </w:rPr>
        <w:t xml:space="preserve">The top three models for the month of April were the Mitsubishi Outlander (837 units), followed by the Toyota RAV4 (716 units) with the Mitsubishi Eclipse Cross in third place (544 units). It is the first time in over a decade that a ute has not appeared in the top three models registered in a month. </w:t>
      </w:r>
    </w:p>
    <w:p>
      <w:pPr>
        <w:pStyle w:val="14"/>
        <w:rPr>
          <w:rFonts w:eastAsia="Times New Roman" w:cs="Calibri"/>
          <w:lang w:eastAsia="en-NZ"/>
        </w:rPr>
      </w:pPr>
    </w:p>
    <w:p>
      <w:pPr>
        <w:pStyle w:val="14"/>
        <w:numPr>
          <w:ilvl w:val="0"/>
          <w:numId w:val="1"/>
        </w:numPr>
        <w:ind w:left="567" w:hanging="567"/>
        <w:contextualSpacing/>
        <w:rPr>
          <w:rFonts w:eastAsia="Times New Roman" w:cs="Calibri"/>
          <w:lang w:eastAsia="en-NZ"/>
        </w:rPr>
      </w:pPr>
      <w:r>
        <w:rPr>
          <w:rFonts w:eastAsia="Times New Roman" w:cs="Calibri"/>
          <w:lang w:eastAsia="en-NZ"/>
        </w:rPr>
        <w:t xml:space="preserve">Registrations of heavy vehicles remains solid with 483 units for the month, while registrations of light commercial vehicles were down 72% in April last year. </w:t>
      </w:r>
    </w:p>
    <w:p>
      <w:pPr>
        <w:pStyle w:val="14"/>
        <w:rPr>
          <w:rFonts w:eastAsia="Times New Roman" w:cs="Calibri"/>
          <w:lang w:eastAsia="en-NZ"/>
        </w:rPr>
      </w:pPr>
    </w:p>
    <w:p>
      <w:pPr>
        <w:rPr>
          <w:rFonts w:ascii="Calibri" w:hAnsi="Calibri" w:eastAsia="Times New Roman" w:cs="Calibri"/>
          <w:b/>
          <w:bCs/>
          <w:sz w:val="22"/>
          <w:szCs w:val="22"/>
          <w:lang w:eastAsia="en-NZ"/>
        </w:rPr>
      </w:pPr>
      <w:r>
        <w:rPr>
          <w:rFonts w:ascii="Calibri" w:hAnsi="Calibri" w:eastAsia="Times New Roman" w:cs="Calibri"/>
          <w:b/>
          <w:bCs/>
          <w:sz w:val="22"/>
          <w:szCs w:val="22"/>
          <w:lang w:eastAsia="en-NZ"/>
        </w:rPr>
        <w:t>Market leaders in April / 2022</w:t>
      </w:r>
    </w:p>
    <w:p>
      <w:pPr>
        <w:rPr>
          <w:rFonts w:ascii="Calibri" w:hAnsi="Calibri" w:eastAsia="Times New Roman" w:cs="Calibri"/>
          <w:sz w:val="22"/>
          <w:szCs w:val="22"/>
          <w:lang w:eastAsia="en-NZ"/>
        </w:rPr>
      </w:pPr>
    </w:p>
    <w:p>
      <w:pPr>
        <w:rPr>
          <w:rFonts w:ascii="Calibri" w:hAnsi="Calibri" w:eastAsia="Times New Roman" w:cs="Calibri"/>
          <w:sz w:val="22"/>
          <w:szCs w:val="22"/>
          <w:lang w:eastAsia="en-NZ"/>
        </w:rPr>
      </w:pPr>
      <w:r>
        <w:rPr>
          <w:rFonts w:ascii="Calibri" w:hAnsi="Calibri" w:eastAsia="Times New Roman" w:cs="Calibri"/>
          <w:sz w:val="22"/>
          <w:szCs w:val="22"/>
          <w:lang w:eastAsia="en-NZ"/>
        </w:rPr>
        <w:t xml:space="preserve">Toyota regained the overall market leader with 18% market share (1,744 units), followed by Mitsubishi with 17% (1,623 units) and Suzuki in third spot with 8% market share (797 units). </w:t>
      </w:r>
    </w:p>
    <w:p>
      <w:pPr>
        <w:rPr>
          <w:rFonts w:ascii="Calibri" w:hAnsi="Calibri" w:eastAsia="Times New Roman" w:cs="Calibri"/>
          <w:sz w:val="22"/>
          <w:szCs w:val="22"/>
          <w:lang w:eastAsia="en-NZ"/>
        </w:rPr>
      </w:pPr>
    </w:p>
    <w:p>
      <w:pPr>
        <w:rPr>
          <w:rFonts w:ascii="Calibri" w:hAnsi="Calibri" w:eastAsia="Times New Roman" w:cs="Calibri"/>
          <w:sz w:val="22"/>
          <w:szCs w:val="22"/>
          <w:lang w:eastAsia="en-NZ"/>
        </w:rPr>
      </w:pPr>
      <w:r>
        <w:rPr>
          <w:rFonts w:ascii="Calibri" w:hAnsi="Calibri" w:eastAsia="Times New Roman" w:cs="Calibri"/>
          <w:sz w:val="22"/>
          <w:szCs w:val="22"/>
          <w:lang w:eastAsia="en-NZ"/>
        </w:rPr>
        <w:t xml:space="preserve">Market share year to date, Mitsubishi (17%) is ahead of Toyota (13%) and Ford (9%). </w:t>
      </w:r>
    </w:p>
    <w:p>
      <w:pPr>
        <w:rPr>
          <w:rFonts w:ascii="Calibri" w:hAnsi="Calibri" w:eastAsia="Times New Roman" w:cs="Calibri"/>
          <w:b/>
          <w:bCs/>
          <w:sz w:val="22"/>
          <w:szCs w:val="22"/>
          <w:lang w:eastAsia="en-NZ"/>
        </w:rPr>
      </w:pPr>
    </w:p>
    <w:p>
      <w:pPr>
        <w:rPr>
          <w:rFonts w:ascii="Calibri" w:hAnsi="Calibri" w:eastAsia="Times New Roman" w:cs="Calibri"/>
          <w:b/>
          <w:bCs/>
          <w:sz w:val="22"/>
          <w:szCs w:val="22"/>
          <w:lang w:eastAsia="en-NZ"/>
        </w:rPr>
      </w:pPr>
      <w:r>
        <w:rPr>
          <w:rFonts w:ascii="Calibri" w:hAnsi="Calibri" w:eastAsia="Times New Roman" w:cs="Calibri"/>
          <w:b/>
          <w:bCs/>
          <w:sz w:val="22"/>
          <w:szCs w:val="22"/>
          <w:lang w:eastAsia="en-NZ"/>
        </w:rPr>
        <w:t>BEVs, PHEVs and Hybrids</w:t>
      </w:r>
    </w:p>
    <w:p>
      <w:pPr>
        <w:rPr>
          <w:rFonts w:ascii="Calibri" w:hAnsi="Calibri" w:eastAsia="Times New Roman" w:cs="Calibri"/>
          <w:sz w:val="22"/>
          <w:szCs w:val="22"/>
          <w:lang w:eastAsia="en-NZ"/>
        </w:rPr>
      </w:pPr>
      <w:r>
        <w:rPr>
          <w:rFonts w:ascii="Calibri" w:hAnsi="Calibri" w:eastAsia="Times New Roman" w:cs="Calibri"/>
          <w:sz w:val="22"/>
          <w:szCs w:val="22"/>
          <w:lang w:eastAsia="en-NZ"/>
        </w:rPr>
        <w:t xml:space="preserve">There were 570 light vehicle and 2 heavy vehicle full battery electric vehicles registered in April. The top selling models were the Polestar 2 (81 units) followed by the Nissan Leaf (71 units) and the Hyundai Kona (70 units). </w:t>
      </w:r>
    </w:p>
    <w:p>
      <w:pPr>
        <w:rPr>
          <w:rFonts w:ascii="Calibri" w:hAnsi="Calibri" w:eastAsia="Times New Roman" w:cs="Calibri"/>
          <w:sz w:val="22"/>
          <w:szCs w:val="22"/>
          <w:lang w:eastAsia="en-NZ"/>
        </w:rPr>
      </w:pPr>
    </w:p>
    <w:p>
      <w:pPr>
        <w:rPr>
          <w:rFonts w:ascii="Calibri" w:hAnsi="Calibri" w:eastAsia="Times New Roman" w:cs="Calibri"/>
          <w:sz w:val="22"/>
          <w:szCs w:val="22"/>
          <w:lang w:eastAsia="en-NZ"/>
        </w:rPr>
      </w:pPr>
      <w:r>
        <w:rPr>
          <w:rFonts w:ascii="Calibri" w:hAnsi="Calibri" w:eastAsia="Times New Roman" w:cs="Calibri"/>
          <w:sz w:val="22"/>
          <w:szCs w:val="22"/>
          <w:lang w:eastAsia="en-NZ"/>
        </w:rPr>
        <w:t xml:space="preserve">Registrations of plug-in hybrids were strong with 1,113 units registered for the month. The top selling models were the Mitsubishi Eclipse Cross (497 units) followed by the Mitsubishi Outlander (479 units) and then the MG HS (28 units). </w:t>
      </w:r>
    </w:p>
    <w:p>
      <w:pPr>
        <w:rPr>
          <w:rFonts w:ascii="Calibri" w:hAnsi="Calibri" w:eastAsia="Times New Roman" w:cs="Calibri"/>
          <w:sz w:val="22"/>
          <w:szCs w:val="22"/>
          <w:highlight w:val="yellow"/>
          <w:lang w:eastAsia="en-NZ"/>
        </w:rPr>
      </w:pPr>
    </w:p>
    <w:p>
      <w:pPr>
        <w:rPr>
          <w:rFonts w:ascii="Calibri" w:hAnsi="Calibri" w:eastAsia="Times New Roman" w:cs="Calibri"/>
          <w:sz w:val="22"/>
          <w:szCs w:val="22"/>
          <w:lang w:eastAsia="en-NZ"/>
        </w:rPr>
      </w:pPr>
      <w:r>
        <w:rPr>
          <w:rFonts w:ascii="Calibri" w:hAnsi="Calibri" w:eastAsia="Times New Roman" w:cs="Calibri"/>
          <w:sz w:val="22"/>
          <w:szCs w:val="22"/>
          <w:lang w:eastAsia="en-NZ"/>
        </w:rPr>
        <w:t xml:space="preserve">As anticipated sales of petrol hybrid vehicles recovered in April with some purchasers delaying their purchase to take advantage of the rebate these vehicles now attract under the Clean Car Discount. </w:t>
      </w:r>
    </w:p>
    <w:p>
      <w:pPr>
        <w:rPr>
          <w:rFonts w:ascii="Calibri" w:hAnsi="Calibri" w:eastAsia="Times New Roman" w:cs="Calibri"/>
          <w:sz w:val="22"/>
          <w:szCs w:val="22"/>
          <w:lang w:eastAsia="en-NZ"/>
        </w:rPr>
      </w:pPr>
    </w:p>
    <w:p>
      <w:pPr>
        <w:rPr>
          <w:rFonts w:ascii="Calibri" w:hAnsi="Calibri" w:eastAsia="Times New Roman" w:cs="Calibri"/>
          <w:sz w:val="22"/>
          <w:szCs w:val="22"/>
          <w:lang w:eastAsia="en-NZ"/>
        </w:rPr>
      </w:pPr>
      <w:r>
        <w:rPr>
          <w:rFonts w:ascii="Calibri" w:hAnsi="Calibri" w:eastAsia="Times New Roman" w:cs="Calibri"/>
          <w:sz w:val="22"/>
          <w:szCs w:val="22"/>
          <w:lang w:eastAsia="en-NZ"/>
        </w:rPr>
        <w:t xml:space="preserve">There were 2,145 hybrids registered in the month of April, with the top selling models being the Toyota RAV4 (525 units) followed by the Honda Jazz (461 units) and the Toyota Corolla (198 units). </w:t>
      </w:r>
    </w:p>
    <w:p>
      <w:pPr>
        <w:rPr>
          <w:rFonts w:ascii="Calibri" w:hAnsi="Calibri" w:eastAsia="Times New Roman" w:cs="Calibri"/>
          <w:b/>
          <w:bCs/>
          <w:sz w:val="22"/>
          <w:szCs w:val="22"/>
          <w:lang w:eastAsia="en-NZ"/>
        </w:rPr>
      </w:pPr>
    </w:p>
    <w:p>
      <w:pPr>
        <w:rPr>
          <w:rFonts w:ascii="Calibri" w:hAnsi="Calibri" w:eastAsia="Times New Roman" w:cs="Calibri"/>
          <w:b/>
          <w:bCs/>
          <w:sz w:val="22"/>
          <w:szCs w:val="22"/>
          <w:lang w:eastAsia="en-NZ"/>
        </w:rPr>
      </w:pPr>
      <w:r>
        <w:rPr>
          <w:rFonts w:ascii="Calibri" w:hAnsi="Calibri" w:eastAsia="Times New Roman" w:cs="Calibri"/>
          <w:b/>
          <w:bCs/>
          <w:sz w:val="22"/>
          <w:szCs w:val="22"/>
          <w:lang w:eastAsia="en-NZ"/>
        </w:rPr>
        <w:t>SUV and passenger vehicle sales April / 2022</w:t>
      </w:r>
    </w:p>
    <w:p>
      <w:pPr>
        <w:rPr>
          <w:rFonts w:ascii="Calibri" w:hAnsi="Calibri" w:eastAsia="Times New Roman" w:cs="Calibri"/>
          <w:sz w:val="22"/>
          <w:szCs w:val="22"/>
          <w:lang w:eastAsia="en-NZ"/>
        </w:rPr>
      </w:pPr>
    </w:p>
    <w:p>
      <w:pPr>
        <w:rPr>
          <w:rFonts w:ascii="Calibri" w:hAnsi="Calibri" w:eastAsia="Times New Roman" w:cs="Calibri"/>
          <w:sz w:val="22"/>
          <w:szCs w:val="22"/>
          <w:lang w:eastAsia="en-NZ"/>
        </w:rPr>
      </w:pPr>
      <w:r>
        <w:rPr>
          <w:rFonts w:ascii="Calibri" w:hAnsi="Calibri" w:eastAsia="Times New Roman" w:cs="Calibri"/>
          <w:sz w:val="22"/>
          <w:szCs w:val="22"/>
          <w:lang w:eastAsia="en-NZ"/>
        </w:rPr>
        <w:t xml:space="preserve">Toyota regained the market lead for passenger and SUV registrations with 19% market share (1,598 units) followed by Mitsubishi with 18% (1,570 units) and then Suzuki with 9% market share (794 units). </w:t>
      </w:r>
    </w:p>
    <w:p>
      <w:pPr>
        <w:rPr>
          <w:rFonts w:ascii="Calibri" w:hAnsi="Calibri" w:eastAsia="Times New Roman" w:cs="Calibri"/>
          <w:sz w:val="22"/>
          <w:szCs w:val="22"/>
          <w:lang w:eastAsia="en-NZ"/>
        </w:rPr>
      </w:pPr>
    </w:p>
    <w:p>
      <w:pPr>
        <w:rPr>
          <w:rFonts w:ascii="Calibri" w:hAnsi="Calibri" w:eastAsia="Times New Roman" w:cs="Calibri"/>
          <w:sz w:val="22"/>
          <w:szCs w:val="22"/>
          <w:lang w:eastAsia="en-NZ"/>
        </w:rPr>
      </w:pPr>
      <w:r>
        <w:rPr>
          <w:rFonts w:ascii="Calibri" w:hAnsi="Calibri" w:eastAsia="Times New Roman" w:cs="Calibri"/>
          <w:sz w:val="22"/>
          <w:szCs w:val="22"/>
          <w:lang w:eastAsia="en-NZ"/>
        </w:rPr>
        <w:t>The top selling passenger and SUV models for the month were the Mitsubishi Outlander (837 units) followed by the Toyota RAV4 (716 units) and the Mitsubishi Eclipse Cross (544 units).</w:t>
      </w:r>
    </w:p>
    <w:p>
      <w:pPr>
        <w:rPr>
          <w:rFonts w:ascii="Calibri" w:hAnsi="Calibri" w:eastAsia="Times New Roman" w:cs="Calibri"/>
          <w:b/>
          <w:bCs/>
          <w:sz w:val="22"/>
          <w:szCs w:val="22"/>
          <w:lang w:eastAsia="en-NZ"/>
        </w:rPr>
      </w:pPr>
    </w:p>
    <w:p>
      <w:pPr>
        <w:rPr>
          <w:rFonts w:ascii="Calibri" w:hAnsi="Calibri" w:eastAsia="Times New Roman" w:cs="Calibri"/>
          <w:b/>
          <w:bCs/>
          <w:sz w:val="22"/>
          <w:szCs w:val="22"/>
          <w:lang w:eastAsia="en-NZ"/>
        </w:rPr>
      </w:pPr>
      <w:r>
        <w:rPr>
          <w:rFonts w:ascii="Calibri" w:hAnsi="Calibri" w:eastAsia="Times New Roman" w:cs="Calibri"/>
          <w:b/>
          <w:bCs/>
          <w:sz w:val="22"/>
          <w:szCs w:val="22"/>
          <w:lang w:eastAsia="en-NZ"/>
        </w:rPr>
        <w:t>Commercial vehicle sales April / 2022</w:t>
      </w:r>
    </w:p>
    <w:p>
      <w:pPr>
        <w:rPr>
          <w:rFonts w:ascii="Calibri" w:hAnsi="Calibri" w:eastAsia="Times New Roman" w:cs="Calibri"/>
          <w:sz w:val="22"/>
          <w:szCs w:val="22"/>
          <w:lang w:eastAsia="en-NZ"/>
        </w:rPr>
      </w:pPr>
    </w:p>
    <w:p>
      <w:pPr>
        <w:rPr>
          <w:rFonts w:ascii="Calibri" w:hAnsi="Calibri" w:eastAsia="Times New Roman" w:cs="Calibri"/>
          <w:sz w:val="22"/>
          <w:szCs w:val="22"/>
          <w:lang w:eastAsia="en-NZ"/>
        </w:rPr>
      </w:pPr>
      <w:r>
        <w:rPr>
          <w:rFonts w:ascii="Calibri" w:hAnsi="Calibri" w:eastAsia="Times New Roman" w:cs="Calibri"/>
          <w:sz w:val="22"/>
          <w:szCs w:val="22"/>
          <w:lang w:eastAsia="en-NZ"/>
        </w:rPr>
        <w:t>In a weak market for light commercial vehicles, Ford regained the market lead with 25% market share (305 units) followed by Toyota with 12% (146 units) and Fuso in third with 9% market share (105 units).</w:t>
      </w:r>
    </w:p>
    <w:p>
      <w:pPr>
        <w:rPr>
          <w:rFonts w:ascii="Calibri" w:hAnsi="Calibri" w:eastAsia="Times New Roman" w:cs="Calibri"/>
          <w:sz w:val="22"/>
          <w:szCs w:val="22"/>
          <w:lang w:eastAsia="en-NZ"/>
        </w:rPr>
      </w:pPr>
    </w:p>
    <w:p>
      <w:pPr>
        <w:rPr>
          <w:rFonts w:ascii="Calibri" w:hAnsi="Calibri" w:eastAsia="Times New Roman" w:cs="Calibri"/>
          <w:sz w:val="22"/>
          <w:szCs w:val="22"/>
          <w:lang w:eastAsia="en-NZ"/>
        </w:rPr>
      </w:pPr>
      <w:r>
        <w:rPr>
          <w:rFonts w:ascii="Calibri" w:hAnsi="Calibri" w:eastAsia="Times New Roman" w:cs="Calibri"/>
          <w:sz w:val="22"/>
          <w:szCs w:val="22"/>
          <w:lang w:eastAsia="en-NZ"/>
        </w:rPr>
        <w:t xml:space="preserve">The Ford Ranger took top spot for the month of April as the bestselling commercial model with 24% share (287 units) followed by the Toyota Hilux with 8% share (103 units) and the Nissan Navara in third place with 7% market share (85 units). </w:t>
      </w:r>
    </w:p>
    <w:p>
      <w:pPr>
        <w:rPr>
          <w:rFonts w:ascii="Calibri" w:hAnsi="Calibri" w:eastAsia="Times New Roman" w:cs="Calibri"/>
          <w:sz w:val="22"/>
          <w:szCs w:val="22"/>
          <w:lang w:eastAsia="en-NZ"/>
        </w:rPr>
      </w:pPr>
    </w:p>
    <w:p>
      <w:pPr>
        <w:rPr>
          <w:rFonts w:ascii="Calibri" w:hAnsi="Calibri" w:eastAsia="Times New Roman" w:cs="Calibri"/>
          <w:sz w:val="22"/>
          <w:szCs w:val="22"/>
          <w:lang w:eastAsia="en-NZ"/>
        </w:rPr>
      </w:pPr>
      <w:r>
        <w:rPr>
          <w:rFonts w:ascii="Calibri" w:hAnsi="Calibri" w:eastAsia="Times New Roman" w:cs="Calibri"/>
          <w:sz w:val="22"/>
          <w:szCs w:val="22"/>
          <w:lang w:eastAsia="en-NZ"/>
        </w:rPr>
        <w:t>Market share year to date, the Ford Ranger (21% share and 4,282 units) leads followed by the Mitsubishi Triton (21% share and 4,248 units) and then the Toyota Hilux (15% share and 3,073 units).</w:t>
      </w:r>
    </w:p>
    <w:p>
      <w:pPr>
        <w:rPr>
          <w:rFonts w:ascii="Calibri" w:hAnsi="Calibri" w:eastAsia="Times New Roman" w:cs="Calibri"/>
          <w:sz w:val="22"/>
          <w:szCs w:val="22"/>
          <w:lang w:eastAsia="en-NZ"/>
        </w:rPr>
      </w:pPr>
    </w:p>
    <w:p>
      <w:pPr>
        <w:rPr>
          <w:rFonts w:ascii="Calibri" w:hAnsi="Calibri" w:eastAsia="Times New Roman" w:cs="Calibri"/>
          <w:b/>
          <w:bCs/>
          <w:sz w:val="22"/>
          <w:szCs w:val="22"/>
          <w:lang w:eastAsia="en-NZ"/>
        </w:rPr>
      </w:pPr>
      <w:r>
        <w:rPr>
          <w:rFonts w:ascii="Calibri" w:hAnsi="Calibri" w:eastAsia="Times New Roman" w:cs="Calibri"/>
          <w:b/>
          <w:bCs/>
          <w:sz w:val="22"/>
          <w:szCs w:val="22"/>
          <w:lang w:eastAsia="en-NZ"/>
        </w:rPr>
        <w:t>Segmentation – Growth in the Smaller SUVs</w:t>
      </w:r>
    </w:p>
    <w:p>
      <w:pPr>
        <w:rPr>
          <w:rFonts w:ascii="Calibri" w:hAnsi="Calibri" w:eastAsia="Times New Roman" w:cs="Calibri"/>
          <w:sz w:val="22"/>
          <w:szCs w:val="22"/>
          <w:lang w:eastAsia="en-NZ"/>
        </w:rPr>
      </w:pPr>
    </w:p>
    <w:p>
      <w:pPr>
        <w:rPr>
          <w:rFonts w:ascii="Calibri" w:hAnsi="Calibri" w:eastAsia="Times New Roman" w:cs="Calibri"/>
          <w:sz w:val="22"/>
          <w:szCs w:val="22"/>
          <w:lang w:eastAsia="en-NZ"/>
        </w:rPr>
      </w:pPr>
      <w:r>
        <w:rPr>
          <w:rFonts w:ascii="Calibri" w:hAnsi="Calibri" w:eastAsia="Times New Roman" w:cs="Calibri"/>
          <w:sz w:val="22"/>
          <w:szCs w:val="22"/>
          <w:lang w:eastAsia="en-NZ"/>
        </w:rPr>
        <w:t xml:space="preserve">With the weak sales of utes for the month, not surprisingly the top spots for April 2022 went to passenger and SUV segments, with the small to medium segments accounting for 78% of April registrations. </w:t>
      </w:r>
    </w:p>
    <w:p>
      <w:pPr>
        <w:rPr>
          <w:rFonts w:ascii="Calibri" w:hAnsi="Calibri" w:eastAsia="Times New Roman" w:cs="Calibri"/>
          <w:sz w:val="22"/>
          <w:szCs w:val="22"/>
          <w:lang w:eastAsia="en-NZ"/>
        </w:rPr>
      </w:pPr>
    </w:p>
    <w:p>
      <w:pPr>
        <w:rPr>
          <w:rFonts w:ascii="Calibri" w:hAnsi="Calibri" w:eastAsia="Times New Roman" w:cs="Calibri"/>
          <w:sz w:val="22"/>
          <w:szCs w:val="22"/>
          <w:lang w:eastAsia="en-NZ"/>
        </w:rPr>
      </w:pPr>
      <w:r>
        <w:rPr>
          <w:rFonts w:ascii="Calibri" w:hAnsi="Calibri" w:eastAsia="Times New Roman" w:cs="Calibri"/>
          <w:sz w:val="22"/>
          <w:szCs w:val="22"/>
          <w:lang w:eastAsia="en-NZ"/>
        </w:rPr>
        <w:t xml:space="preserve">The tops spots were the SUV medium segment with 27% share followed by SUV compact vehicles with 23% then the light passenger with 16% market share. </w:t>
      </w:r>
    </w:p>
    <w:p>
      <w:pPr>
        <w:rPr>
          <w:rFonts w:ascii="Calibri" w:hAnsi="Calibri" w:eastAsia="Times New Roman" w:cs="Calibri"/>
          <w:sz w:val="22"/>
          <w:szCs w:val="22"/>
          <w:lang w:eastAsia="en-NZ"/>
        </w:rPr>
      </w:pPr>
    </w:p>
    <w:p>
      <w:pPr>
        <w:rPr>
          <w:rFonts w:ascii="Calibri" w:hAnsi="Calibri" w:eastAsia="Times New Roman" w:cs="Calibri"/>
          <w:sz w:val="22"/>
          <w:szCs w:val="22"/>
          <w:lang w:eastAsia="en-NZ"/>
        </w:rPr>
      </w:pPr>
    </w:p>
    <w:p>
      <w:pPr>
        <w:rPr>
          <w:rFonts w:ascii="Calibri" w:hAnsi="Calibri" w:eastAsia="Times New Roman" w:cs="Calibri"/>
          <w:sz w:val="22"/>
          <w:szCs w:val="22"/>
          <w:lang w:eastAsia="en-NZ"/>
        </w:rPr>
      </w:pPr>
      <w:r>
        <w:rPr>
          <w:rFonts w:ascii="Calibri" w:hAnsi="Calibri" w:eastAsia="Times New Roman" w:cs="Calibri"/>
          <w:sz w:val="22"/>
          <w:szCs w:val="22"/>
          <w:lang w:eastAsia="en-NZ"/>
        </w:rPr>
        <w:t>ENDS:</w:t>
      </w:r>
    </w:p>
    <w:p>
      <w:pPr>
        <w:rPr>
          <w:rFonts w:ascii="Calibri" w:hAnsi="Calibri" w:eastAsia="Times New Roman" w:cs="Calibri"/>
          <w:sz w:val="22"/>
          <w:szCs w:val="22"/>
          <w:lang w:eastAsia="en-NZ"/>
        </w:rPr>
      </w:pPr>
    </w:p>
    <w:p>
      <w:pPr>
        <w:rPr>
          <w:rFonts w:ascii="Calibri" w:hAnsi="Calibri" w:cs="Arial"/>
          <w:sz w:val="22"/>
          <w:szCs w:val="22"/>
        </w:rPr>
      </w:pPr>
      <w:r>
        <w:rPr>
          <w:rFonts w:ascii="Calibri" w:hAnsi="Calibri" w:cs="Arial"/>
          <w:b/>
          <w:sz w:val="22"/>
          <w:szCs w:val="22"/>
        </w:rPr>
        <w:t>Sheet 1:</w:t>
      </w:r>
      <w:r>
        <w:rPr>
          <w:rFonts w:ascii="Calibri" w:hAnsi="Calibri" w:cs="Arial"/>
          <w:sz w:val="22"/>
          <w:szCs w:val="22"/>
        </w:rPr>
        <w:t xml:space="preserve"> Detailed figures for top 15 distributors, full year 2022, month of April 2022 and year to date 2022, total vehicles, new cars and new commercials.</w:t>
      </w:r>
    </w:p>
    <w:p>
      <w:pPr>
        <w:rPr>
          <w:rFonts w:ascii="Calibri" w:hAnsi="Calibri" w:cs="Arial"/>
          <w:sz w:val="22"/>
          <w:szCs w:val="22"/>
        </w:rPr>
      </w:pPr>
    </w:p>
    <w:p>
      <w:pPr>
        <w:rPr>
          <w:rFonts w:ascii="Calibri" w:hAnsi="Calibri" w:cs="Arial"/>
          <w:sz w:val="22"/>
          <w:szCs w:val="22"/>
        </w:rPr>
      </w:pPr>
      <w:r>
        <w:rPr>
          <w:rFonts w:ascii="Calibri" w:hAnsi="Calibri" w:cs="Arial"/>
          <w:b/>
          <w:sz w:val="22"/>
          <w:szCs w:val="22"/>
        </w:rPr>
        <w:t>Sheet 2:</w:t>
      </w:r>
      <w:r>
        <w:rPr>
          <w:rFonts w:ascii="Calibri" w:hAnsi="Calibri" w:cs="Arial"/>
          <w:sz w:val="22"/>
          <w:szCs w:val="22"/>
        </w:rPr>
        <w:t xml:space="preserve"> Detailed figures for top 15 selling models - passenger cars and commercials - full year 2022, April 2022 and year to date 2022.</w:t>
      </w:r>
    </w:p>
    <w:p>
      <w:pPr>
        <w:rPr>
          <w:rFonts w:ascii="Calibri" w:hAnsi="Calibri" w:cs="Arial"/>
          <w:sz w:val="22"/>
          <w:szCs w:val="22"/>
        </w:rPr>
      </w:pPr>
    </w:p>
    <w:p>
      <w:pPr>
        <w:rPr>
          <w:rFonts w:ascii="Calibri" w:hAnsi="Calibri" w:cs="Arial"/>
          <w:sz w:val="22"/>
          <w:szCs w:val="22"/>
        </w:rPr>
      </w:pPr>
      <w:r>
        <w:rPr>
          <w:rFonts w:ascii="Calibri" w:hAnsi="Calibri" w:cs="Arial"/>
          <w:b/>
          <w:sz w:val="22"/>
          <w:szCs w:val="22"/>
        </w:rPr>
        <w:t xml:space="preserve">Sheet 3: </w:t>
      </w:r>
      <w:r>
        <w:rPr>
          <w:rFonts w:ascii="Calibri" w:hAnsi="Calibri" w:cs="Arial"/>
          <w:sz w:val="22"/>
          <w:szCs w:val="22"/>
        </w:rPr>
        <w:t>MIA segmentation full year 2022, April 2022 and year to date 2022.</w:t>
      </w:r>
    </w:p>
    <w:p>
      <w:pPr>
        <w:rPr>
          <w:rFonts w:ascii="Calibri" w:hAnsi="Calibri" w:cs="Arial"/>
          <w:sz w:val="22"/>
          <w:szCs w:val="22"/>
        </w:rPr>
      </w:pPr>
    </w:p>
    <w:p>
      <w:pPr>
        <w:rPr>
          <w:rFonts w:ascii="Calibri" w:hAnsi="Calibri" w:cs="Arial"/>
          <w:b/>
          <w:sz w:val="22"/>
          <w:szCs w:val="22"/>
        </w:rPr>
      </w:pPr>
      <w:r>
        <w:rPr>
          <w:rFonts w:ascii="Calibri" w:hAnsi="Calibri" w:cs="Arial"/>
          <w:b/>
          <w:sz w:val="22"/>
          <w:szCs w:val="22"/>
        </w:rPr>
        <w:t>For Further Information:</w:t>
      </w:r>
    </w:p>
    <w:p>
      <w:pPr>
        <w:ind w:left="1440" w:hanging="1440"/>
        <w:rPr>
          <w:rFonts w:ascii="Calibri" w:hAnsi="Calibri" w:cs="Arial"/>
          <w:sz w:val="22"/>
          <w:szCs w:val="22"/>
        </w:rPr>
      </w:pPr>
    </w:p>
    <w:p>
      <w:pPr>
        <w:ind w:left="851" w:hanging="851"/>
        <w:rPr>
          <w:rFonts w:ascii="Calibri" w:hAnsi="Calibri" w:cs="Arial"/>
          <w:b/>
          <w:sz w:val="22"/>
          <w:szCs w:val="22"/>
        </w:rPr>
      </w:pPr>
      <w:r>
        <w:rPr>
          <w:rFonts w:ascii="Calibri" w:hAnsi="Calibri" w:cs="Arial"/>
          <w:b/>
          <w:sz w:val="22"/>
          <w:szCs w:val="22"/>
        </w:rPr>
        <w:t>David Crawford</w:t>
      </w:r>
    </w:p>
    <w:p>
      <w:pPr>
        <w:ind w:left="1701" w:hanging="1701"/>
        <w:rPr>
          <w:rFonts w:ascii="Calibri" w:hAnsi="Calibri" w:cs="Arial"/>
          <w:sz w:val="22"/>
          <w:szCs w:val="22"/>
        </w:rPr>
      </w:pPr>
      <w:r>
        <w:rPr>
          <w:rFonts w:ascii="Calibri" w:hAnsi="Calibri" w:cs="Arial"/>
          <w:sz w:val="22"/>
          <w:szCs w:val="22"/>
        </w:rPr>
        <w:t>Chief Executive Officer, Motor Industry Association</w:t>
      </w:r>
    </w:p>
    <w:p>
      <w:pPr>
        <w:ind w:left="851" w:hanging="851"/>
        <w:rPr>
          <w:rFonts w:ascii="Calibri" w:hAnsi="Calibri" w:cs="Arial"/>
          <w:sz w:val="22"/>
          <w:szCs w:val="22"/>
        </w:rPr>
      </w:pPr>
      <w:r>
        <w:rPr>
          <w:rFonts w:ascii="Calibri" w:hAnsi="Calibri" w:cs="Arial"/>
          <w:sz w:val="22"/>
          <w:szCs w:val="22"/>
        </w:rPr>
        <w:t xml:space="preserve">Phone: </w:t>
      </w:r>
      <w:r>
        <w:rPr>
          <w:rFonts w:ascii="Calibri" w:hAnsi="Calibri" w:cs="Arial"/>
          <w:sz w:val="22"/>
          <w:szCs w:val="22"/>
        </w:rPr>
        <w:tab/>
      </w:r>
      <w:r>
        <w:rPr>
          <w:rFonts w:ascii="Calibri" w:hAnsi="Calibri" w:cs="Arial"/>
          <w:sz w:val="22"/>
          <w:szCs w:val="22"/>
        </w:rPr>
        <w:t xml:space="preserve">027 569 8263 </w:t>
      </w:r>
    </w:p>
    <w:p>
      <w:pPr>
        <w:ind w:left="851" w:hanging="851"/>
        <w:rPr>
          <w:rFonts w:ascii="Calibri" w:hAnsi="Calibri" w:cs="Arial"/>
          <w:sz w:val="22"/>
          <w:szCs w:val="22"/>
        </w:rPr>
      </w:pPr>
      <w:r>
        <w:rPr>
          <w:rFonts w:ascii="Calibri" w:hAnsi="Calibri" w:cs="Arial"/>
          <w:sz w:val="22"/>
          <w:szCs w:val="22"/>
        </w:rPr>
        <w:t xml:space="preserve">Email: </w:t>
      </w:r>
      <w:r>
        <w:rPr>
          <w:rFonts w:ascii="Calibri" w:hAnsi="Calibri" w:cs="Arial"/>
          <w:sz w:val="22"/>
          <w:szCs w:val="22"/>
        </w:rPr>
        <w:tab/>
      </w:r>
      <w:r>
        <w:fldChar w:fldCharType="begin"/>
      </w:r>
      <w:r>
        <w:instrText xml:space="preserve"> HYPERLINK "mailto:david@mia.org.nz" </w:instrText>
      </w:r>
      <w:r>
        <w:fldChar w:fldCharType="separate"/>
      </w:r>
      <w:r>
        <w:rPr>
          <w:rStyle w:val="8"/>
          <w:rFonts w:ascii="Calibri" w:hAnsi="Calibri" w:cs="Arial"/>
          <w:sz w:val="22"/>
          <w:szCs w:val="22"/>
        </w:rPr>
        <w:t>david@mia.org.nz</w:t>
      </w:r>
      <w:r>
        <w:rPr>
          <w:rStyle w:val="8"/>
          <w:rFonts w:ascii="Calibri" w:hAnsi="Calibri" w:cs="Arial"/>
          <w:sz w:val="22"/>
          <w:szCs w:val="22"/>
        </w:rPr>
        <w:fldChar w:fldCharType="end"/>
      </w:r>
      <w:r>
        <w:rPr>
          <w:rFonts w:ascii="Calibri" w:hAnsi="Calibri" w:cs="Arial"/>
          <w:sz w:val="22"/>
          <w:szCs w:val="22"/>
        </w:rPr>
        <w:t xml:space="preserve"> </w:t>
      </w:r>
    </w:p>
    <w:p>
      <w:pPr>
        <w:rPr>
          <w:rFonts w:ascii="Calibri" w:hAnsi="Calibri" w:cs="Arial"/>
          <w:sz w:val="22"/>
          <w:szCs w:val="22"/>
        </w:rPr>
      </w:pPr>
    </w:p>
    <w:p>
      <w:pPr>
        <w:ind w:left="851" w:hanging="851"/>
        <w:rPr>
          <w:rFonts w:ascii="Calibri" w:hAnsi="Calibri"/>
          <w:sz w:val="22"/>
          <w:szCs w:val="22"/>
        </w:rPr>
      </w:pPr>
      <w:r>
        <w:rPr>
          <w:rFonts w:ascii="Calibri" w:hAnsi="Calibri"/>
          <w:sz w:val="22"/>
          <w:szCs w:val="22"/>
        </w:rPr>
        <w:t>Month on Month Comparisons 2012/21/21</w:t>
      </w:r>
    </w:p>
    <w:p>
      <w:pPr>
        <w:ind w:left="851" w:hanging="851"/>
      </w:pPr>
    </w:p>
    <w:p>
      <w:pPr>
        <w:ind w:left="851" w:hanging="851"/>
        <w:rPr>
          <w:rFonts w:ascii="Calibri" w:hAnsi="Calibri"/>
          <w:sz w:val="22"/>
          <w:szCs w:val="22"/>
        </w:rPr>
      </w:pPr>
      <w:r>
        <w:drawing>
          <wp:inline distT="0" distB="0" distL="0" distR="0">
            <wp:extent cx="5270500" cy="2867025"/>
            <wp:effectExtent l="0" t="0" r="635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ind w:left="851" w:hanging="851"/>
        <w:rPr>
          <w:rFonts w:ascii="Calibri" w:hAnsi="Calibri"/>
          <w:sz w:val="22"/>
          <w:szCs w:val="22"/>
        </w:rPr>
      </w:pPr>
    </w:p>
    <w:p>
      <w:pPr>
        <w:ind w:left="851" w:hanging="851"/>
        <w:rPr>
          <w:rFonts w:ascii="Calibri" w:hAnsi="Calibri"/>
          <w:sz w:val="22"/>
          <w:szCs w:val="22"/>
        </w:rPr>
      </w:pPr>
    </w:p>
    <w:p>
      <w:pPr>
        <w:ind w:left="851" w:hanging="851"/>
        <w:rPr>
          <w:rFonts w:ascii="Calibri" w:hAnsi="Calibri"/>
          <w:sz w:val="22"/>
          <w:szCs w:val="22"/>
        </w:rPr>
      </w:pPr>
      <w:r>
        <w:drawing>
          <wp:inline distT="0" distB="0" distL="0" distR="0">
            <wp:extent cx="5105400" cy="239077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left="851" w:hanging="851"/>
        <w:rPr>
          <w:rFonts w:ascii="Calibri" w:hAnsi="Calibri"/>
          <w:sz w:val="22"/>
          <w:szCs w:val="22"/>
        </w:rPr>
      </w:pPr>
    </w:p>
    <w:p>
      <w:pPr>
        <w:ind w:left="851" w:hanging="851"/>
        <w:rPr>
          <w:rFonts w:ascii="Calibri" w:hAnsi="Calibri"/>
          <w:sz w:val="22"/>
          <w:szCs w:val="22"/>
        </w:rPr>
      </w:pPr>
    </w:p>
    <w:p>
      <w:pPr>
        <w:ind w:left="851" w:hanging="851"/>
        <w:rPr>
          <w:rFonts w:ascii="Calibri" w:hAnsi="Calibri"/>
          <w:sz w:val="22"/>
          <w:szCs w:val="22"/>
        </w:rPr>
      </w:pPr>
    </w:p>
    <w:sectPr>
      <w:headerReference r:id="rId3" w:type="first"/>
      <w:pgSz w:w="11900" w:h="16840"/>
      <w:pgMar w:top="1440" w:right="1800" w:bottom="1440" w:left="1800" w:header="708" w:footer="708" w:gutter="0"/>
      <w:cols w:space="708"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ＭＳ 明朝">
    <w:altName w:val="Segoe Print"/>
    <w:panose1 w:val="00000000000000000000"/>
    <w:charset w:val="86"/>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Segoe UI"/>
    <w:panose1 w:val="00000000000000000000"/>
    <w:charset w:val="00"/>
    <w:family w:val="auto"/>
    <w:pitch w:val="default"/>
    <w:sig w:usb0="00000000" w:usb1="00000000" w:usb2="00000000" w:usb3="00000000" w:csb0="000001BF" w:csb1="00000000"/>
  </w:font>
  <w:font w:name="Segoe UI">
    <w:panose1 w:val="020B0502040204020203"/>
    <w:charset w:val="00"/>
    <w:family w:val="auto"/>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ＭＳ 明朝">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lang w:eastAsia="en-NZ"/>
      </w:rPr>
      <w:drawing>
        <wp:anchor distT="0" distB="0" distL="114300" distR="114300" simplePos="0" relativeHeight="251659264" behindDoc="1" locked="0" layoutInCell="1" allowOverlap="1">
          <wp:simplePos x="0" y="0"/>
          <wp:positionH relativeFrom="page">
            <wp:align>left</wp:align>
          </wp:positionH>
          <wp:positionV relativeFrom="page">
            <wp:align>top</wp:align>
          </wp:positionV>
          <wp:extent cx="7360920" cy="27673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360920" cy="276733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481CC7"/>
    <w:multiLevelType w:val="multilevel"/>
    <w:tmpl w:val="15481CC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attachedTemplate r:id="rId1"/>
  <w:documentProtection w:enforcement="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79C"/>
    <w:rsid w:val="00004BA1"/>
    <w:rsid w:val="00013A4D"/>
    <w:rsid w:val="00017985"/>
    <w:rsid w:val="00030696"/>
    <w:rsid w:val="00043DCA"/>
    <w:rsid w:val="00054EB3"/>
    <w:rsid w:val="00067E6C"/>
    <w:rsid w:val="00070FA6"/>
    <w:rsid w:val="00072875"/>
    <w:rsid w:val="0008307C"/>
    <w:rsid w:val="00087A46"/>
    <w:rsid w:val="00090E9B"/>
    <w:rsid w:val="000A1EA4"/>
    <w:rsid w:val="000A43DC"/>
    <w:rsid w:val="000A5F87"/>
    <w:rsid w:val="000A6BE9"/>
    <w:rsid w:val="000B5C46"/>
    <w:rsid w:val="000E0E48"/>
    <w:rsid w:val="000F5617"/>
    <w:rsid w:val="00117769"/>
    <w:rsid w:val="0012003B"/>
    <w:rsid w:val="00122E2A"/>
    <w:rsid w:val="00124736"/>
    <w:rsid w:val="0012565A"/>
    <w:rsid w:val="001265C2"/>
    <w:rsid w:val="00132C10"/>
    <w:rsid w:val="00137B32"/>
    <w:rsid w:val="00161BB2"/>
    <w:rsid w:val="00166B44"/>
    <w:rsid w:val="00175BE9"/>
    <w:rsid w:val="001801FF"/>
    <w:rsid w:val="00184B39"/>
    <w:rsid w:val="00195086"/>
    <w:rsid w:val="001A1B3D"/>
    <w:rsid w:val="001A63B0"/>
    <w:rsid w:val="001B7352"/>
    <w:rsid w:val="001C0009"/>
    <w:rsid w:val="001D0245"/>
    <w:rsid w:val="001D0563"/>
    <w:rsid w:val="0021139E"/>
    <w:rsid w:val="00212B43"/>
    <w:rsid w:val="00216208"/>
    <w:rsid w:val="00226A2A"/>
    <w:rsid w:val="002344B8"/>
    <w:rsid w:val="0023469A"/>
    <w:rsid w:val="00260462"/>
    <w:rsid w:val="0026335D"/>
    <w:rsid w:val="00270204"/>
    <w:rsid w:val="002706C2"/>
    <w:rsid w:val="0028564B"/>
    <w:rsid w:val="0028578D"/>
    <w:rsid w:val="002B7815"/>
    <w:rsid w:val="002C3C6D"/>
    <w:rsid w:val="002D3685"/>
    <w:rsid w:val="002D3C59"/>
    <w:rsid w:val="00301F0C"/>
    <w:rsid w:val="003120EB"/>
    <w:rsid w:val="00366B5F"/>
    <w:rsid w:val="00380954"/>
    <w:rsid w:val="00383153"/>
    <w:rsid w:val="00387653"/>
    <w:rsid w:val="00387817"/>
    <w:rsid w:val="003D47D1"/>
    <w:rsid w:val="003D4A7C"/>
    <w:rsid w:val="003F0E9B"/>
    <w:rsid w:val="00412EC2"/>
    <w:rsid w:val="00421ADC"/>
    <w:rsid w:val="004241A9"/>
    <w:rsid w:val="00424B87"/>
    <w:rsid w:val="00425506"/>
    <w:rsid w:val="004268EC"/>
    <w:rsid w:val="00436340"/>
    <w:rsid w:val="00437848"/>
    <w:rsid w:val="00446C0D"/>
    <w:rsid w:val="004553A6"/>
    <w:rsid w:val="00455430"/>
    <w:rsid w:val="00473904"/>
    <w:rsid w:val="004A6567"/>
    <w:rsid w:val="004C7479"/>
    <w:rsid w:val="004D515A"/>
    <w:rsid w:val="00501E5E"/>
    <w:rsid w:val="00515519"/>
    <w:rsid w:val="0051710D"/>
    <w:rsid w:val="00517901"/>
    <w:rsid w:val="00524133"/>
    <w:rsid w:val="00525334"/>
    <w:rsid w:val="005319B7"/>
    <w:rsid w:val="00536EEA"/>
    <w:rsid w:val="0056067F"/>
    <w:rsid w:val="00582F17"/>
    <w:rsid w:val="00583879"/>
    <w:rsid w:val="00585250"/>
    <w:rsid w:val="005947F9"/>
    <w:rsid w:val="005A031D"/>
    <w:rsid w:val="005A0EE5"/>
    <w:rsid w:val="005B1AF7"/>
    <w:rsid w:val="005B1DF6"/>
    <w:rsid w:val="005C0977"/>
    <w:rsid w:val="005C2BFE"/>
    <w:rsid w:val="005D4DBF"/>
    <w:rsid w:val="005D6148"/>
    <w:rsid w:val="005E0C5C"/>
    <w:rsid w:val="005E14E4"/>
    <w:rsid w:val="005E7C65"/>
    <w:rsid w:val="00601EF0"/>
    <w:rsid w:val="00612BB4"/>
    <w:rsid w:val="00614A90"/>
    <w:rsid w:val="006152D4"/>
    <w:rsid w:val="0063502A"/>
    <w:rsid w:val="0064675B"/>
    <w:rsid w:val="00651711"/>
    <w:rsid w:val="00665790"/>
    <w:rsid w:val="00670349"/>
    <w:rsid w:val="00674F1F"/>
    <w:rsid w:val="006A6EF2"/>
    <w:rsid w:val="006A7C54"/>
    <w:rsid w:val="006B40C5"/>
    <w:rsid w:val="006C78FA"/>
    <w:rsid w:val="006D1C23"/>
    <w:rsid w:val="006D4C65"/>
    <w:rsid w:val="006E24AF"/>
    <w:rsid w:val="006F581B"/>
    <w:rsid w:val="006F709A"/>
    <w:rsid w:val="00701071"/>
    <w:rsid w:val="00717795"/>
    <w:rsid w:val="0072255E"/>
    <w:rsid w:val="0073322F"/>
    <w:rsid w:val="0073379C"/>
    <w:rsid w:val="0074207A"/>
    <w:rsid w:val="00765312"/>
    <w:rsid w:val="00780354"/>
    <w:rsid w:val="00787C47"/>
    <w:rsid w:val="007948E7"/>
    <w:rsid w:val="007B0D38"/>
    <w:rsid w:val="007B1B0A"/>
    <w:rsid w:val="007D11A7"/>
    <w:rsid w:val="007F4BFB"/>
    <w:rsid w:val="007F673A"/>
    <w:rsid w:val="007F6CF3"/>
    <w:rsid w:val="00803A08"/>
    <w:rsid w:val="008108FD"/>
    <w:rsid w:val="008312B0"/>
    <w:rsid w:val="008902B6"/>
    <w:rsid w:val="00896CBA"/>
    <w:rsid w:val="008A626D"/>
    <w:rsid w:val="008C6EBE"/>
    <w:rsid w:val="008C7624"/>
    <w:rsid w:val="008D5772"/>
    <w:rsid w:val="008D7954"/>
    <w:rsid w:val="008F45B2"/>
    <w:rsid w:val="009214A1"/>
    <w:rsid w:val="00941925"/>
    <w:rsid w:val="00946229"/>
    <w:rsid w:val="009478AC"/>
    <w:rsid w:val="00951C4C"/>
    <w:rsid w:val="00961FA5"/>
    <w:rsid w:val="0097691D"/>
    <w:rsid w:val="009E2C19"/>
    <w:rsid w:val="009E680E"/>
    <w:rsid w:val="009F4B8C"/>
    <w:rsid w:val="00A07F1F"/>
    <w:rsid w:val="00A11C61"/>
    <w:rsid w:val="00A21908"/>
    <w:rsid w:val="00A311B6"/>
    <w:rsid w:val="00A46C13"/>
    <w:rsid w:val="00A92179"/>
    <w:rsid w:val="00A97635"/>
    <w:rsid w:val="00AA4B71"/>
    <w:rsid w:val="00AC3B8E"/>
    <w:rsid w:val="00AC6177"/>
    <w:rsid w:val="00AE304E"/>
    <w:rsid w:val="00AE7D16"/>
    <w:rsid w:val="00B102BB"/>
    <w:rsid w:val="00B162A1"/>
    <w:rsid w:val="00B20D34"/>
    <w:rsid w:val="00B30386"/>
    <w:rsid w:val="00B32BBB"/>
    <w:rsid w:val="00B4119E"/>
    <w:rsid w:val="00B41FCA"/>
    <w:rsid w:val="00B66235"/>
    <w:rsid w:val="00B668B8"/>
    <w:rsid w:val="00B67E9A"/>
    <w:rsid w:val="00B82B46"/>
    <w:rsid w:val="00B840AE"/>
    <w:rsid w:val="00BB1289"/>
    <w:rsid w:val="00BF65E0"/>
    <w:rsid w:val="00C0107D"/>
    <w:rsid w:val="00C0150E"/>
    <w:rsid w:val="00C307DD"/>
    <w:rsid w:val="00C33D1B"/>
    <w:rsid w:val="00C462EC"/>
    <w:rsid w:val="00C47297"/>
    <w:rsid w:val="00C62124"/>
    <w:rsid w:val="00C63B1D"/>
    <w:rsid w:val="00C645C7"/>
    <w:rsid w:val="00C65B63"/>
    <w:rsid w:val="00C77B7C"/>
    <w:rsid w:val="00C80A2B"/>
    <w:rsid w:val="00C91F8B"/>
    <w:rsid w:val="00CA068A"/>
    <w:rsid w:val="00D168CE"/>
    <w:rsid w:val="00D369E4"/>
    <w:rsid w:val="00D43779"/>
    <w:rsid w:val="00D4598C"/>
    <w:rsid w:val="00D5016B"/>
    <w:rsid w:val="00D642F3"/>
    <w:rsid w:val="00D808F5"/>
    <w:rsid w:val="00D81CD7"/>
    <w:rsid w:val="00D954AF"/>
    <w:rsid w:val="00DA0A8C"/>
    <w:rsid w:val="00DA6C35"/>
    <w:rsid w:val="00DC25DC"/>
    <w:rsid w:val="00DC4FA3"/>
    <w:rsid w:val="00DE090B"/>
    <w:rsid w:val="00DF0AD5"/>
    <w:rsid w:val="00DF3174"/>
    <w:rsid w:val="00DF652F"/>
    <w:rsid w:val="00E052F1"/>
    <w:rsid w:val="00E06A7E"/>
    <w:rsid w:val="00E14BF4"/>
    <w:rsid w:val="00E15912"/>
    <w:rsid w:val="00E25F83"/>
    <w:rsid w:val="00E27A51"/>
    <w:rsid w:val="00E31704"/>
    <w:rsid w:val="00E51990"/>
    <w:rsid w:val="00E61357"/>
    <w:rsid w:val="00E64479"/>
    <w:rsid w:val="00E84D44"/>
    <w:rsid w:val="00E86357"/>
    <w:rsid w:val="00EA0127"/>
    <w:rsid w:val="00EA50F2"/>
    <w:rsid w:val="00EA5AA6"/>
    <w:rsid w:val="00EB0FA9"/>
    <w:rsid w:val="00EB2A31"/>
    <w:rsid w:val="00EB35BD"/>
    <w:rsid w:val="00EB60C9"/>
    <w:rsid w:val="00EF1268"/>
    <w:rsid w:val="00EF538C"/>
    <w:rsid w:val="00F05184"/>
    <w:rsid w:val="00F11BE4"/>
    <w:rsid w:val="00F12B3E"/>
    <w:rsid w:val="00F161A2"/>
    <w:rsid w:val="00F2094A"/>
    <w:rsid w:val="00F30FCC"/>
    <w:rsid w:val="00F34799"/>
    <w:rsid w:val="00F40994"/>
    <w:rsid w:val="00F42846"/>
    <w:rsid w:val="00F63650"/>
    <w:rsid w:val="00F65E07"/>
    <w:rsid w:val="00F750D1"/>
    <w:rsid w:val="00F75616"/>
    <w:rsid w:val="00F7566E"/>
    <w:rsid w:val="00F7736A"/>
    <w:rsid w:val="00F83376"/>
    <w:rsid w:val="00FA34AF"/>
    <w:rsid w:val="00FB0471"/>
    <w:rsid w:val="00FC373F"/>
    <w:rsid w:val="00FF0015"/>
    <w:rsid w:val="00FF1931"/>
    <w:rsid w:val="53A46D2B"/>
  </w:rsids>
  <m:mathPr>
    <m:mathFont m:val="Cambria Math"/>
    <m:brkBin m:val="before"/>
    <m:brkBinSub m:val="--"/>
    <m:smallFrac m:val="1"/>
    <m:dispDef/>
    <m:lMargin m:val="0"/>
    <m:rMargin m:val="0"/>
    <m:defJc m:val="centerGroup"/>
    <m:wrapRight m:val="1"/>
    <m:intLim m:val="subSup"/>
    <m:naryLim m:val="subSup"/>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NZ" w:eastAsia="en-US" w:bidi="ar-SA"/>
    </w:rPr>
  </w:style>
  <w:style w:type="paragraph" w:styleId="2">
    <w:name w:val="heading 1"/>
    <w:basedOn w:val="1"/>
    <w:next w:val="1"/>
    <w:link w:val="16"/>
    <w:qFormat/>
    <w:uiPriority w:val="0"/>
    <w:pPr>
      <w:keepNext/>
      <w:outlineLvl w:val="0"/>
    </w:pPr>
    <w:rPr>
      <w:rFonts w:ascii="Arial" w:hAnsi="Arial" w:eastAsia="Times New Roman" w:cs="Times New Roman"/>
      <w:b/>
      <w:szCs w:val="20"/>
      <w:lang w:val="en-AU" w:eastAsia="en-NZ"/>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3"/>
    <w:semiHidden/>
    <w:unhideWhenUsed/>
    <w:uiPriority w:val="99"/>
    <w:rPr>
      <w:rFonts w:ascii="Lucida Grande" w:hAnsi="Lucida Grande" w:cs="Lucida Grande"/>
      <w:sz w:val="18"/>
      <w:szCs w:val="18"/>
    </w:rPr>
  </w:style>
  <w:style w:type="paragraph" w:styleId="6">
    <w:name w:val="footer"/>
    <w:basedOn w:val="1"/>
    <w:link w:val="12"/>
    <w:unhideWhenUsed/>
    <w:uiPriority w:val="0"/>
    <w:pPr>
      <w:tabs>
        <w:tab w:val="center" w:pos="4320"/>
        <w:tab w:val="right" w:pos="8640"/>
      </w:tabs>
    </w:pPr>
  </w:style>
  <w:style w:type="paragraph" w:styleId="7">
    <w:name w:val="header"/>
    <w:basedOn w:val="1"/>
    <w:link w:val="11"/>
    <w:unhideWhenUsed/>
    <w:uiPriority w:val="99"/>
    <w:pPr>
      <w:tabs>
        <w:tab w:val="center" w:pos="4320"/>
        <w:tab w:val="right" w:pos="8640"/>
      </w:tabs>
    </w:pPr>
  </w:style>
  <w:style w:type="character" w:styleId="8">
    <w:name w:val="Hyperlink"/>
    <w:basedOn w:val="3"/>
    <w:unhideWhenUsed/>
    <w:uiPriority w:val="99"/>
    <w:rPr>
      <w:color w:val="0000FF" w:themeColor="hyperlink"/>
      <w:u w:val="single"/>
      <w14:textFill>
        <w14:solidFill>
          <w14:schemeClr w14:val="hlink"/>
        </w14:solidFill>
      </w14:textFill>
    </w:rPr>
  </w:style>
  <w:style w:type="paragraph" w:styleId="9">
    <w:name w:val="Normal (Web)"/>
    <w:basedOn w:val="1"/>
    <w:semiHidden/>
    <w:unhideWhenUsed/>
    <w:uiPriority w:val="99"/>
    <w:pPr>
      <w:spacing w:before="100" w:beforeAutospacing="1" w:after="100" w:afterAutospacing="1"/>
    </w:pPr>
    <w:rPr>
      <w:rFonts w:ascii="Calibri" w:hAnsi="Calibri" w:cs="Calibri" w:eastAsiaTheme="minorHAnsi"/>
      <w:sz w:val="22"/>
      <w:szCs w:val="22"/>
      <w:lang w:eastAsia="en-NZ"/>
    </w:rPr>
  </w:style>
  <w:style w:type="table" w:styleId="10">
    <w:name w:val="Table Grid"/>
    <w:basedOn w:val="4"/>
    <w:qFormat/>
    <w:uiPriority w:val="39"/>
    <w:rPr>
      <w:rFonts w:ascii="Calibri" w:hAnsi="Calibri" w:eastAsiaTheme="minorHAnsi"/>
      <w:sz w:val="22"/>
      <w:szCs w:val="22"/>
      <w:lang w:val="en-NZ"/>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Header Char"/>
    <w:basedOn w:val="3"/>
    <w:link w:val="7"/>
    <w:uiPriority w:val="99"/>
  </w:style>
  <w:style w:type="character" w:customStyle="1" w:styleId="12">
    <w:name w:val="Footer Char"/>
    <w:basedOn w:val="3"/>
    <w:link w:val="6"/>
    <w:uiPriority w:val="99"/>
  </w:style>
  <w:style w:type="character" w:customStyle="1" w:styleId="13">
    <w:name w:val="Balloon Text Char"/>
    <w:basedOn w:val="3"/>
    <w:link w:val="5"/>
    <w:semiHidden/>
    <w:uiPriority w:val="99"/>
    <w:rPr>
      <w:rFonts w:ascii="Lucida Grande" w:hAnsi="Lucida Grande" w:cs="Lucida Grande"/>
      <w:sz w:val="18"/>
      <w:szCs w:val="18"/>
    </w:rPr>
  </w:style>
  <w:style w:type="paragraph" w:styleId="14">
    <w:name w:val="List Paragraph"/>
    <w:basedOn w:val="1"/>
    <w:qFormat/>
    <w:uiPriority w:val="34"/>
    <w:pPr>
      <w:ind w:left="720"/>
    </w:pPr>
    <w:rPr>
      <w:rFonts w:ascii="Calibri" w:hAnsi="Calibri" w:cs="Times New Roman" w:eastAsiaTheme="minorHAnsi"/>
      <w:sz w:val="22"/>
      <w:szCs w:val="22"/>
    </w:rPr>
  </w:style>
  <w:style w:type="paragraph" w:styleId="15">
    <w:name w:val="No Spacing"/>
    <w:qFormat/>
    <w:uiPriority w:val="1"/>
    <w:rPr>
      <w:rFonts w:asciiTheme="minorHAnsi" w:hAnsiTheme="minorHAnsi" w:eastAsiaTheme="minorHAnsi" w:cstheme="minorBidi"/>
      <w:sz w:val="22"/>
      <w:szCs w:val="22"/>
      <w:lang w:val="en-NZ" w:eastAsia="en-US" w:bidi="ar-SA"/>
    </w:rPr>
  </w:style>
  <w:style w:type="character" w:customStyle="1" w:styleId="16">
    <w:name w:val="Heading 1 Char"/>
    <w:basedOn w:val="3"/>
    <w:link w:val="2"/>
    <w:qFormat/>
    <w:uiPriority w:val="0"/>
    <w:rPr>
      <w:rFonts w:ascii="Arial" w:hAnsi="Arial" w:eastAsia="Times New Roman" w:cs="Times New Roman"/>
      <w:b/>
      <w:szCs w:val="20"/>
      <w:lang w:val="en-AU" w:eastAsia="en-NZ"/>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20MIA\Documents\MIA%202013\MIA\Council\MIA%20Logos%20and%20MIA%20Website\MIA%20Letterhead_Template.dotx" TargetMode="Externa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REGISTRATION-PC\MIA%20Current\Council\Press%20Releases\Sales%20monthly\2022\Registration%20data%20-1975%20onwards%20YTD%20April%202022.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REGISTRATION-PC\MIA%20Current\Council\Press%20Releases\Sales%20monthly\2022\Registration%20data%20-1975%20onwards%20YTD%20March%2020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t>Month on Month Comparisons</a:t>
            </a:r>
            <a:r>
              <a:rPr lang="en-US" baseline="0"/>
              <a:t> 2020 to 2022</a:t>
            </a:r>
            <a:r>
              <a:rPr lang="en-US"/>
              <a:t> </a:t>
            </a:r>
            <a:endParaRPr lang="en-US"/>
          </a:p>
        </c:rich>
      </c:tx>
      <c:layout>
        <c:manualLayout>
          <c:xMode val="edge"/>
          <c:yMode val="edge"/>
          <c:x val="0.29396161614252"/>
          <c:y val="0.018140589569161"/>
        </c:manualLayout>
      </c:layout>
      <c:overlay val="0"/>
      <c:spPr>
        <a:noFill/>
        <a:ln>
          <a:noFill/>
        </a:ln>
        <a:effectLst/>
      </c:spPr>
    </c:title>
    <c:autoTitleDeleted val="0"/>
    <c:plotArea>
      <c:layout/>
      <c:barChart>
        <c:barDir val="col"/>
        <c:grouping val="clustered"/>
        <c:varyColors val="0"/>
        <c:ser>
          <c:idx val="0"/>
          <c:order val="0"/>
          <c:tx>
            <c:strRef>
              <c:f>2020</c:f>
              <c:strCache>
                <c:ptCount val="1"/>
                <c:pt idx="0">
                  <c:v>2020</c:v>
                </c:pt>
              </c:strCache>
            </c:strRef>
          </c:tx>
          <c:spPr>
            <a:solidFill>
              <a:schemeClr val="accent1"/>
            </a:solidFill>
            <a:ln>
              <a:noFill/>
            </a:ln>
            <a:effectLst/>
          </c:spPr>
          <c:invertIfNegative val="0"/>
          <c:dLbls>
            <c:delete val="1"/>
          </c:dLbls>
          <c:cat>
            <c:strRef>
              <c:f>'Total Monthly New Vehicle Sales'!$R$66:$AC$66</c:f>
              <c:strCache>
                <c:ptCount val="12"/>
                <c:pt idx="0">
                  <c:v>Jan</c:v>
                </c:pt>
                <c:pt idx="1">
                  <c:v>Feb</c:v>
                </c:pt>
                <c:pt idx="2">
                  <c:v>Mar</c:v>
                </c:pt>
                <c:pt idx="3">
                  <c:v>April</c:v>
                </c:pt>
                <c:pt idx="4">
                  <c:v>May</c:v>
                </c:pt>
                <c:pt idx="5">
                  <c:v>June</c:v>
                </c:pt>
                <c:pt idx="6">
                  <c:v>July</c:v>
                </c:pt>
                <c:pt idx="7">
                  <c:v>Aug</c:v>
                </c:pt>
                <c:pt idx="8">
                  <c:v>Sept</c:v>
                </c:pt>
                <c:pt idx="9">
                  <c:v>Oct</c:v>
                </c:pt>
                <c:pt idx="10">
                  <c:v>Nov</c:v>
                </c:pt>
                <c:pt idx="11">
                  <c:v>Dec</c:v>
                </c:pt>
              </c:strCache>
            </c:strRef>
          </c:cat>
          <c:val>
            <c:numRef>
              <c:f>'Total Monthly New Vehicle Sales'!$R$67:$AC$67</c:f>
              <c:numCache>
                <c:formatCode>General</c:formatCode>
                <c:ptCount val="12"/>
                <c:pt idx="0">
                  <c:v>13078</c:v>
                </c:pt>
                <c:pt idx="1">
                  <c:v>11438</c:v>
                </c:pt>
                <c:pt idx="2">
                  <c:v>8317</c:v>
                </c:pt>
                <c:pt idx="3">
                  <c:v>1039</c:v>
                </c:pt>
                <c:pt idx="4">
                  <c:v>8313</c:v>
                </c:pt>
                <c:pt idx="5">
                  <c:v>11514</c:v>
                </c:pt>
                <c:pt idx="6">
                  <c:v>12263</c:v>
                </c:pt>
                <c:pt idx="7">
                  <c:v>10610</c:v>
                </c:pt>
                <c:pt idx="8">
                  <c:v>10902</c:v>
                </c:pt>
                <c:pt idx="9">
                  <c:v>11876</c:v>
                </c:pt>
                <c:pt idx="10">
                  <c:v>11889</c:v>
                </c:pt>
                <c:pt idx="11">
                  <c:v>8383</c:v>
                </c:pt>
              </c:numCache>
            </c:numRef>
          </c:val>
        </c:ser>
        <c:ser>
          <c:idx val="1"/>
          <c:order val="1"/>
          <c:tx>
            <c:strRef>
              <c:f>2021</c:f>
              <c:strCache>
                <c:ptCount val="1"/>
                <c:pt idx="0">
                  <c:v>2021</c:v>
                </c:pt>
              </c:strCache>
            </c:strRef>
          </c:tx>
          <c:spPr>
            <a:solidFill>
              <a:schemeClr val="accent2"/>
            </a:solidFill>
            <a:ln>
              <a:noFill/>
            </a:ln>
            <a:effectLst/>
          </c:spPr>
          <c:invertIfNegative val="0"/>
          <c:dLbls>
            <c:delete val="1"/>
          </c:dLbls>
          <c:cat>
            <c:strRef>
              <c:f>'Total Monthly New Vehicle Sales'!$R$66:$AC$66</c:f>
              <c:strCache>
                <c:ptCount val="12"/>
                <c:pt idx="0">
                  <c:v>Jan</c:v>
                </c:pt>
                <c:pt idx="1">
                  <c:v>Feb</c:v>
                </c:pt>
                <c:pt idx="2">
                  <c:v>Mar</c:v>
                </c:pt>
                <c:pt idx="3">
                  <c:v>April</c:v>
                </c:pt>
                <c:pt idx="4">
                  <c:v>May</c:v>
                </c:pt>
                <c:pt idx="5">
                  <c:v>June</c:v>
                </c:pt>
                <c:pt idx="6">
                  <c:v>July</c:v>
                </c:pt>
                <c:pt idx="7">
                  <c:v>Aug</c:v>
                </c:pt>
                <c:pt idx="8">
                  <c:v>Sept</c:v>
                </c:pt>
                <c:pt idx="9">
                  <c:v>Oct</c:v>
                </c:pt>
                <c:pt idx="10">
                  <c:v>Nov</c:v>
                </c:pt>
                <c:pt idx="11">
                  <c:v>Dec</c:v>
                </c:pt>
              </c:strCache>
            </c:strRef>
          </c:cat>
          <c:val>
            <c:numRef>
              <c:f>'Total Monthly New Vehicle Sales'!$R$68:$AC$68</c:f>
              <c:numCache>
                <c:formatCode>General</c:formatCode>
                <c:ptCount val="12"/>
                <c:pt idx="0">
                  <c:v>13893</c:v>
                </c:pt>
                <c:pt idx="1">
                  <c:v>12488</c:v>
                </c:pt>
                <c:pt idx="2">
                  <c:v>15498</c:v>
                </c:pt>
                <c:pt idx="3">
                  <c:v>13133</c:v>
                </c:pt>
                <c:pt idx="4">
                  <c:v>14552</c:v>
                </c:pt>
                <c:pt idx="5">
                  <c:v>15135</c:v>
                </c:pt>
                <c:pt idx="6">
                  <c:v>15053</c:v>
                </c:pt>
                <c:pt idx="7">
                  <c:v>6746</c:v>
                </c:pt>
                <c:pt idx="8">
                  <c:v>16518</c:v>
                </c:pt>
                <c:pt idx="9">
                  <c:v>14019</c:v>
                </c:pt>
                <c:pt idx="10">
                  <c:v>16327</c:v>
                </c:pt>
                <c:pt idx="11">
                  <c:v>12097</c:v>
                </c:pt>
              </c:numCache>
            </c:numRef>
          </c:val>
        </c:ser>
        <c:ser>
          <c:idx val="2"/>
          <c:order val="2"/>
          <c:tx>
            <c:strRef>
              <c:f>2022</c:f>
              <c:strCache>
                <c:ptCount val="1"/>
                <c:pt idx="0">
                  <c:v>2022</c:v>
                </c:pt>
              </c:strCache>
            </c:strRef>
          </c:tx>
          <c:spPr>
            <a:solidFill>
              <a:schemeClr val="accent3"/>
            </a:solidFill>
            <a:ln>
              <a:noFill/>
            </a:ln>
            <a:effectLst/>
          </c:spPr>
          <c:invertIfNegative val="0"/>
          <c:dLbls>
            <c:delete val="1"/>
          </c:dLbls>
          <c:cat>
            <c:strRef>
              <c:f>'Total Monthly New Vehicle Sales'!$R$66:$AC$66</c:f>
              <c:strCache>
                <c:ptCount val="12"/>
                <c:pt idx="0">
                  <c:v>Jan</c:v>
                </c:pt>
                <c:pt idx="1">
                  <c:v>Feb</c:v>
                </c:pt>
                <c:pt idx="2">
                  <c:v>Mar</c:v>
                </c:pt>
                <c:pt idx="3">
                  <c:v>April</c:v>
                </c:pt>
                <c:pt idx="4">
                  <c:v>May</c:v>
                </c:pt>
                <c:pt idx="5">
                  <c:v>June</c:v>
                </c:pt>
                <c:pt idx="6">
                  <c:v>July</c:v>
                </c:pt>
                <c:pt idx="7">
                  <c:v>Aug</c:v>
                </c:pt>
                <c:pt idx="8">
                  <c:v>Sept</c:v>
                </c:pt>
                <c:pt idx="9">
                  <c:v>Oct</c:v>
                </c:pt>
                <c:pt idx="10">
                  <c:v>Nov</c:v>
                </c:pt>
                <c:pt idx="11">
                  <c:v>Dec</c:v>
                </c:pt>
              </c:strCache>
            </c:strRef>
          </c:cat>
          <c:val>
            <c:numRef>
              <c:f>'Total Monthly New Vehicle Sales'!$R$69:$AC$69</c:f>
              <c:numCache>
                <c:formatCode>General</c:formatCode>
                <c:ptCount val="12"/>
                <c:pt idx="0">
                  <c:v>13514</c:v>
                </c:pt>
                <c:pt idx="1">
                  <c:v>12551</c:v>
                </c:pt>
                <c:pt idx="2">
                  <c:v>21044</c:v>
                </c:pt>
                <c:pt idx="3">
                  <c:v>9756</c:v>
                </c:pt>
                <c:pt idx="4">
                  <c:v>0</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671141640"/>
        <c:axId val="671142624"/>
      </c:barChart>
      <c:catAx>
        <c:axId val="671141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671142624"/>
        <c:crosses val="autoZero"/>
        <c:auto val="1"/>
        <c:lblAlgn val="ctr"/>
        <c:lblOffset val="100"/>
        <c:noMultiLvlLbl val="0"/>
      </c:catAx>
      <c:valAx>
        <c:axId val="671142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6711416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NZ"/>
              <a:t>Cummulative</a:t>
            </a:r>
            <a:r>
              <a:rPr lang="en-NZ" baseline="0"/>
              <a:t> Totals Comparison 2020 to 2022</a:t>
            </a:r>
            <a:endParaRPr lang="en-NZ"/>
          </a:p>
        </c:rich>
      </c:tx>
      <c:layout/>
      <c:overlay val="0"/>
      <c:spPr>
        <a:noFill/>
        <a:ln>
          <a:noFill/>
        </a:ln>
        <a:effectLst/>
      </c:spPr>
    </c:title>
    <c:autoTitleDeleted val="0"/>
    <c:plotArea>
      <c:layout/>
      <c:barChart>
        <c:barDir val="col"/>
        <c:grouping val="clustered"/>
        <c:varyColors val="0"/>
        <c:ser>
          <c:idx val="0"/>
          <c:order val="0"/>
          <c:tx>
            <c:strRef>
              <c:f>2020</c:f>
              <c:strCache>
                <c:ptCount val="1"/>
                <c:pt idx="0">
                  <c:v>2020</c:v>
                </c:pt>
              </c:strCache>
            </c:strRef>
          </c:tx>
          <c:spPr>
            <a:solidFill>
              <a:schemeClr val="accent1"/>
            </a:solidFill>
            <a:ln>
              <a:noFill/>
            </a:ln>
            <a:effectLst/>
          </c:spPr>
          <c:invertIfNegative val="0"/>
          <c:dLbls>
            <c:delete val="1"/>
          </c:dLbls>
          <c:cat>
            <c:strRef>
              <c:f>'Total Monthly New Vehicle Sales'!$R$71:$AC$71</c:f>
              <c:strCache>
                <c:ptCount val="12"/>
                <c:pt idx="0">
                  <c:v>Jan</c:v>
                </c:pt>
                <c:pt idx="1">
                  <c:v>Feb</c:v>
                </c:pt>
                <c:pt idx="2">
                  <c:v>Mar</c:v>
                </c:pt>
                <c:pt idx="3">
                  <c:v>April</c:v>
                </c:pt>
                <c:pt idx="4">
                  <c:v>May</c:v>
                </c:pt>
                <c:pt idx="5">
                  <c:v>June</c:v>
                </c:pt>
                <c:pt idx="6">
                  <c:v>July</c:v>
                </c:pt>
                <c:pt idx="7">
                  <c:v>Aug</c:v>
                </c:pt>
                <c:pt idx="8">
                  <c:v>Sept</c:v>
                </c:pt>
                <c:pt idx="9">
                  <c:v>Oct</c:v>
                </c:pt>
                <c:pt idx="10">
                  <c:v>Nov</c:v>
                </c:pt>
                <c:pt idx="11">
                  <c:v>Dec</c:v>
                </c:pt>
              </c:strCache>
            </c:strRef>
          </c:cat>
          <c:val>
            <c:numRef>
              <c:f>'Total Monthly New Vehicle Sales'!$R$72:$AC$72</c:f>
              <c:numCache>
                <c:formatCode>General</c:formatCode>
                <c:ptCount val="12"/>
                <c:pt idx="0">
                  <c:v>13078</c:v>
                </c:pt>
                <c:pt idx="1">
                  <c:v>24516</c:v>
                </c:pt>
                <c:pt idx="2">
                  <c:v>32833</c:v>
                </c:pt>
                <c:pt idx="3">
                  <c:v>33872</c:v>
                </c:pt>
                <c:pt idx="4">
                  <c:v>42185</c:v>
                </c:pt>
                <c:pt idx="5">
                  <c:v>53699</c:v>
                </c:pt>
                <c:pt idx="6">
                  <c:v>65962</c:v>
                </c:pt>
                <c:pt idx="7">
                  <c:v>76572</c:v>
                </c:pt>
                <c:pt idx="8">
                  <c:v>87474</c:v>
                </c:pt>
                <c:pt idx="9">
                  <c:v>99350</c:v>
                </c:pt>
                <c:pt idx="10">
                  <c:v>111239</c:v>
                </c:pt>
                <c:pt idx="11">
                  <c:v>119622</c:v>
                </c:pt>
              </c:numCache>
            </c:numRef>
          </c:val>
        </c:ser>
        <c:ser>
          <c:idx val="1"/>
          <c:order val="1"/>
          <c:tx>
            <c:strRef>
              <c:f>2021</c:f>
              <c:strCache>
                <c:ptCount val="1"/>
                <c:pt idx="0">
                  <c:v>2021</c:v>
                </c:pt>
              </c:strCache>
            </c:strRef>
          </c:tx>
          <c:spPr>
            <a:solidFill>
              <a:schemeClr val="accent2"/>
            </a:solidFill>
            <a:ln>
              <a:noFill/>
            </a:ln>
            <a:effectLst/>
          </c:spPr>
          <c:invertIfNegative val="0"/>
          <c:dLbls>
            <c:delete val="1"/>
          </c:dLbls>
          <c:cat>
            <c:strRef>
              <c:f>'Total Monthly New Vehicle Sales'!$R$71:$AC$71</c:f>
              <c:strCache>
                <c:ptCount val="12"/>
                <c:pt idx="0">
                  <c:v>Jan</c:v>
                </c:pt>
                <c:pt idx="1">
                  <c:v>Feb</c:v>
                </c:pt>
                <c:pt idx="2">
                  <c:v>Mar</c:v>
                </c:pt>
                <c:pt idx="3">
                  <c:v>April</c:v>
                </c:pt>
                <c:pt idx="4">
                  <c:v>May</c:v>
                </c:pt>
                <c:pt idx="5">
                  <c:v>June</c:v>
                </c:pt>
                <c:pt idx="6">
                  <c:v>July</c:v>
                </c:pt>
                <c:pt idx="7">
                  <c:v>Aug</c:v>
                </c:pt>
                <c:pt idx="8">
                  <c:v>Sept</c:v>
                </c:pt>
                <c:pt idx="9">
                  <c:v>Oct</c:v>
                </c:pt>
                <c:pt idx="10">
                  <c:v>Nov</c:v>
                </c:pt>
                <c:pt idx="11">
                  <c:v>Dec</c:v>
                </c:pt>
              </c:strCache>
            </c:strRef>
          </c:cat>
          <c:val>
            <c:numRef>
              <c:f>'Total Monthly New Vehicle Sales'!$R$73:$AC$73</c:f>
              <c:numCache>
                <c:formatCode>General</c:formatCode>
                <c:ptCount val="12"/>
                <c:pt idx="0">
                  <c:v>13893</c:v>
                </c:pt>
                <c:pt idx="1">
                  <c:v>26381</c:v>
                </c:pt>
                <c:pt idx="2">
                  <c:v>41879</c:v>
                </c:pt>
                <c:pt idx="3">
                  <c:v>55012</c:v>
                </c:pt>
                <c:pt idx="4">
                  <c:v>69564</c:v>
                </c:pt>
                <c:pt idx="5">
                  <c:v>84699</c:v>
                </c:pt>
                <c:pt idx="6">
                  <c:v>99752</c:v>
                </c:pt>
                <c:pt idx="7">
                  <c:v>106498</c:v>
                </c:pt>
                <c:pt idx="8">
                  <c:v>123016</c:v>
                </c:pt>
                <c:pt idx="9">
                  <c:v>137035</c:v>
                </c:pt>
                <c:pt idx="10">
                  <c:v>153362</c:v>
                </c:pt>
                <c:pt idx="11">
                  <c:v>165459</c:v>
                </c:pt>
              </c:numCache>
            </c:numRef>
          </c:val>
        </c:ser>
        <c:ser>
          <c:idx val="2"/>
          <c:order val="2"/>
          <c:tx>
            <c:strRef>
              <c:f>2022</c:f>
              <c:strCache>
                <c:ptCount val="1"/>
                <c:pt idx="0">
                  <c:v>2022</c:v>
                </c:pt>
              </c:strCache>
            </c:strRef>
          </c:tx>
          <c:spPr>
            <a:solidFill>
              <a:schemeClr val="accent3"/>
            </a:solidFill>
            <a:ln>
              <a:noFill/>
            </a:ln>
            <a:effectLst/>
          </c:spPr>
          <c:invertIfNegative val="0"/>
          <c:dLbls>
            <c:delete val="1"/>
          </c:dLbls>
          <c:cat>
            <c:strRef>
              <c:f>'Total Monthly New Vehicle Sales'!$R$71:$AC$71</c:f>
              <c:strCache>
                <c:ptCount val="12"/>
                <c:pt idx="0">
                  <c:v>Jan</c:v>
                </c:pt>
                <c:pt idx="1">
                  <c:v>Feb</c:v>
                </c:pt>
                <c:pt idx="2">
                  <c:v>Mar</c:v>
                </c:pt>
                <c:pt idx="3">
                  <c:v>April</c:v>
                </c:pt>
                <c:pt idx="4">
                  <c:v>May</c:v>
                </c:pt>
                <c:pt idx="5">
                  <c:v>June</c:v>
                </c:pt>
                <c:pt idx="6">
                  <c:v>July</c:v>
                </c:pt>
                <c:pt idx="7">
                  <c:v>Aug</c:v>
                </c:pt>
                <c:pt idx="8">
                  <c:v>Sept</c:v>
                </c:pt>
                <c:pt idx="9">
                  <c:v>Oct</c:v>
                </c:pt>
                <c:pt idx="10">
                  <c:v>Nov</c:v>
                </c:pt>
                <c:pt idx="11">
                  <c:v>Dec</c:v>
                </c:pt>
              </c:strCache>
            </c:strRef>
          </c:cat>
          <c:val>
            <c:numRef>
              <c:f>'Total Monthly New Vehicle Sales'!$R$74:$AC$74</c:f>
              <c:numCache>
                <c:formatCode>General</c:formatCode>
                <c:ptCount val="12"/>
                <c:pt idx="0">
                  <c:v>13514</c:v>
                </c:pt>
                <c:pt idx="1">
                  <c:v>26065</c:v>
                </c:pt>
                <c:pt idx="2">
                  <c:v>47109</c:v>
                </c:pt>
                <c:pt idx="3">
                  <c:v>56865</c:v>
                </c:pt>
              </c:numCache>
            </c:numRef>
          </c:val>
        </c:ser>
        <c:dLbls>
          <c:showLegendKey val="0"/>
          <c:showVal val="0"/>
          <c:showCatName val="0"/>
          <c:showSerName val="0"/>
          <c:showPercent val="0"/>
          <c:showBubbleSize val="0"/>
        </c:dLbls>
        <c:gapWidth val="219"/>
        <c:overlap val="-27"/>
        <c:axId val="672258296"/>
        <c:axId val="672264200"/>
      </c:barChart>
      <c:catAx>
        <c:axId val="672258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672264200"/>
        <c:crosses val="autoZero"/>
        <c:auto val="1"/>
        <c:lblAlgn val="ctr"/>
        <c:lblOffset val="100"/>
        <c:noMultiLvlLbl val="0"/>
      </c:catAx>
      <c:valAx>
        <c:axId val="672264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6722582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119C8-A1C4-4F1A-9E61-1B719A77FD9F}">
  <ds:schemaRefs/>
</ds:datastoreItem>
</file>

<file path=docProps/app.xml><?xml version="1.0" encoding="utf-8"?>
<Properties xmlns="http://schemas.openxmlformats.org/officeDocument/2006/extended-properties" xmlns:vt="http://schemas.openxmlformats.org/officeDocument/2006/docPropsVTypes">
  <Template>MIA Letterhead_Template.dotx</Template>
  <Company>DNA Design</Company>
  <Pages>4</Pages>
  <Words>797</Words>
  <Characters>4546</Characters>
  <Lines>37</Lines>
  <Paragraphs>10</Paragraphs>
  <TotalTime>72</TotalTime>
  <ScaleCrop>false</ScaleCrop>
  <LinksUpToDate>false</LinksUpToDate>
  <CharactersWithSpaces>5333</CharactersWithSpaces>
  <Application>WPS Office_11.2.0.11074_F1E327BC-269C-435d-A152-05C5408002CA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2022-05-02T00:20:00Z</dcterms:created>
  <dc:creator>David Crawford (MIA)</dc:creator>
  <cp:lastModifiedBy>google1598336957</cp:lastModifiedBy>
  <cp:lastPrinted>2020-09-02T05:37:00Z</cp:lastPrinted>
  <dcterms:modified xsi:type="dcterms:W3CDTF">2022-05-02T22:48:50Z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4F7DE47F7BC648A98AC58E743AB28F50</vt:lpwstr>
  </property>
</Properties>
</file>