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AB76" w14:textId="5EA01008" w:rsidR="00A0495C" w:rsidRPr="00292B96" w:rsidRDefault="00A32198" w:rsidP="00292B96">
      <w:pPr>
        <w:pStyle w:val="TitleWorldline"/>
        <w:spacing w:line="276" w:lineRule="auto"/>
        <w:contextualSpacing/>
        <w:rPr>
          <w:i/>
          <w:iCs/>
          <w:color w:val="auto"/>
          <w:sz w:val="28"/>
          <w:szCs w:val="14"/>
          <w:lang w:val="en-US"/>
        </w:rPr>
      </w:pPr>
      <w:r>
        <w:rPr>
          <w:szCs w:val="40"/>
          <w:lang w:val="en-US"/>
        </w:rPr>
        <w:t>Consumer s</w:t>
      </w:r>
      <w:r w:rsidR="00E672F6">
        <w:rPr>
          <w:szCs w:val="40"/>
          <w:lang w:val="en-US"/>
        </w:rPr>
        <w:t>pending nudge</w:t>
      </w:r>
      <w:r>
        <w:rPr>
          <w:szCs w:val="40"/>
          <w:lang w:val="en-US"/>
        </w:rPr>
        <w:t>s</w:t>
      </w:r>
      <w:r w:rsidR="00E672F6">
        <w:rPr>
          <w:szCs w:val="40"/>
          <w:lang w:val="en-US"/>
        </w:rPr>
        <w:t xml:space="preserve"> above </w:t>
      </w:r>
      <w:r w:rsidR="00156478">
        <w:rPr>
          <w:szCs w:val="40"/>
          <w:lang w:val="en-US"/>
        </w:rPr>
        <w:t>year-ago levels</w:t>
      </w:r>
      <w:r w:rsidR="00B75A85">
        <w:rPr>
          <w:szCs w:val="40"/>
          <w:lang w:val="en-US"/>
        </w:rPr>
        <w:t xml:space="preserve"> as final Christmas shopping week starts </w:t>
      </w:r>
      <w:r w:rsidR="00E672F6">
        <w:rPr>
          <w:szCs w:val="40"/>
          <w:lang w:val="en-US"/>
        </w:rPr>
        <w:t>strongly</w:t>
      </w:r>
      <w:r w:rsidR="002A402A">
        <w:rPr>
          <w:sz w:val="44"/>
          <w:szCs w:val="44"/>
          <w:lang w:val="en-US"/>
        </w:rPr>
        <w:br/>
      </w:r>
    </w:p>
    <w:p w14:paraId="7EE6CA74" w14:textId="678CCF29" w:rsidR="002712EA" w:rsidRDefault="00936808" w:rsidP="005B17F3">
      <w:pPr>
        <w:spacing w:line="240" w:lineRule="auto"/>
        <w:rPr>
          <w:b/>
          <w:lang w:val="en-US"/>
        </w:rPr>
      </w:pPr>
      <w:r>
        <w:rPr>
          <w:b/>
          <w:lang w:val="en-US"/>
        </w:rPr>
        <w:t xml:space="preserve">AUCKLAND, </w:t>
      </w:r>
      <w:r w:rsidR="00A767D7">
        <w:rPr>
          <w:b/>
          <w:lang w:val="en-US"/>
        </w:rPr>
        <w:t>1</w:t>
      </w:r>
      <w:r w:rsidR="00861DA0">
        <w:rPr>
          <w:b/>
          <w:lang w:val="en-US"/>
        </w:rPr>
        <w:t>9</w:t>
      </w:r>
      <w:r w:rsidR="00826992" w:rsidRPr="00FD0737">
        <w:rPr>
          <w:b/>
          <w:lang w:val="en-US"/>
        </w:rPr>
        <w:t xml:space="preserve"> </w:t>
      </w:r>
      <w:r w:rsidR="0026269B">
        <w:rPr>
          <w:b/>
          <w:lang w:val="en-US"/>
        </w:rPr>
        <w:t>December</w:t>
      </w:r>
      <w:r w:rsidR="00985585">
        <w:rPr>
          <w:b/>
          <w:lang w:val="en-US"/>
        </w:rPr>
        <w:t xml:space="preserve"> </w:t>
      </w:r>
      <w:r w:rsidR="00A27906" w:rsidRPr="00FD0737">
        <w:rPr>
          <w:b/>
          <w:lang w:val="en-US"/>
        </w:rPr>
        <w:t>202</w:t>
      </w:r>
      <w:r w:rsidR="005B06DF">
        <w:rPr>
          <w:b/>
          <w:lang w:val="en-US"/>
        </w:rPr>
        <w:t>2</w:t>
      </w:r>
      <w:r w:rsidR="00A27906" w:rsidRPr="00FD0737">
        <w:rPr>
          <w:b/>
          <w:lang w:val="en-US"/>
        </w:rPr>
        <w:t xml:space="preserve"> –</w:t>
      </w:r>
      <w:r w:rsidR="001840FD">
        <w:rPr>
          <w:b/>
          <w:lang w:val="en-US"/>
        </w:rPr>
        <w:t xml:space="preserve"> </w:t>
      </w:r>
      <w:r w:rsidR="00307AC5">
        <w:rPr>
          <w:b/>
          <w:lang w:val="en-US"/>
        </w:rPr>
        <w:t>Consumer s</w:t>
      </w:r>
      <w:r w:rsidR="00861DA0">
        <w:rPr>
          <w:b/>
          <w:lang w:val="en-US"/>
        </w:rPr>
        <w:t xml:space="preserve">pending </w:t>
      </w:r>
      <w:r w:rsidR="00EA641C">
        <w:rPr>
          <w:b/>
          <w:lang w:val="en-US"/>
        </w:rPr>
        <w:t>maintained</w:t>
      </w:r>
      <w:r w:rsidR="009A6AD9">
        <w:rPr>
          <w:b/>
          <w:lang w:val="en-US"/>
        </w:rPr>
        <w:t xml:space="preserve"> its high</w:t>
      </w:r>
      <w:r w:rsidR="001C12CA">
        <w:rPr>
          <w:b/>
          <w:lang w:val="en-US"/>
        </w:rPr>
        <w:t xml:space="preserve"> </w:t>
      </w:r>
      <w:r w:rsidR="00E672F6">
        <w:rPr>
          <w:b/>
          <w:lang w:val="en-US"/>
        </w:rPr>
        <w:t>level</w:t>
      </w:r>
      <w:r w:rsidR="009A6AD9">
        <w:rPr>
          <w:b/>
          <w:lang w:val="en-US"/>
        </w:rPr>
        <w:t>s</w:t>
      </w:r>
      <w:r w:rsidR="00861DA0">
        <w:rPr>
          <w:b/>
          <w:lang w:val="en-US"/>
        </w:rPr>
        <w:t xml:space="preserve"> </w:t>
      </w:r>
      <w:r w:rsidR="00021CCB">
        <w:rPr>
          <w:b/>
          <w:lang w:val="en-US"/>
        </w:rPr>
        <w:t>in</w:t>
      </w:r>
      <w:r w:rsidR="00861DA0">
        <w:rPr>
          <w:b/>
          <w:lang w:val="en-US"/>
        </w:rPr>
        <w:t xml:space="preserve"> the</w:t>
      </w:r>
      <w:r w:rsidR="009A6AD9">
        <w:rPr>
          <w:b/>
          <w:lang w:val="en-US"/>
        </w:rPr>
        <w:t xml:space="preserve"> </w:t>
      </w:r>
      <w:r w:rsidR="00861DA0">
        <w:rPr>
          <w:b/>
          <w:lang w:val="en-US"/>
        </w:rPr>
        <w:t xml:space="preserve">second to last full </w:t>
      </w:r>
      <w:r w:rsidR="009A6AD9">
        <w:rPr>
          <w:b/>
          <w:lang w:val="en-US"/>
        </w:rPr>
        <w:t>week</w:t>
      </w:r>
      <w:r w:rsidR="00861DA0">
        <w:rPr>
          <w:b/>
          <w:lang w:val="en-US"/>
        </w:rPr>
        <w:t xml:space="preserve"> of </w:t>
      </w:r>
      <w:r w:rsidR="009A6AD9">
        <w:rPr>
          <w:b/>
          <w:lang w:val="en-US"/>
        </w:rPr>
        <w:t>pre-Christmas</w:t>
      </w:r>
      <w:r w:rsidR="005134E1">
        <w:rPr>
          <w:b/>
          <w:lang w:val="en-US"/>
        </w:rPr>
        <w:t xml:space="preserve"> shopping</w:t>
      </w:r>
      <w:r w:rsidR="00021CCB">
        <w:rPr>
          <w:b/>
          <w:lang w:val="en-US"/>
        </w:rPr>
        <w:t xml:space="preserve">, </w:t>
      </w:r>
      <w:r w:rsidR="00FF6ED5">
        <w:rPr>
          <w:b/>
          <w:lang w:val="en-US"/>
        </w:rPr>
        <w:t>nudging above</w:t>
      </w:r>
      <w:r w:rsidR="005134E1">
        <w:rPr>
          <w:b/>
          <w:lang w:val="en-US"/>
        </w:rPr>
        <w:t xml:space="preserve"> spending </w:t>
      </w:r>
      <w:r w:rsidR="00FF6ED5">
        <w:rPr>
          <w:b/>
          <w:lang w:val="en-US"/>
        </w:rPr>
        <w:t>over</w:t>
      </w:r>
      <w:r w:rsidR="005134E1">
        <w:rPr>
          <w:b/>
          <w:lang w:val="en-US"/>
        </w:rPr>
        <w:t xml:space="preserve"> the same time last year and </w:t>
      </w:r>
      <w:r w:rsidR="00FF6ED5">
        <w:rPr>
          <w:b/>
          <w:lang w:val="en-US"/>
        </w:rPr>
        <w:t>surging</w:t>
      </w:r>
      <w:r w:rsidR="00E672F6">
        <w:rPr>
          <w:b/>
          <w:lang w:val="en-US"/>
        </w:rPr>
        <w:t xml:space="preserve"> </w:t>
      </w:r>
      <w:r w:rsidR="00861DA0">
        <w:rPr>
          <w:b/>
          <w:lang w:val="en-US"/>
        </w:rPr>
        <w:t xml:space="preserve">ahead </w:t>
      </w:r>
      <w:r w:rsidR="008331A0">
        <w:rPr>
          <w:b/>
          <w:lang w:val="en-US"/>
        </w:rPr>
        <w:t xml:space="preserve">of </w:t>
      </w:r>
      <w:r w:rsidR="00861DA0">
        <w:rPr>
          <w:b/>
          <w:lang w:val="en-US"/>
        </w:rPr>
        <w:t>pre-Covid</w:t>
      </w:r>
      <w:r w:rsidR="00FF6ED5">
        <w:rPr>
          <w:b/>
          <w:lang w:val="en-US"/>
        </w:rPr>
        <w:t xml:space="preserve"> levels</w:t>
      </w:r>
      <w:r w:rsidR="00CA048C">
        <w:rPr>
          <w:b/>
          <w:lang w:val="en-US"/>
        </w:rPr>
        <w:t>.</w:t>
      </w:r>
      <w:r w:rsidR="0012758E">
        <w:rPr>
          <w:b/>
          <w:lang w:val="en-US"/>
        </w:rPr>
        <w:t xml:space="preserve"> </w:t>
      </w:r>
    </w:p>
    <w:p w14:paraId="3479308B" w14:textId="77777777" w:rsidR="002712EA" w:rsidRDefault="002712EA" w:rsidP="005B17F3">
      <w:pPr>
        <w:spacing w:line="240" w:lineRule="auto"/>
        <w:rPr>
          <w:b/>
          <w:lang w:val="en-US"/>
        </w:rPr>
      </w:pPr>
    </w:p>
    <w:p w14:paraId="1C44A309" w14:textId="7EEDD81C" w:rsidR="00A821BB" w:rsidRDefault="00CB3E99" w:rsidP="00535A74">
      <w:pPr>
        <w:pStyle w:val="BodytextWorldline"/>
        <w:rPr>
          <w:lang w:val="en-US"/>
        </w:rPr>
      </w:pPr>
      <w:r>
        <w:rPr>
          <w:lang w:val="en-US"/>
        </w:rPr>
        <w:t>Consumer spending</w:t>
      </w:r>
      <w:r w:rsidR="00190F07">
        <w:rPr>
          <w:lang w:val="en-US"/>
        </w:rPr>
        <w:t xml:space="preserve"> </w:t>
      </w:r>
      <w:r>
        <w:rPr>
          <w:lang w:val="en-US"/>
        </w:rPr>
        <w:t xml:space="preserve">through </w:t>
      </w:r>
      <w:r w:rsidR="00DE403B">
        <w:rPr>
          <w:lang w:val="en-US"/>
        </w:rPr>
        <w:t>Core Retail merchants</w:t>
      </w:r>
      <w:r w:rsidR="00430EE8">
        <w:rPr>
          <w:lang w:val="en-US"/>
        </w:rPr>
        <w:t xml:space="preserve"> in Worldline NZ’s payments network</w:t>
      </w:r>
      <w:r w:rsidR="00DE403B">
        <w:rPr>
          <w:lang w:val="en-US"/>
        </w:rPr>
        <w:t xml:space="preserve"> (excluding Hospitality) </w:t>
      </w:r>
      <w:r w:rsidR="00A767D7">
        <w:rPr>
          <w:lang w:val="en-US"/>
        </w:rPr>
        <w:t xml:space="preserve">was </w:t>
      </w:r>
      <w:r w:rsidR="005C0F3C">
        <w:rPr>
          <w:lang w:val="en-US"/>
        </w:rPr>
        <w:t>$</w:t>
      </w:r>
      <w:r w:rsidR="00861DA0">
        <w:rPr>
          <w:lang w:val="en-US"/>
        </w:rPr>
        <w:t>881</w:t>
      </w:r>
      <w:r w:rsidR="00307AC5">
        <w:rPr>
          <w:lang w:val="en-US"/>
        </w:rPr>
        <w:t>m</w:t>
      </w:r>
      <w:r w:rsidR="00441491">
        <w:rPr>
          <w:lang w:val="en-US"/>
        </w:rPr>
        <w:t xml:space="preserve"> in </w:t>
      </w:r>
      <w:r w:rsidR="00A767D7">
        <w:rPr>
          <w:lang w:val="en-US"/>
        </w:rPr>
        <w:t>the week ending Saturday 1</w:t>
      </w:r>
      <w:r w:rsidR="00861DA0">
        <w:rPr>
          <w:lang w:val="en-US"/>
        </w:rPr>
        <w:t>7</w:t>
      </w:r>
      <w:r w:rsidR="00A767D7">
        <w:rPr>
          <w:lang w:val="en-US"/>
        </w:rPr>
        <w:t xml:space="preserve"> </w:t>
      </w:r>
      <w:r w:rsidR="00861DA0">
        <w:rPr>
          <w:lang w:val="en-US"/>
        </w:rPr>
        <w:t>December</w:t>
      </w:r>
      <w:r w:rsidR="00441491">
        <w:rPr>
          <w:lang w:val="en-US"/>
        </w:rPr>
        <w:t xml:space="preserve"> 2022</w:t>
      </w:r>
      <w:r w:rsidR="005C0F3C">
        <w:rPr>
          <w:lang w:val="en-US"/>
        </w:rPr>
        <w:t xml:space="preserve">, </w:t>
      </w:r>
      <w:r w:rsidR="001C3095">
        <w:rPr>
          <w:lang w:val="en-US"/>
        </w:rPr>
        <w:t xml:space="preserve">which </w:t>
      </w:r>
      <w:r w:rsidR="00902EFC">
        <w:rPr>
          <w:lang w:val="en-US"/>
        </w:rPr>
        <w:t>was</w:t>
      </w:r>
      <w:r w:rsidR="001C3095">
        <w:rPr>
          <w:lang w:val="en-US"/>
        </w:rPr>
        <w:t xml:space="preserve"> </w:t>
      </w:r>
      <w:r w:rsidR="005C0F3C">
        <w:rPr>
          <w:lang w:val="en-US"/>
        </w:rPr>
        <w:t>up</w:t>
      </w:r>
      <w:r w:rsidR="00393FB7">
        <w:rPr>
          <w:lang w:val="en-US"/>
        </w:rPr>
        <w:t xml:space="preserve"> </w:t>
      </w:r>
      <w:r w:rsidR="00AF703C">
        <w:rPr>
          <w:lang w:val="en-US"/>
        </w:rPr>
        <w:t xml:space="preserve">just </w:t>
      </w:r>
      <w:r w:rsidR="00861DA0">
        <w:rPr>
          <w:lang w:val="en-US"/>
        </w:rPr>
        <w:t>1.9</w:t>
      </w:r>
      <w:r>
        <w:rPr>
          <w:lang w:val="en-US"/>
        </w:rPr>
        <w:t xml:space="preserve">% </w:t>
      </w:r>
      <w:r w:rsidR="002D0903">
        <w:rPr>
          <w:lang w:val="en-US"/>
        </w:rPr>
        <w:t>on</w:t>
      </w:r>
      <w:r w:rsidR="00A767D7">
        <w:rPr>
          <w:lang w:val="en-US"/>
        </w:rPr>
        <w:t xml:space="preserve"> the week ending </w:t>
      </w:r>
      <w:r w:rsidR="00AF703C">
        <w:rPr>
          <w:lang w:val="en-US"/>
        </w:rPr>
        <w:t xml:space="preserve">December </w:t>
      </w:r>
      <w:r w:rsidR="00A767D7">
        <w:rPr>
          <w:lang w:val="en-US"/>
        </w:rPr>
        <w:t>1</w:t>
      </w:r>
      <w:r w:rsidR="00861DA0">
        <w:rPr>
          <w:lang w:val="en-US"/>
        </w:rPr>
        <w:t>7</w:t>
      </w:r>
      <w:r w:rsidR="00A767D7" w:rsidRPr="00A767D7">
        <w:rPr>
          <w:vertAlign w:val="superscript"/>
          <w:lang w:val="en-US"/>
        </w:rPr>
        <w:t>th</w:t>
      </w:r>
      <w:r w:rsidR="00A767D7">
        <w:rPr>
          <w:lang w:val="en-US"/>
        </w:rPr>
        <w:t xml:space="preserve"> in </w:t>
      </w:r>
      <w:r w:rsidR="002D0903">
        <w:rPr>
          <w:lang w:val="en-US"/>
        </w:rPr>
        <w:t>2021</w:t>
      </w:r>
      <w:r w:rsidR="00213C5F">
        <w:rPr>
          <w:lang w:val="en-US"/>
        </w:rPr>
        <w:t xml:space="preserve"> </w:t>
      </w:r>
      <w:r w:rsidR="00D74A1C">
        <w:rPr>
          <w:lang w:val="en-US"/>
        </w:rPr>
        <w:t>but</w:t>
      </w:r>
      <w:r w:rsidR="00A767D7">
        <w:rPr>
          <w:lang w:val="en-US"/>
        </w:rPr>
        <w:t xml:space="preserve"> </w:t>
      </w:r>
      <w:r w:rsidR="00213C5F">
        <w:rPr>
          <w:lang w:val="en-US"/>
        </w:rPr>
        <w:t xml:space="preserve">up </w:t>
      </w:r>
      <w:r w:rsidR="00027FF9">
        <w:rPr>
          <w:lang w:val="en-US"/>
        </w:rPr>
        <w:t>14.</w:t>
      </w:r>
      <w:r w:rsidR="00861DA0">
        <w:rPr>
          <w:lang w:val="en-US"/>
        </w:rPr>
        <w:t>6</w:t>
      </w:r>
      <w:r w:rsidR="00213C5F">
        <w:rPr>
          <w:lang w:val="en-US"/>
        </w:rPr>
        <w:t xml:space="preserve">% </w:t>
      </w:r>
      <w:r w:rsidR="00027FF9">
        <w:rPr>
          <w:lang w:val="en-US"/>
        </w:rPr>
        <w:t xml:space="preserve">on </w:t>
      </w:r>
      <w:r w:rsidR="00AF703C">
        <w:rPr>
          <w:lang w:val="en-US"/>
        </w:rPr>
        <w:t xml:space="preserve">the same week in </w:t>
      </w:r>
      <w:r w:rsidR="00027FF9">
        <w:rPr>
          <w:lang w:val="en-US"/>
        </w:rPr>
        <w:t>2019</w:t>
      </w:r>
      <w:r w:rsidR="00213C5F">
        <w:rPr>
          <w:lang w:val="en-US"/>
        </w:rPr>
        <w:t>.</w:t>
      </w:r>
    </w:p>
    <w:p w14:paraId="494D7741" w14:textId="1B792EE5" w:rsidR="0058741F" w:rsidRDefault="0058741F" w:rsidP="00FE72C3">
      <w:pPr>
        <w:pStyle w:val="BodytextWorldline"/>
        <w:rPr>
          <w:lang w:val="en-US"/>
        </w:rPr>
      </w:pPr>
      <w:r>
        <w:rPr>
          <w:lang w:val="en-AU"/>
        </w:rPr>
        <w:t xml:space="preserve">The final week of Christmas shopping </w:t>
      </w:r>
      <w:r w:rsidR="00AF703C">
        <w:rPr>
          <w:lang w:val="en-AU"/>
        </w:rPr>
        <w:t>has also started strongly, with s</w:t>
      </w:r>
      <w:r>
        <w:rPr>
          <w:lang w:val="en-US"/>
        </w:rPr>
        <w:t xml:space="preserve">pending </w:t>
      </w:r>
      <w:r w:rsidR="00584AA4">
        <w:rPr>
          <w:lang w:val="en-US"/>
        </w:rPr>
        <w:t xml:space="preserve">recorded </w:t>
      </w:r>
      <w:r>
        <w:rPr>
          <w:lang w:val="en-US"/>
        </w:rPr>
        <w:t>on Sunday 18</w:t>
      </w:r>
      <w:r w:rsidRPr="00E672F6">
        <w:rPr>
          <w:vertAlign w:val="superscript"/>
          <w:lang w:val="en-US"/>
        </w:rPr>
        <w:t>th</w:t>
      </w:r>
      <w:r>
        <w:rPr>
          <w:lang w:val="en-US"/>
        </w:rPr>
        <w:t xml:space="preserve"> December 2022 </w:t>
      </w:r>
      <w:r w:rsidR="00584AA4">
        <w:rPr>
          <w:lang w:val="en-US"/>
        </w:rPr>
        <w:t>reaching</w:t>
      </w:r>
      <w:r>
        <w:rPr>
          <w:lang w:val="en-US"/>
        </w:rPr>
        <w:t xml:space="preserve"> 12.1% higher than the previous Sunday (11</w:t>
      </w:r>
      <w:r w:rsidRPr="00E672F6">
        <w:rPr>
          <w:vertAlign w:val="superscript"/>
          <w:lang w:val="en-US"/>
        </w:rPr>
        <w:t>th</w:t>
      </w:r>
      <w:r>
        <w:rPr>
          <w:lang w:val="en-US"/>
        </w:rPr>
        <w:t xml:space="preserve"> December 2022). </w:t>
      </w:r>
    </w:p>
    <w:p w14:paraId="666CFCC4" w14:textId="1222D769" w:rsidR="00AF703C" w:rsidRDefault="00AF703C" w:rsidP="00AF703C">
      <w:pPr>
        <w:pStyle w:val="BodytextWorldline"/>
        <w:rPr>
          <w:lang w:val="en-US"/>
        </w:rPr>
      </w:pPr>
      <w:r>
        <w:rPr>
          <w:lang w:val="en-US"/>
        </w:rPr>
        <w:t xml:space="preserve">Worldline NZ’s Chief Sales Officer, Bruce </w:t>
      </w:r>
      <w:proofErr w:type="spellStart"/>
      <w:r>
        <w:rPr>
          <w:lang w:val="en-US"/>
        </w:rPr>
        <w:t>Proffit</w:t>
      </w:r>
      <w:proofErr w:type="spellEnd"/>
      <w:r w:rsidR="00375907">
        <w:rPr>
          <w:lang w:val="en-US"/>
        </w:rPr>
        <w:t>,</w:t>
      </w:r>
      <w:r>
        <w:rPr>
          <w:lang w:val="en-US"/>
        </w:rPr>
        <w:t xml:space="preserve"> says consumer spending is </w:t>
      </w:r>
      <w:r w:rsidR="00584AA4">
        <w:rPr>
          <w:lang w:val="en-US"/>
        </w:rPr>
        <w:t xml:space="preserve">very </w:t>
      </w:r>
      <w:r>
        <w:rPr>
          <w:lang w:val="en-US"/>
        </w:rPr>
        <w:t xml:space="preserve">likely to increase </w:t>
      </w:r>
      <w:r w:rsidR="00584AA4">
        <w:rPr>
          <w:lang w:val="en-US"/>
        </w:rPr>
        <w:t xml:space="preserve">even </w:t>
      </w:r>
      <w:r>
        <w:rPr>
          <w:lang w:val="en-US"/>
        </w:rPr>
        <w:t>further in the days ahead</w:t>
      </w:r>
      <w:r w:rsidR="0044792A">
        <w:rPr>
          <w:lang w:val="en-US"/>
        </w:rPr>
        <w:t xml:space="preserve">, considering comparative </w:t>
      </w:r>
      <w:r>
        <w:rPr>
          <w:lang w:val="en-US"/>
        </w:rPr>
        <w:t xml:space="preserve">spending patterns </w:t>
      </w:r>
      <w:r w:rsidR="004F67BD">
        <w:rPr>
          <w:lang w:val="en-US"/>
        </w:rPr>
        <w:t xml:space="preserve">from previous years </w:t>
      </w:r>
      <w:r>
        <w:rPr>
          <w:lang w:val="en-US"/>
        </w:rPr>
        <w:t xml:space="preserve">and </w:t>
      </w:r>
      <w:r w:rsidR="004F67BD">
        <w:rPr>
          <w:lang w:val="en-US"/>
        </w:rPr>
        <w:t>yesterday’s</w:t>
      </w:r>
      <w:r>
        <w:rPr>
          <w:lang w:val="en-US"/>
        </w:rPr>
        <w:t xml:space="preserve"> </w:t>
      </w:r>
      <w:r w:rsidR="004F67BD">
        <w:rPr>
          <w:lang w:val="en-US"/>
        </w:rPr>
        <w:t xml:space="preserve">positive </w:t>
      </w:r>
      <w:r>
        <w:rPr>
          <w:lang w:val="en-US"/>
        </w:rPr>
        <w:t xml:space="preserve">start </w:t>
      </w:r>
      <w:r w:rsidR="004F67BD">
        <w:rPr>
          <w:lang w:val="en-US"/>
        </w:rPr>
        <w:t>to</w:t>
      </w:r>
      <w:r>
        <w:rPr>
          <w:lang w:val="en-US"/>
        </w:rPr>
        <w:t xml:space="preserve"> the last seven days of </w:t>
      </w:r>
      <w:r w:rsidR="004F67BD">
        <w:rPr>
          <w:lang w:val="en-US"/>
        </w:rPr>
        <w:t xml:space="preserve">Christmas </w:t>
      </w:r>
      <w:r>
        <w:rPr>
          <w:lang w:val="en-US"/>
        </w:rPr>
        <w:t>shopping</w:t>
      </w:r>
      <w:r w:rsidR="008401DA">
        <w:rPr>
          <w:lang w:val="en-US"/>
        </w:rPr>
        <w:t xml:space="preserve">. </w:t>
      </w:r>
    </w:p>
    <w:p w14:paraId="2DC61C37" w14:textId="7E9236FE" w:rsidR="0095331E" w:rsidRDefault="0095331E" w:rsidP="00A341FC">
      <w:pPr>
        <w:pStyle w:val="BodytextWorldline"/>
        <w:rPr>
          <w:lang w:val="en-US"/>
        </w:rPr>
      </w:pPr>
      <w:r>
        <w:rPr>
          <w:lang w:val="en-US"/>
        </w:rPr>
        <w:t>“Spending does normally increase week-to-week in the run up to Christmas</w:t>
      </w:r>
      <w:r w:rsidR="00077778">
        <w:rPr>
          <w:lang w:val="en-US"/>
        </w:rPr>
        <w:t xml:space="preserve">, and while we saw an </w:t>
      </w:r>
      <w:r>
        <w:rPr>
          <w:lang w:val="en-US"/>
        </w:rPr>
        <w:t>8.3% jump last week</w:t>
      </w:r>
      <w:r w:rsidR="00077778">
        <w:rPr>
          <w:lang w:val="en-US"/>
        </w:rPr>
        <w:t xml:space="preserve">, this </w:t>
      </w:r>
      <w:r>
        <w:rPr>
          <w:lang w:val="en-US"/>
        </w:rPr>
        <w:t xml:space="preserve">was around typical levels,” he says. </w:t>
      </w:r>
    </w:p>
    <w:p w14:paraId="24352BFF" w14:textId="22571920" w:rsidR="0095331E" w:rsidRDefault="0095331E" w:rsidP="00A341FC">
      <w:pPr>
        <w:pStyle w:val="BodytextWorldline"/>
        <w:rPr>
          <w:lang w:val="en-US"/>
        </w:rPr>
      </w:pPr>
      <w:r>
        <w:rPr>
          <w:lang w:val="en-US"/>
        </w:rPr>
        <w:t>“</w:t>
      </w:r>
      <w:r w:rsidR="00077778">
        <w:rPr>
          <w:lang w:val="en-US"/>
        </w:rPr>
        <w:t>However, with</w:t>
      </w:r>
      <w:r>
        <w:rPr>
          <w:lang w:val="en-US"/>
        </w:rPr>
        <w:t xml:space="preserve">in that total were </w:t>
      </w:r>
      <w:r w:rsidR="00077778">
        <w:rPr>
          <w:lang w:val="en-US"/>
        </w:rPr>
        <w:t xml:space="preserve">some </w:t>
      </w:r>
      <w:r>
        <w:rPr>
          <w:lang w:val="en-US"/>
        </w:rPr>
        <w:t xml:space="preserve">big jumps in week-to-week spending at Recreational Goods retailers (up 28.7%), Clothing and Footwear shops (up 21.9%) and a more moderate jump within the </w:t>
      </w:r>
      <w:r w:rsidRPr="00833ABE">
        <w:rPr>
          <w:lang w:val="en-US"/>
        </w:rPr>
        <w:t xml:space="preserve">Hardware / Appliances / Furniture </w:t>
      </w:r>
      <w:r>
        <w:rPr>
          <w:lang w:val="en-US"/>
        </w:rPr>
        <w:t xml:space="preserve">sector (up 4.7%).” </w:t>
      </w:r>
    </w:p>
    <w:p w14:paraId="26E58A17" w14:textId="1C1D83F9" w:rsidR="0095331E" w:rsidRDefault="0095331E" w:rsidP="0095331E">
      <w:pPr>
        <w:pStyle w:val="BodytextWorldline"/>
        <w:rPr>
          <w:lang w:val="en-US"/>
        </w:rPr>
      </w:pPr>
      <w:r>
        <w:rPr>
          <w:lang w:val="en-US"/>
        </w:rPr>
        <w:t>“</w:t>
      </w:r>
      <w:r w:rsidR="00077778">
        <w:rPr>
          <w:lang w:val="en-US"/>
        </w:rPr>
        <w:t>Al</w:t>
      </w:r>
      <w:r>
        <w:rPr>
          <w:lang w:val="en-US"/>
        </w:rPr>
        <w:t xml:space="preserve">l </w:t>
      </w:r>
      <w:r w:rsidR="00077778">
        <w:rPr>
          <w:lang w:val="en-US"/>
        </w:rPr>
        <w:t xml:space="preserve">this </w:t>
      </w:r>
      <w:r>
        <w:rPr>
          <w:lang w:val="en-US"/>
        </w:rPr>
        <w:t>suggest</w:t>
      </w:r>
      <w:r w:rsidR="00077778">
        <w:rPr>
          <w:lang w:val="en-US"/>
        </w:rPr>
        <w:t>s</w:t>
      </w:r>
      <w:r>
        <w:rPr>
          <w:lang w:val="en-US"/>
        </w:rPr>
        <w:t xml:space="preserve"> spending is on track to jump a</w:t>
      </w:r>
      <w:r w:rsidR="00077778">
        <w:rPr>
          <w:lang w:val="en-US"/>
        </w:rPr>
        <w:t>round</w:t>
      </w:r>
      <w:r>
        <w:rPr>
          <w:lang w:val="en-US"/>
        </w:rPr>
        <w:t xml:space="preserve"> 40% this week, as </w:t>
      </w:r>
      <w:r w:rsidR="00077778">
        <w:rPr>
          <w:lang w:val="en-US"/>
        </w:rPr>
        <w:t xml:space="preserve">last-minute gift </w:t>
      </w:r>
      <w:r>
        <w:rPr>
          <w:lang w:val="en-US"/>
        </w:rPr>
        <w:t xml:space="preserve">purchases </w:t>
      </w:r>
      <w:r w:rsidR="00077778">
        <w:rPr>
          <w:lang w:val="en-US"/>
        </w:rPr>
        <w:t xml:space="preserve">and stocking up on </w:t>
      </w:r>
      <w:r>
        <w:rPr>
          <w:lang w:val="en-US"/>
        </w:rPr>
        <w:t xml:space="preserve">Christmas </w:t>
      </w:r>
      <w:r w:rsidR="00077778">
        <w:rPr>
          <w:lang w:val="en-US"/>
        </w:rPr>
        <w:t xml:space="preserve">food </w:t>
      </w:r>
      <w:r>
        <w:rPr>
          <w:lang w:val="en-US"/>
        </w:rPr>
        <w:t xml:space="preserve">climbs to </w:t>
      </w:r>
      <w:r w:rsidR="00077778">
        <w:rPr>
          <w:lang w:val="en-US"/>
        </w:rPr>
        <w:t>its usual</w:t>
      </w:r>
      <w:r>
        <w:rPr>
          <w:lang w:val="en-US"/>
        </w:rPr>
        <w:t xml:space="preserve"> frenzied peak on Friday</w:t>
      </w:r>
      <w:r w:rsidR="00077778">
        <w:rPr>
          <w:lang w:val="en-US"/>
        </w:rPr>
        <w:t xml:space="preserve"> </w:t>
      </w:r>
      <w:r w:rsidR="00E0474B">
        <w:rPr>
          <w:lang w:val="en-US"/>
        </w:rPr>
        <w:t>and</w:t>
      </w:r>
      <w:r w:rsidR="00077778">
        <w:rPr>
          <w:lang w:val="en-US"/>
        </w:rPr>
        <w:t xml:space="preserve"> </w:t>
      </w:r>
      <w:r>
        <w:rPr>
          <w:lang w:val="en-US"/>
        </w:rPr>
        <w:t>Saturday.”</w:t>
      </w:r>
    </w:p>
    <w:tbl>
      <w:tblPr>
        <w:tblStyle w:val="TableGrid"/>
        <w:tblW w:w="0" w:type="auto"/>
        <w:tblLook w:val="04A0" w:firstRow="1" w:lastRow="0" w:firstColumn="1" w:lastColumn="0" w:noHBand="0" w:noVBand="1"/>
      </w:tblPr>
      <w:tblGrid>
        <w:gridCol w:w="9742"/>
      </w:tblGrid>
      <w:tr w:rsidR="005134E1" w14:paraId="579C44C1" w14:textId="77777777" w:rsidTr="008F3E1D">
        <w:tc>
          <w:tcPr>
            <w:tcW w:w="9742" w:type="dxa"/>
          </w:tcPr>
          <w:p w14:paraId="608B35D0" w14:textId="77777777" w:rsidR="005134E1" w:rsidRDefault="005134E1" w:rsidP="008F3E1D">
            <w:pPr>
              <w:pStyle w:val="BodytextWorldline"/>
              <w:jc w:val="center"/>
              <w:rPr>
                <w:lang w:val="en-US"/>
              </w:rPr>
            </w:pPr>
            <w:r>
              <w:rPr>
                <w:noProof/>
                <w:lang w:val="en-US"/>
              </w:rPr>
              <w:drawing>
                <wp:inline distT="0" distB="0" distL="0" distR="0" wp14:anchorId="0F4DC527" wp14:editId="35912F27">
                  <wp:extent cx="4535805" cy="31394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5805" cy="3139440"/>
                          </a:xfrm>
                          <a:prstGeom prst="rect">
                            <a:avLst/>
                          </a:prstGeom>
                          <a:noFill/>
                        </pic:spPr>
                      </pic:pic>
                    </a:graphicData>
                  </a:graphic>
                </wp:inline>
              </w:drawing>
            </w:r>
          </w:p>
        </w:tc>
      </w:tr>
    </w:tbl>
    <w:p w14:paraId="210671F0" w14:textId="267C4A7B" w:rsidR="005134E1" w:rsidRDefault="005134E1" w:rsidP="005134E1">
      <w:pPr>
        <w:pStyle w:val="BodytextWorldline"/>
        <w:spacing w:before="120"/>
        <w:jc w:val="both"/>
        <w:rPr>
          <w:sz w:val="16"/>
          <w:szCs w:val="16"/>
        </w:rPr>
      </w:pPr>
      <w:r w:rsidRPr="00710DF2">
        <w:rPr>
          <w:sz w:val="16"/>
          <w:szCs w:val="16"/>
        </w:rPr>
        <w:t xml:space="preserve">Figure </w:t>
      </w:r>
      <w:r w:rsidR="00FE72C3">
        <w:rPr>
          <w:sz w:val="16"/>
          <w:szCs w:val="16"/>
        </w:rPr>
        <w:t>1</w:t>
      </w:r>
      <w:r w:rsidRPr="00710DF2">
        <w:rPr>
          <w:sz w:val="16"/>
          <w:szCs w:val="16"/>
        </w:rPr>
        <w:t>: All Cards NZ underlying* spending</w:t>
      </w:r>
      <w:r>
        <w:rPr>
          <w:sz w:val="16"/>
          <w:szCs w:val="16"/>
        </w:rPr>
        <w:t xml:space="preserve"> (average per day)</w:t>
      </w:r>
      <w:r w:rsidRPr="00710DF2">
        <w:rPr>
          <w:sz w:val="16"/>
          <w:szCs w:val="16"/>
        </w:rPr>
        <w:t xml:space="preserve"> through Worldline for core retail excluding hospitality merchants</w:t>
      </w:r>
      <w:r>
        <w:rPr>
          <w:sz w:val="16"/>
          <w:szCs w:val="16"/>
        </w:rPr>
        <w:t xml:space="preserve"> in weeks leading up to Christmas Day</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0F93C76D" w14:textId="17DEB96B" w:rsidR="001C6BDB" w:rsidRPr="00CF4ED3" w:rsidRDefault="001C6BDB" w:rsidP="001C6BDB">
      <w:pPr>
        <w:pStyle w:val="BodytextWorldline"/>
        <w:rPr>
          <w:lang w:val="en-US"/>
        </w:rPr>
      </w:pPr>
      <w:r>
        <w:rPr>
          <w:lang w:val="en-US"/>
        </w:rPr>
        <w:lastRenderedPageBreak/>
        <w:t>Annual regional spending</w:t>
      </w:r>
      <w:r w:rsidR="003C5925">
        <w:rPr>
          <w:lang w:val="en-US"/>
        </w:rPr>
        <w:t xml:space="preserve"> </w:t>
      </w:r>
      <w:r w:rsidR="00E672F6">
        <w:rPr>
          <w:lang w:val="en-US"/>
        </w:rPr>
        <w:t>(Core Retail less Hospitality)</w:t>
      </w:r>
      <w:r>
        <w:rPr>
          <w:lang w:val="en-US"/>
        </w:rPr>
        <w:t xml:space="preserve"> was highest in Marlborough (10.6%), West Coast</w:t>
      </w:r>
      <w:r w:rsidRPr="00EE552C">
        <w:rPr>
          <w:lang w:val="en-US"/>
        </w:rPr>
        <w:t xml:space="preserve"> (</w:t>
      </w:r>
      <w:r>
        <w:rPr>
          <w:lang w:val="en-US"/>
        </w:rPr>
        <w:t xml:space="preserve">10.5%) and Otago (8.7%). Spending was below 2021 levels for the same 7 days in Auckland/Northland (-0.8%), Gisborne (-0.8%) and Bay of Plenty (-2.5%). </w:t>
      </w:r>
    </w:p>
    <w:tbl>
      <w:tblPr>
        <w:tblW w:w="7460" w:type="dxa"/>
        <w:jc w:val="center"/>
        <w:tblLook w:val="04A0" w:firstRow="1" w:lastRow="0" w:firstColumn="1" w:lastColumn="0" w:noHBand="0" w:noVBand="1"/>
      </w:tblPr>
      <w:tblGrid>
        <w:gridCol w:w="2300"/>
        <w:gridCol w:w="1720"/>
        <w:gridCol w:w="1720"/>
        <w:gridCol w:w="1720"/>
      </w:tblGrid>
      <w:tr w:rsidR="001C6BDB" w:rsidRPr="001C6BDB" w14:paraId="043F3532" w14:textId="77777777" w:rsidTr="001C6BDB">
        <w:trPr>
          <w:trHeight w:val="553"/>
          <w:jc w:val="center"/>
        </w:trPr>
        <w:tc>
          <w:tcPr>
            <w:tcW w:w="7460" w:type="dxa"/>
            <w:gridSpan w:val="4"/>
            <w:tcBorders>
              <w:top w:val="nil"/>
              <w:left w:val="nil"/>
              <w:bottom w:val="nil"/>
              <w:right w:val="nil"/>
            </w:tcBorders>
            <w:shd w:val="clear" w:color="000000" w:fill="C0C0C0"/>
            <w:vAlign w:val="center"/>
            <w:hideMark/>
          </w:tcPr>
          <w:p w14:paraId="3BCEB695" w14:textId="77777777" w:rsidR="001C6BDB" w:rsidRPr="001C6BDB" w:rsidRDefault="001C6BDB" w:rsidP="001C6BDB">
            <w:pPr>
              <w:spacing w:line="240" w:lineRule="auto"/>
              <w:jc w:val="left"/>
              <w:rPr>
                <w:rFonts w:cs="Arial"/>
                <w:b/>
                <w:bCs/>
                <w:color w:val="auto"/>
                <w:sz w:val="20"/>
                <w:szCs w:val="20"/>
                <w:lang w:val="en-NZ" w:eastAsia="en-NZ"/>
              </w:rPr>
            </w:pPr>
            <w:r w:rsidRPr="001C6BDB">
              <w:rPr>
                <w:rFonts w:cs="Arial"/>
                <w:b/>
                <w:bCs/>
                <w:color w:val="auto"/>
                <w:sz w:val="20"/>
                <w:szCs w:val="20"/>
                <w:lang w:val="en-NZ" w:eastAsia="en-NZ"/>
              </w:rPr>
              <w:t>WORLDLINE All Cards underlying* spending for CORE RETAIL less HOSPITALITY merchants for 7 days ending 17-Dec-2022</w:t>
            </w:r>
          </w:p>
        </w:tc>
      </w:tr>
      <w:tr w:rsidR="001C6BDB" w:rsidRPr="001C6BDB" w14:paraId="68DFF60A" w14:textId="77777777" w:rsidTr="001C6BDB">
        <w:trPr>
          <w:trHeight w:val="290"/>
          <w:jc w:val="center"/>
        </w:trPr>
        <w:tc>
          <w:tcPr>
            <w:tcW w:w="2300" w:type="dxa"/>
            <w:tcBorders>
              <w:top w:val="nil"/>
              <w:left w:val="nil"/>
              <w:bottom w:val="nil"/>
              <w:right w:val="nil"/>
            </w:tcBorders>
            <w:shd w:val="clear" w:color="000000" w:fill="C0C0C0"/>
            <w:noWrap/>
            <w:vAlign w:val="bottom"/>
            <w:hideMark/>
          </w:tcPr>
          <w:p w14:paraId="07E86216" w14:textId="77777777" w:rsidR="001C6BDB" w:rsidRPr="001C6BDB" w:rsidRDefault="001C6BDB" w:rsidP="001C6BDB">
            <w:pPr>
              <w:spacing w:line="240" w:lineRule="auto"/>
              <w:jc w:val="left"/>
              <w:rPr>
                <w:rFonts w:cs="Arial"/>
                <w:color w:val="auto"/>
                <w:sz w:val="20"/>
                <w:szCs w:val="20"/>
                <w:lang w:val="en-NZ" w:eastAsia="en-NZ"/>
              </w:rPr>
            </w:pPr>
            <w:r w:rsidRPr="001C6BDB">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79078BD4"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318C39CE"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6B925BFD"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Underlying*</w:t>
            </w:r>
          </w:p>
        </w:tc>
      </w:tr>
      <w:tr w:rsidR="001C6BDB" w:rsidRPr="001C6BDB" w14:paraId="6FCAAC34" w14:textId="77777777" w:rsidTr="001C6BDB">
        <w:trPr>
          <w:trHeight w:val="770"/>
          <w:jc w:val="center"/>
        </w:trPr>
        <w:tc>
          <w:tcPr>
            <w:tcW w:w="2300" w:type="dxa"/>
            <w:tcBorders>
              <w:top w:val="nil"/>
              <w:left w:val="nil"/>
              <w:bottom w:val="nil"/>
              <w:right w:val="nil"/>
            </w:tcBorders>
            <w:shd w:val="clear" w:color="000000" w:fill="C0C0C0"/>
            <w:vAlign w:val="bottom"/>
            <w:hideMark/>
          </w:tcPr>
          <w:p w14:paraId="72EEC4A8" w14:textId="77777777" w:rsidR="001C6BDB" w:rsidRPr="001C6BDB" w:rsidRDefault="001C6BDB" w:rsidP="001C6BDB">
            <w:pPr>
              <w:spacing w:line="240" w:lineRule="auto"/>
              <w:jc w:val="left"/>
              <w:rPr>
                <w:rFonts w:cs="Arial"/>
                <w:color w:val="auto"/>
                <w:sz w:val="20"/>
                <w:szCs w:val="20"/>
                <w:lang w:val="en-NZ" w:eastAsia="en-NZ"/>
              </w:rPr>
            </w:pPr>
            <w:r w:rsidRPr="001C6BDB">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4CFB57DE"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6166BCC8"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Annual % change on 2021</w:t>
            </w:r>
          </w:p>
        </w:tc>
        <w:tc>
          <w:tcPr>
            <w:tcW w:w="1720" w:type="dxa"/>
            <w:tcBorders>
              <w:top w:val="nil"/>
              <w:left w:val="nil"/>
              <w:bottom w:val="nil"/>
              <w:right w:val="nil"/>
            </w:tcBorders>
            <w:shd w:val="clear" w:color="000000" w:fill="C0C0C0"/>
            <w:vAlign w:val="bottom"/>
            <w:hideMark/>
          </w:tcPr>
          <w:p w14:paraId="3D653C64"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Annual % change on 2019</w:t>
            </w:r>
          </w:p>
        </w:tc>
      </w:tr>
      <w:tr w:rsidR="001C6BDB" w:rsidRPr="001C6BDB" w14:paraId="34CCB047"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4D3D4BF6"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43980CFC"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326.0</w:t>
            </w:r>
          </w:p>
        </w:tc>
        <w:tc>
          <w:tcPr>
            <w:tcW w:w="1720" w:type="dxa"/>
            <w:tcBorders>
              <w:top w:val="nil"/>
              <w:left w:val="nil"/>
              <w:bottom w:val="nil"/>
              <w:right w:val="nil"/>
            </w:tcBorders>
            <w:shd w:val="clear" w:color="auto" w:fill="auto"/>
            <w:noWrap/>
            <w:vAlign w:val="bottom"/>
            <w:hideMark/>
          </w:tcPr>
          <w:p w14:paraId="3B36F99C"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-0.8%</w:t>
            </w:r>
          </w:p>
        </w:tc>
        <w:tc>
          <w:tcPr>
            <w:tcW w:w="1720" w:type="dxa"/>
            <w:tcBorders>
              <w:top w:val="nil"/>
              <w:left w:val="nil"/>
              <w:bottom w:val="nil"/>
              <w:right w:val="nil"/>
            </w:tcBorders>
            <w:shd w:val="clear" w:color="auto" w:fill="auto"/>
            <w:noWrap/>
            <w:vAlign w:val="bottom"/>
            <w:hideMark/>
          </w:tcPr>
          <w:p w14:paraId="4712BC40"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11.7%</w:t>
            </w:r>
          </w:p>
        </w:tc>
      </w:tr>
      <w:tr w:rsidR="001C6BDB" w:rsidRPr="001C6BDB" w14:paraId="1A17364D"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2B936325"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504F43A1"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70.9</w:t>
            </w:r>
          </w:p>
        </w:tc>
        <w:tc>
          <w:tcPr>
            <w:tcW w:w="1720" w:type="dxa"/>
            <w:tcBorders>
              <w:top w:val="nil"/>
              <w:left w:val="nil"/>
              <w:bottom w:val="nil"/>
              <w:right w:val="nil"/>
            </w:tcBorders>
            <w:shd w:val="clear" w:color="auto" w:fill="auto"/>
            <w:noWrap/>
            <w:vAlign w:val="bottom"/>
            <w:hideMark/>
          </w:tcPr>
          <w:p w14:paraId="0BE25261"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0.6%</w:t>
            </w:r>
          </w:p>
        </w:tc>
        <w:tc>
          <w:tcPr>
            <w:tcW w:w="1720" w:type="dxa"/>
            <w:tcBorders>
              <w:top w:val="nil"/>
              <w:left w:val="nil"/>
              <w:bottom w:val="nil"/>
              <w:right w:val="nil"/>
            </w:tcBorders>
            <w:shd w:val="clear" w:color="auto" w:fill="auto"/>
            <w:noWrap/>
            <w:vAlign w:val="bottom"/>
            <w:hideMark/>
          </w:tcPr>
          <w:p w14:paraId="047F1362"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21.2%</w:t>
            </w:r>
          </w:p>
        </w:tc>
      </w:tr>
      <w:tr w:rsidR="001C6BDB" w:rsidRPr="001C6BDB" w14:paraId="63753A38"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078AD515"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741D4770"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57.3</w:t>
            </w:r>
          </w:p>
        </w:tc>
        <w:tc>
          <w:tcPr>
            <w:tcW w:w="1720" w:type="dxa"/>
            <w:tcBorders>
              <w:top w:val="nil"/>
              <w:left w:val="nil"/>
              <w:bottom w:val="nil"/>
              <w:right w:val="nil"/>
            </w:tcBorders>
            <w:shd w:val="clear" w:color="auto" w:fill="auto"/>
            <w:noWrap/>
            <w:vAlign w:val="bottom"/>
            <w:hideMark/>
          </w:tcPr>
          <w:p w14:paraId="224A9876"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-2.5%</w:t>
            </w:r>
          </w:p>
        </w:tc>
        <w:tc>
          <w:tcPr>
            <w:tcW w:w="1720" w:type="dxa"/>
            <w:tcBorders>
              <w:top w:val="nil"/>
              <w:left w:val="nil"/>
              <w:bottom w:val="nil"/>
              <w:right w:val="nil"/>
            </w:tcBorders>
            <w:shd w:val="clear" w:color="auto" w:fill="auto"/>
            <w:noWrap/>
            <w:vAlign w:val="bottom"/>
            <w:hideMark/>
          </w:tcPr>
          <w:p w14:paraId="22C7BB9D"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12.3%</w:t>
            </w:r>
          </w:p>
        </w:tc>
      </w:tr>
      <w:tr w:rsidR="001C6BDB" w:rsidRPr="001C6BDB" w14:paraId="066DDF6C"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23475B6D"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038B195A"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7.7</w:t>
            </w:r>
          </w:p>
        </w:tc>
        <w:tc>
          <w:tcPr>
            <w:tcW w:w="1720" w:type="dxa"/>
            <w:tcBorders>
              <w:top w:val="nil"/>
              <w:left w:val="nil"/>
              <w:bottom w:val="nil"/>
              <w:right w:val="nil"/>
            </w:tcBorders>
            <w:shd w:val="clear" w:color="auto" w:fill="auto"/>
            <w:noWrap/>
            <w:vAlign w:val="bottom"/>
            <w:hideMark/>
          </w:tcPr>
          <w:p w14:paraId="0A584061"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-0.8%</w:t>
            </w:r>
          </w:p>
        </w:tc>
        <w:tc>
          <w:tcPr>
            <w:tcW w:w="1720" w:type="dxa"/>
            <w:tcBorders>
              <w:top w:val="nil"/>
              <w:left w:val="nil"/>
              <w:bottom w:val="nil"/>
              <w:right w:val="nil"/>
            </w:tcBorders>
            <w:shd w:val="clear" w:color="auto" w:fill="auto"/>
            <w:noWrap/>
            <w:vAlign w:val="bottom"/>
            <w:hideMark/>
          </w:tcPr>
          <w:p w14:paraId="76AA82EE"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9.7%</w:t>
            </w:r>
          </w:p>
        </w:tc>
      </w:tr>
      <w:tr w:rsidR="001C6BDB" w:rsidRPr="001C6BDB" w14:paraId="553C0A4E"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4020E88F"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498683E0"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20.3</w:t>
            </w:r>
          </w:p>
        </w:tc>
        <w:tc>
          <w:tcPr>
            <w:tcW w:w="1720" w:type="dxa"/>
            <w:tcBorders>
              <w:top w:val="nil"/>
              <w:left w:val="nil"/>
              <w:bottom w:val="nil"/>
              <w:right w:val="nil"/>
            </w:tcBorders>
            <w:shd w:val="clear" w:color="auto" w:fill="auto"/>
            <w:noWrap/>
            <w:vAlign w:val="bottom"/>
            <w:hideMark/>
          </w:tcPr>
          <w:p w14:paraId="487DFE9E"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5.0%</w:t>
            </w:r>
          </w:p>
        </w:tc>
        <w:tc>
          <w:tcPr>
            <w:tcW w:w="1720" w:type="dxa"/>
            <w:tcBorders>
              <w:top w:val="nil"/>
              <w:left w:val="nil"/>
              <w:bottom w:val="nil"/>
              <w:right w:val="nil"/>
            </w:tcBorders>
            <w:shd w:val="clear" w:color="auto" w:fill="auto"/>
            <w:noWrap/>
            <w:vAlign w:val="bottom"/>
            <w:hideMark/>
          </w:tcPr>
          <w:p w14:paraId="249DCFDD"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28.1%</w:t>
            </w:r>
          </w:p>
        </w:tc>
      </w:tr>
      <w:tr w:rsidR="001C6BDB" w:rsidRPr="001C6BDB" w14:paraId="74CB527F"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7B6434F0"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4E4FDCE3"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31.4</w:t>
            </w:r>
          </w:p>
        </w:tc>
        <w:tc>
          <w:tcPr>
            <w:tcW w:w="1720" w:type="dxa"/>
            <w:tcBorders>
              <w:top w:val="nil"/>
              <w:left w:val="nil"/>
              <w:bottom w:val="nil"/>
              <w:right w:val="nil"/>
            </w:tcBorders>
            <w:shd w:val="clear" w:color="auto" w:fill="auto"/>
            <w:noWrap/>
            <w:vAlign w:val="bottom"/>
            <w:hideMark/>
          </w:tcPr>
          <w:p w14:paraId="68D9DA7C"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4.9%</w:t>
            </w:r>
          </w:p>
        </w:tc>
        <w:tc>
          <w:tcPr>
            <w:tcW w:w="1720" w:type="dxa"/>
            <w:tcBorders>
              <w:top w:val="nil"/>
              <w:left w:val="nil"/>
              <w:bottom w:val="nil"/>
              <w:right w:val="nil"/>
            </w:tcBorders>
            <w:shd w:val="clear" w:color="auto" w:fill="auto"/>
            <w:noWrap/>
            <w:vAlign w:val="bottom"/>
            <w:hideMark/>
          </w:tcPr>
          <w:p w14:paraId="089FC814"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21.4%</w:t>
            </w:r>
          </w:p>
        </w:tc>
      </w:tr>
      <w:tr w:rsidR="001C6BDB" w:rsidRPr="001C6BDB" w14:paraId="2375BF32"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3728CAEC"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32FD9215"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10.9</w:t>
            </w:r>
          </w:p>
        </w:tc>
        <w:tc>
          <w:tcPr>
            <w:tcW w:w="1720" w:type="dxa"/>
            <w:tcBorders>
              <w:top w:val="nil"/>
              <w:left w:val="nil"/>
              <w:bottom w:val="nil"/>
              <w:right w:val="nil"/>
            </w:tcBorders>
            <w:shd w:val="clear" w:color="auto" w:fill="auto"/>
            <w:noWrap/>
            <w:vAlign w:val="bottom"/>
            <w:hideMark/>
          </w:tcPr>
          <w:p w14:paraId="44D9FB02"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5.9%</w:t>
            </w:r>
          </w:p>
        </w:tc>
        <w:tc>
          <w:tcPr>
            <w:tcW w:w="1720" w:type="dxa"/>
            <w:tcBorders>
              <w:top w:val="nil"/>
              <w:left w:val="nil"/>
              <w:bottom w:val="nil"/>
              <w:right w:val="nil"/>
            </w:tcBorders>
            <w:shd w:val="clear" w:color="auto" w:fill="auto"/>
            <w:noWrap/>
            <w:vAlign w:val="bottom"/>
            <w:hideMark/>
          </w:tcPr>
          <w:p w14:paraId="797F4B39"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26.6%</w:t>
            </w:r>
          </w:p>
        </w:tc>
      </w:tr>
      <w:tr w:rsidR="001C6BDB" w:rsidRPr="001C6BDB" w14:paraId="027A71E0"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7734B3CF"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3BE2F373"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27.1</w:t>
            </w:r>
          </w:p>
        </w:tc>
        <w:tc>
          <w:tcPr>
            <w:tcW w:w="1720" w:type="dxa"/>
            <w:tcBorders>
              <w:top w:val="nil"/>
              <w:left w:val="nil"/>
              <w:bottom w:val="nil"/>
              <w:right w:val="nil"/>
            </w:tcBorders>
            <w:shd w:val="clear" w:color="auto" w:fill="auto"/>
            <w:noWrap/>
            <w:vAlign w:val="bottom"/>
            <w:hideMark/>
          </w:tcPr>
          <w:p w14:paraId="0CA2684F"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4.8%</w:t>
            </w:r>
          </w:p>
        </w:tc>
        <w:tc>
          <w:tcPr>
            <w:tcW w:w="1720" w:type="dxa"/>
            <w:tcBorders>
              <w:top w:val="nil"/>
              <w:left w:val="nil"/>
              <w:bottom w:val="nil"/>
              <w:right w:val="nil"/>
            </w:tcBorders>
            <w:shd w:val="clear" w:color="auto" w:fill="auto"/>
            <w:noWrap/>
            <w:vAlign w:val="bottom"/>
            <w:hideMark/>
          </w:tcPr>
          <w:p w14:paraId="4D8856E5"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24.8%</w:t>
            </w:r>
          </w:p>
        </w:tc>
      </w:tr>
      <w:tr w:rsidR="001C6BDB" w:rsidRPr="001C6BDB" w14:paraId="16D4F059"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2E6F5A52"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00E8BB43"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10.7</w:t>
            </w:r>
          </w:p>
        </w:tc>
        <w:tc>
          <w:tcPr>
            <w:tcW w:w="1720" w:type="dxa"/>
            <w:tcBorders>
              <w:top w:val="nil"/>
              <w:left w:val="nil"/>
              <w:bottom w:val="nil"/>
              <w:right w:val="nil"/>
            </w:tcBorders>
            <w:shd w:val="clear" w:color="auto" w:fill="auto"/>
            <w:noWrap/>
            <w:vAlign w:val="bottom"/>
            <w:hideMark/>
          </w:tcPr>
          <w:p w14:paraId="7B6497AF"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2.2%</w:t>
            </w:r>
          </w:p>
        </w:tc>
        <w:tc>
          <w:tcPr>
            <w:tcW w:w="1720" w:type="dxa"/>
            <w:tcBorders>
              <w:top w:val="nil"/>
              <w:left w:val="nil"/>
              <w:bottom w:val="nil"/>
              <w:right w:val="nil"/>
            </w:tcBorders>
            <w:shd w:val="clear" w:color="auto" w:fill="auto"/>
            <w:noWrap/>
            <w:vAlign w:val="bottom"/>
            <w:hideMark/>
          </w:tcPr>
          <w:p w14:paraId="5D1C0411"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22.2%</w:t>
            </w:r>
          </w:p>
        </w:tc>
      </w:tr>
      <w:tr w:rsidR="001C6BDB" w:rsidRPr="001C6BDB" w14:paraId="4DB8E71E"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02153697"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02DBF170"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83.0</w:t>
            </w:r>
          </w:p>
        </w:tc>
        <w:tc>
          <w:tcPr>
            <w:tcW w:w="1720" w:type="dxa"/>
            <w:tcBorders>
              <w:top w:val="nil"/>
              <w:left w:val="nil"/>
              <w:bottom w:val="nil"/>
              <w:right w:val="nil"/>
            </w:tcBorders>
            <w:shd w:val="clear" w:color="auto" w:fill="auto"/>
            <w:noWrap/>
            <w:vAlign w:val="bottom"/>
            <w:hideMark/>
          </w:tcPr>
          <w:p w14:paraId="4AC9FA1B"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0.6%</w:t>
            </w:r>
          </w:p>
        </w:tc>
        <w:tc>
          <w:tcPr>
            <w:tcW w:w="1720" w:type="dxa"/>
            <w:tcBorders>
              <w:top w:val="nil"/>
              <w:left w:val="nil"/>
              <w:bottom w:val="nil"/>
              <w:right w:val="nil"/>
            </w:tcBorders>
            <w:shd w:val="clear" w:color="auto" w:fill="auto"/>
            <w:noWrap/>
            <w:vAlign w:val="bottom"/>
            <w:hideMark/>
          </w:tcPr>
          <w:p w14:paraId="418CB2EC"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8.7%</w:t>
            </w:r>
          </w:p>
        </w:tc>
      </w:tr>
      <w:tr w:rsidR="001C6BDB" w:rsidRPr="001C6BDB" w14:paraId="29A6152C"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49874C81"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668ECC33"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17.3</w:t>
            </w:r>
          </w:p>
        </w:tc>
        <w:tc>
          <w:tcPr>
            <w:tcW w:w="1720" w:type="dxa"/>
            <w:tcBorders>
              <w:top w:val="nil"/>
              <w:left w:val="nil"/>
              <w:bottom w:val="nil"/>
              <w:right w:val="nil"/>
            </w:tcBorders>
            <w:shd w:val="clear" w:color="auto" w:fill="auto"/>
            <w:noWrap/>
            <w:vAlign w:val="bottom"/>
            <w:hideMark/>
          </w:tcPr>
          <w:p w14:paraId="0F3CAA7B"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2.2%</w:t>
            </w:r>
          </w:p>
        </w:tc>
        <w:tc>
          <w:tcPr>
            <w:tcW w:w="1720" w:type="dxa"/>
            <w:tcBorders>
              <w:top w:val="nil"/>
              <w:left w:val="nil"/>
              <w:bottom w:val="nil"/>
              <w:right w:val="nil"/>
            </w:tcBorders>
            <w:shd w:val="clear" w:color="auto" w:fill="auto"/>
            <w:noWrap/>
            <w:vAlign w:val="bottom"/>
            <w:hideMark/>
          </w:tcPr>
          <w:p w14:paraId="2564DE04"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7.5%</w:t>
            </w:r>
          </w:p>
        </w:tc>
      </w:tr>
      <w:tr w:rsidR="001C6BDB" w:rsidRPr="001C6BDB" w14:paraId="14B61396"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63870B07"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4EBF07C6"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11.2</w:t>
            </w:r>
          </w:p>
        </w:tc>
        <w:tc>
          <w:tcPr>
            <w:tcW w:w="1720" w:type="dxa"/>
            <w:tcBorders>
              <w:top w:val="nil"/>
              <w:left w:val="nil"/>
              <w:bottom w:val="nil"/>
              <w:right w:val="nil"/>
            </w:tcBorders>
            <w:shd w:val="clear" w:color="auto" w:fill="auto"/>
            <w:noWrap/>
            <w:vAlign w:val="bottom"/>
            <w:hideMark/>
          </w:tcPr>
          <w:p w14:paraId="119A16EA"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10.6%</w:t>
            </w:r>
          </w:p>
        </w:tc>
        <w:tc>
          <w:tcPr>
            <w:tcW w:w="1720" w:type="dxa"/>
            <w:tcBorders>
              <w:top w:val="nil"/>
              <w:left w:val="nil"/>
              <w:bottom w:val="nil"/>
              <w:right w:val="nil"/>
            </w:tcBorders>
            <w:shd w:val="clear" w:color="auto" w:fill="auto"/>
            <w:noWrap/>
            <w:vAlign w:val="bottom"/>
            <w:hideMark/>
          </w:tcPr>
          <w:p w14:paraId="5F6DDCA2"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11.9%</w:t>
            </w:r>
          </w:p>
        </w:tc>
      </w:tr>
      <w:tr w:rsidR="001C6BDB" w:rsidRPr="001C6BDB" w14:paraId="5145BC42"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281A2814"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E803ECA"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5.8</w:t>
            </w:r>
          </w:p>
        </w:tc>
        <w:tc>
          <w:tcPr>
            <w:tcW w:w="1720" w:type="dxa"/>
            <w:tcBorders>
              <w:top w:val="nil"/>
              <w:left w:val="nil"/>
              <w:bottom w:val="nil"/>
              <w:right w:val="nil"/>
            </w:tcBorders>
            <w:shd w:val="clear" w:color="auto" w:fill="auto"/>
            <w:noWrap/>
            <w:vAlign w:val="bottom"/>
            <w:hideMark/>
          </w:tcPr>
          <w:p w14:paraId="68F595B6"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10.5%</w:t>
            </w:r>
          </w:p>
        </w:tc>
        <w:tc>
          <w:tcPr>
            <w:tcW w:w="1720" w:type="dxa"/>
            <w:tcBorders>
              <w:top w:val="nil"/>
              <w:left w:val="nil"/>
              <w:bottom w:val="nil"/>
              <w:right w:val="nil"/>
            </w:tcBorders>
            <w:shd w:val="clear" w:color="auto" w:fill="auto"/>
            <w:noWrap/>
            <w:vAlign w:val="bottom"/>
            <w:hideMark/>
          </w:tcPr>
          <w:p w14:paraId="307D4827"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27.3%</w:t>
            </w:r>
          </w:p>
        </w:tc>
      </w:tr>
      <w:tr w:rsidR="001C6BDB" w:rsidRPr="001C6BDB" w14:paraId="4FE67F00"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7B5423BD"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65EBFBD9"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104.7</w:t>
            </w:r>
          </w:p>
        </w:tc>
        <w:tc>
          <w:tcPr>
            <w:tcW w:w="1720" w:type="dxa"/>
            <w:tcBorders>
              <w:top w:val="nil"/>
              <w:left w:val="nil"/>
              <w:bottom w:val="nil"/>
              <w:right w:val="nil"/>
            </w:tcBorders>
            <w:shd w:val="clear" w:color="auto" w:fill="auto"/>
            <w:noWrap/>
            <w:vAlign w:val="bottom"/>
            <w:hideMark/>
          </w:tcPr>
          <w:p w14:paraId="2929AD25"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6.1%</w:t>
            </w:r>
          </w:p>
        </w:tc>
        <w:tc>
          <w:tcPr>
            <w:tcW w:w="1720" w:type="dxa"/>
            <w:tcBorders>
              <w:top w:val="nil"/>
              <w:left w:val="nil"/>
              <w:bottom w:val="nil"/>
              <w:right w:val="nil"/>
            </w:tcBorders>
            <w:shd w:val="clear" w:color="auto" w:fill="auto"/>
            <w:noWrap/>
            <w:vAlign w:val="bottom"/>
            <w:hideMark/>
          </w:tcPr>
          <w:p w14:paraId="3EE41AD7"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20.0%</w:t>
            </w:r>
          </w:p>
        </w:tc>
      </w:tr>
      <w:tr w:rsidR="001C6BDB" w:rsidRPr="001C6BDB" w14:paraId="14CE53F7"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58A2F51F"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EA28318"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15.0</w:t>
            </w:r>
          </w:p>
        </w:tc>
        <w:tc>
          <w:tcPr>
            <w:tcW w:w="1720" w:type="dxa"/>
            <w:tcBorders>
              <w:top w:val="nil"/>
              <w:left w:val="nil"/>
              <w:bottom w:val="nil"/>
              <w:right w:val="nil"/>
            </w:tcBorders>
            <w:shd w:val="clear" w:color="auto" w:fill="auto"/>
            <w:noWrap/>
            <w:vAlign w:val="bottom"/>
            <w:hideMark/>
          </w:tcPr>
          <w:p w14:paraId="3B8C31F2"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8.0%</w:t>
            </w:r>
          </w:p>
        </w:tc>
        <w:tc>
          <w:tcPr>
            <w:tcW w:w="1720" w:type="dxa"/>
            <w:tcBorders>
              <w:top w:val="nil"/>
              <w:left w:val="nil"/>
              <w:bottom w:val="nil"/>
              <w:right w:val="nil"/>
            </w:tcBorders>
            <w:shd w:val="clear" w:color="auto" w:fill="auto"/>
            <w:noWrap/>
            <w:vAlign w:val="bottom"/>
            <w:hideMark/>
          </w:tcPr>
          <w:p w14:paraId="0C64DF11"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20.8%</w:t>
            </w:r>
          </w:p>
        </w:tc>
      </w:tr>
      <w:tr w:rsidR="001C6BDB" w:rsidRPr="001C6BDB" w14:paraId="220D8CDF"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4A77D477"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721EB9BC"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46.2</w:t>
            </w:r>
          </w:p>
        </w:tc>
        <w:tc>
          <w:tcPr>
            <w:tcW w:w="1720" w:type="dxa"/>
            <w:tcBorders>
              <w:top w:val="nil"/>
              <w:left w:val="nil"/>
              <w:bottom w:val="nil"/>
              <w:right w:val="nil"/>
            </w:tcBorders>
            <w:shd w:val="clear" w:color="auto" w:fill="auto"/>
            <w:noWrap/>
            <w:vAlign w:val="bottom"/>
            <w:hideMark/>
          </w:tcPr>
          <w:p w14:paraId="1FC85FB4"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8.7%</w:t>
            </w:r>
          </w:p>
        </w:tc>
        <w:tc>
          <w:tcPr>
            <w:tcW w:w="1720" w:type="dxa"/>
            <w:tcBorders>
              <w:top w:val="nil"/>
              <w:left w:val="nil"/>
              <w:bottom w:val="nil"/>
              <w:right w:val="nil"/>
            </w:tcBorders>
            <w:shd w:val="clear" w:color="auto" w:fill="auto"/>
            <w:noWrap/>
            <w:vAlign w:val="bottom"/>
            <w:hideMark/>
          </w:tcPr>
          <w:p w14:paraId="650C4059"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13.0%</w:t>
            </w:r>
          </w:p>
        </w:tc>
      </w:tr>
      <w:tr w:rsidR="001C6BDB" w:rsidRPr="001C6BDB" w14:paraId="7D13370D"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7CE2081F" w14:textId="77777777" w:rsidR="001C6BDB" w:rsidRPr="001C6BDB" w:rsidRDefault="001C6BDB" w:rsidP="001C6BDB">
            <w:pPr>
              <w:spacing w:line="240" w:lineRule="auto"/>
              <w:jc w:val="left"/>
              <w:rPr>
                <w:rFonts w:ascii="Calibri" w:hAnsi="Calibri" w:cs="Calibri"/>
                <w:color w:val="000000"/>
                <w:lang w:val="en-NZ" w:eastAsia="en-NZ"/>
              </w:rPr>
            </w:pPr>
            <w:r w:rsidRPr="001C6BDB">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065E878C" w14:textId="77777777" w:rsidR="001C6BDB" w:rsidRPr="001C6BDB" w:rsidRDefault="001C6BDB" w:rsidP="001C6BDB">
            <w:pPr>
              <w:spacing w:line="240" w:lineRule="auto"/>
              <w:jc w:val="right"/>
              <w:rPr>
                <w:rFonts w:cs="Arial"/>
                <w:color w:val="auto"/>
                <w:sz w:val="20"/>
                <w:szCs w:val="20"/>
                <w:lang w:val="en-NZ" w:eastAsia="en-NZ"/>
              </w:rPr>
            </w:pPr>
            <w:r w:rsidRPr="001C6BDB">
              <w:rPr>
                <w:rFonts w:cs="Arial"/>
                <w:color w:val="auto"/>
                <w:sz w:val="20"/>
                <w:szCs w:val="20"/>
                <w:lang w:val="en-NZ" w:eastAsia="en-NZ"/>
              </w:rPr>
              <w:t>21.0</w:t>
            </w:r>
          </w:p>
        </w:tc>
        <w:tc>
          <w:tcPr>
            <w:tcW w:w="1720" w:type="dxa"/>
            <w:tcBorders>
              <w:top w:val="nil"/>
              <w:left w:val="nil"/>
              <w:bottom w:val="nil"/>
              <w:right w:val="nil"/>
            </w:tcBorders>
            <w:shd w:val="clear" w:color="auto" w:fill="auto"/>
            <w:noWrap/>
            <w:vAlign w:val="bottom"/>
            <w:hideMark/>
          </w:tcPr>
          <w:p w14:paraId="7382CA1E"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8.1%</w:t>
            </w:r>
          </w:p>
        </w:tc>
        <w:tc>
          <w:tcPr>
            <w:tcW w:w="1720" w:type="dxa"/>
            <w:tcBorders>
              <w:top w:val="nil"/>
              <w:left w:val="nil"/>
              <w:bottom w:val="nil"/>
              <w:right w:val="nil"/>
            </w:tcBorders>
            <w:shd w:val="clear" w:color="auto" w:fill="auto"/>
            <w:noWrap/>
            <w:vAlign w:val="bottom"/>
            <w:hideMark/>
          </w:tcPr>
          <w:p w14:paraId="7B90CCF1" w14:textId="77777777" w:rsidR="001C6BDB" w:rsidRPr="001C6BDB" w:rsidRDefault="001C6BDB" w:rsidP="001C6BDB">
            <w:pPr>
              <w:spacing w:line="240" w:lineRule="auto"/>
              <w:jc w:val="right"/>
              <w:rPr>
                <w:rFonts w:cs="Arial"/>
                <w:color w:val="FF0000"/>
                <w:sz w:val="20"/>
                <w:szCs w:val="20"/>
                <w:lang w:val="en-NZ" w:eastAsia="en-NZ"/>
              </w:rPr>
            </w:pPr>
            <w:r w:rsidRPr="001C6BDB">
              <w:rPr>
                <w:rFonts w:cs="Arial"/>
                <w:color w:val="FF0000"/>
                <w:sz w:val="20"/>
                <w:szCs w:val="20"/>
                <w:lang w:val="en-NZ" w:eastAsia="en-NZ"/>
              </w:rPr>
              <w:t>16.9%</w:t>
            </w:r>
          </w:p>
        </w:tc>
      </w:tr>
      <w:tr w:rsidR="001C6BDB" w:rsidRPr="001C6BDB" w14:paraId="644BE79E" w14:textId="77777777" w:rsidTr="001C6BDB">
        <w:trPr>
          <w:trHeight w:val="290"/>
          <w:jc w:val="center"/>
        </w:trPr>
        <w:tc>
          <w:tcPr>
            <w:tcW w:w="2300" w:type="dxa"/>
            <w:tcBorders>
              <w:top w:val="nil"/>
              <w:left w:val="nil"/>
              <w:bottom w:val="nil"/>
              <w:right w:val="nil"/>
            </w:tcBorders>
            <w:shd w:val="clear" w:color="auto" w:fill="auto"/>
            <w:noWrap/>
            <w:vAlign w:val="bottom"/>
            <w:hideMark/>
          </w:tcPr>
          <w:p w14:paraId="6533F784" w14:textId="77777777" w:rsidR="001C6BDB" w:rsidRPr="001C6BDB" w:rsidRDefault="001C6BDB" w:rsidP="001C6BDB">
            <w:pPr>
              <w:spacing w:line="240" w:lineRule="auto"/>
              <w:jc w:val="left"/>
              <w:rPr>
                <w:rFonts w:cs="Arial"/>
                <w:b/>
                <w:bCs/>
                <w:color w:val="auto"/>
                <w:sz w:val="20"/>
                <w:szCs w:val="20"/>
                <w:lang w:val="en-NZ" w:eastAsia="en-NZ"/>
              </w:rPr>
            </w:pPr>
            <w:r w:rsidRPr="001C6BDB">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5AB5E4B" w14:textId="77777777" w:rsidR="001C6BDB" w:rsidRPr="001C6BDB" w:rsidRDefault="001C6BDB" w:rsidP="001C6BDB">
            <w:pPr>
              <w:spacing w:line="240" w:lineRule="auto"/>
              <w:jc w:val="right"/>
              <w:rPr>
                <w:rFonts w:cs="Arial"/>
                <w:b/>
                <w:bCs/>
                <w:color w:val="auto"/>
                <w:sz w:val="20"/>
                <w:szCs w:val="20"/>
                <w:lang w:val="en-NZ" w:eastAsia="en-NZ"/>
              </w:rPr>
            </w:pPr>
            <w:r w:rsidRPr="001C6BDB">
              <w:rPr>
                <w:rFonts w:cs="Arial"/>
                <w:b/>
                <w:bCs/>
                <w:color w:val="auto"/>
                <w:sz w:val="20"/>
                <w:szCs w:val="20"/>
                <w:lang w:val="en-NZ" w:eastAsia="en-NZ"/>
              </w:rPr>
              <w:t>881.3</w:t>
            </w:r>
          </w:p>
        </w:tc>
        <w:tc>
          <w:tcPr>
            <w:tcW w:w="1720" w:type="dxa"/>
            <w:tcBorders>
              <w:top w:val="nil"/>
              <w:left w:val="nil"/>
              <w:bottom w:val="nil"/>
              <w:right w:val="nil"/>
            </w:tcBorders>
            <w:shd w:val="clear" w:color="auto" w:fill="auto"/>
            <w:noWrap/>
            <w:vAlign w:val="bottom"/>
            <w:hideMark/>
          </w:tcPr>
          <w:p w14:paraId="6A4D26D4" w14:textId="77777777" w:rsidR="001C6BDB" w:rsidRPr="001C6BDB" w:rsidRDefault="001C6BDB" w:rsidP="001C6BDB">
            <w:pPr>
              <w:spacing w:line="240" w:lineRule="auto"/>
              <w:jc w:val="right"/>
              <w:rPr>
                <w:rFonts w:cs="Arial"/>
                <w:b/>
                <w:bCs/>
                <w:color w:val="FF0000"/>
                <w:sz w:val="20"/>
                <w:szCs w:val="20"/>
                <w:lang w:val="en-NZ" w:eastAsia="en-NZ"/>
              </w:rPr>
            </w:pPr>
            <w:r w:rsidRPr="001C6BDB">
              <w:rPr>
                <w:rFonts w:cs="Arial"/>
                <w:b/>
                <w:bCs/>
                <w:color w:val="FF0000"/>
                <w:sz w:val="20"/>
                <w:szCs w:val="20"/>
                <w:lang w:val="en-NZ" w:eastAsia="en-NZ"/>
              </w:rPr>
              <w:t>1.9%</w:t>
            </w:r>
          </w:p>
        </w:tc>
        <w:tc>
          <w:tcPr>
            <w:tcW w:w="1720" w:type="dxa"/>
            <w:tcBorders>
              <w:top w:val="nil"/>
              <w:left w:val="nil"/>
              <w:bottom w:val="nil"/>
              <w:right w:val="nil"/>
            </w:tcBorders>
            <w:shd w:val="clear" w:color="auto" w:fill="auto"/>
            <w:noWrap/>
            <w:vAlign w:val="bottom"/>
            <w:hideMark/>
          </w:tcPr>
          <w:p w14:paraId="2CD78D13" w14:textId="77777777" w:rsidR="001C6BDB" w:rsidRPr="001C6BDB" w:rsidRDefault="001C6BDB" w:rsidP="001C6BDB">
            <w:pPr>
              <w:spacing w:line="240" w:lineRule="auto"/>
              <w:jc w:val="right"/>
              <w:rPr>
                <w:rFonts w:cs="Arial"/>
                <w:b/>
                <w:bCs/>
                <w:color w:val="FF0000"/>
                <w:sz w:val="20"/>
                <w:szCs w:val="20"/>
                <w:lang w:val="en-NZ" w:eastAsia="en-NZ"/>
              </w:rPr>
            </w:pPr>
            <w:r w:rsidRPr="001C6BDB">
              <w:rPr>
                <w:rFonts w:cs="Arial"/>
                <w:b/>
                <w:bCs/>
                <w:color w:val="FF0000"/>
                <w:sz w:val="20"/>
                <w:szCs w:val="20"/>
                <w:lang w:val="en-NZ" w:eastAsia="en-NZ"/>
              </w:rPr>
              <w:t>14.6%</w:t>
            </w:r>
          </w:p>
        </w:tc>
      </w:tr>
    </w:tbl>
    <w:p w14:paraId="012CA476" w14:textId="48ED994B" w:rsidR="001C6BDB" w:rsidRDefault="001C6BDB" w:rsidP="001C6BDB">
      <w:pPr>
        <w:pStyle w:val="BodytextWorldline"/>
        <w:spacing w:before="120"/>
        <w:jc w:val="both"/>
        <w:rPr>
          <w:sz w:val="16"/>
          <w:szCs w:val="16"/>
        </w:rPr>
      </w:pPr>
      <w:r w:rsidRPr="00710DF2">
        <w:rPr>
          <w:sz w:val="16"/>
          <w:szCs w:val="16"/>
        </w:rPr>
        <w:t xml:space="preserve">Figure </w:t>
      </w:r>
      <w:r w:rsidR="00FE72C3">
        <w:rPr>
          <w:sz w:val="16"/>
          <w:szCs w:val="16"/>
        </w:rPr>
        <w:t>2</w:t>
      </w:r>
      <w:r w:rsidRPr="00710DF2">
        <w:rPr>
          <w:sz w:val="16"/>
          <w:szCs w:val="16"/>
        </w:rPr>
        <w:t xml:space="preserve">: All Cards NZ annual underlying* spending growth through Worldline </w:t>
      </w:r>
      <w:r>
        <w:rPr>
          <w:sz w:val="16"/>
          <w:szCs w:val="16"/>
        </w:rPr>
        <w:t>last week</w:t>
      </w:r>
      <w:r w:rsidRPr="00710DF2">
        <w:rPr>
          <w:sz w:val="16"/>
          <w:szCs w:val="16"/>
        </w:rPr>
        <w:t xml:space="preserve"> for regional core retail excluding </w:t>
      </w:r>
      <w:r>
        <w:rPr>
          <w:sz w:val="16"/>
          <w:szCs w:val="16"/>
        </w:rPr>
        <w:t>h</w:t>
      </w:r>
      <w:r w:rsidRPr="00710DF2">
        <w:rPr>
          <w:sz w:val="16"/>
          <w:szCs w:val="16"/>
        </w:rPr>
        <w:t>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3F66951E" w14:textId="1A8D3787" w:rsidR="007C6149" w:rsidRDefault="003C135E" w:rsidP="0071167D">
      <w:pPr>
        <w:pStyle w:val="BodytextWorldline"/>
        <w:rPr>
          <w:lang w:val="en-US"/>
        </w:rPr>
      </w:pPr>
      <w:r>
        <w:rPr>
          <w:lang w:val="en-US"/>
        </w:rPr>
        <w:t xml:space="preserve">Meanwhile, spending through Hospitality merchants </w:t>
      </w:r>
      <w:r w:rsidR="0071167D">
        <w:rPr>
          <w:lang w:val="en-US"/>
        </w:rPr>
        <w:t>(</w:t>
      </w:r>
      <w:r w:rsidR="0071167D" w:rsidRPr="0071167D">
        <w:rPr>
          <w:lang w:val="en-US"/>
        </w:rPr>
        <w:t>Restaurants</w:t>
      </w:r>
      <w:r w:rsidR="0071167D">
        <w:rPr>
          <w:lang w:val="en-US"/>
        </w:rPr>
        <w:t>, Café</w:t>
      </w:r>
      <w:r w:rsidR="0071167D" w:rsidRPr="0071167D">
        <w:rPr>
          <w:lang w:val="en-US"/>
        </w:rPr>
        <w:t>s</w:t>
      </w:r>
      <w:r w:rsidR="0071167D">
        <w:rPr>
          <w:lang w:val="en-US"/>
        </w:rPr>
        <w:t xml:space="preserve">, </w:t>
      </w:r>
      <w:r w:rsidR="0071167D" w:rsidRPr="0071167D">
        <w:rPr>
          <w:lang w:val="en-US"/>
        </w:rPr>
        <w:t>Fast Foods</w:t>
      </w:r>
      <w:r w:rsidR="0071167D">
        <w:rPr>
          <w:lang w:val="en-US"/>
        </w:rPr>
        <w:t>, Pubs, Clubs, Bars, Taverns and Acc</w:t>
      </w:r>
      <w:r w:rsidR="0071167D" w:rsidRPr="0071167D">
        <w:rPr>
          <w:lang w:val="en-US"/>
        </w:rPr>
        <w:t>ommodation</w:t>
      </w:r>
      <w:r w:rsidR="0071167D">
        <w:rPr>
          <w:lang w:val="en-US"/>
        </w:rPr>
        <w:t>)</w:t>
      </w:r>
      <w:r w:rsidR="0071167D" w:rsidRPr="0071167D">
        <w:rPr>
          <w:lang w:val="en-US"/>
        </w:rPr>
        <w:t xml:space="preserve"> </w:t>
      </w:r>
      <w:r>
        <w:rPr>
          <w:lang w:val="en-US"/>
        </w:rPr>
        <w:t xml:space="preserve">in Worldline NZ’s payments network </w:t>
      </w:r>
      <w:r w:rsidR="006B2B83">
        <w:rPr>
          <w:lang w:val="en-US"/>
        </w:rPr>
        <w:t xml:space="preserve">remained strong </w:t>
      </w:r>
      <w:r>
        <w:rPr>
          <w:lang w:val="en-US"/>
        </w:rPr>
        <w:t>over the week ending December 17</w:t>
      </w:r>
      <w:r w:rsidRPr="001C6BDB">
        <w:rPr>
          <w:vertAlign w:val="superscript"/>
          <w:lang w:val="en-US"/>
        </w:rPr>
        <w:t>th</w:t>
      </w:r>
      <w:r w:rsidR="006B2B83">
        <w:rPr>
          <w:lang w:val="en-US"/>
        </w:rPr>
        <w:t xml:space="preserve">, </w:t>
      </w:r>
      <w:r>
        <w:rPr>
          <w:lang w:val="en-US"/>
        </w:rPr>
        <w:t>total</w:t>
      </w:r>
      <w:r w:rsidR="006B2B83">
        <w:rPr>
          <w:lang w:val="en-US"/>
        </w:rPr>
        <w:t>ing</w:t>
      </w:r>
      <w:r>
        <w:rPr>
          <w:lang w:val="en-US"/>
        </w:rPr>
        <w:t xml:space="preserve"> $254m nationwide. </w:t>
      </w:r>
    </w:p>
    <w:p w14:paraId="4E2ED084" w14:textId="2EA8E766" w:rsidR="007C6149" w:rsidRDefault="007C6149" w:rsidP="007C6149">
      <w:pPr>
        <w:pStyle w:val="BodytextWorldline"/>
        <w:rPr>
          <w:lang w:val="en-US"/>
        </w:rPr>
      </w:pPr>
      <w:r>
        <w:rPr>
          <w:lang w:val="en-US"/>
        </w:rPr>
        <w:t>Notably, spending at Hospitality merchants on Saturday 17</w:t>
      </w:r>
      <w:r w:rsidRPr="00A675B6">
        <w:rPr>
          <w:vertAlign w:val="superscript"/>
          <w:lang w:val="en-US"/>
        </w:rPr>
        <w:t>th</w:t>
      </w:r>
      <w:r>
        <w:rPr>
          <w:lang w:val="en-US"/>
        </w:rPr>
        <w:t xml:space="preserve"> December through Worldline’s payments was $46m. This is 10.4% above the busiest </w:t>
      </w:r>
      <w:r w:rsidR="0090546E">
        <w:rPr>
          <w:lang w:val="en-US"/>
        </w:rPr>
        <w:t xml:space="preserve">day for </w:t>
      </w:r>
      <w:r>
        <w:rPr>
          <w:lang w:val="en-US"/>
        </w:rPr>
        <w:t>Hospitality in 2021 (Saturday 18</w:t>
      </w:r>
      <w:r w:rsidRPr="00A675B6">
        <w:rPr>
          <w:vertAlign w:val="superscript"/>
          <w:lang w:val="en-US"/>
        </w:rPr>
        <w:t>th</w:t>
      </w:r>
      <w:r>
        <w:rPr>
          <w:lang w:val="en-US"/>
        </w:rPr>
        <w:t xml:space="preserve"> December), but 0.5% below the peak day of 2019 (Saturday 21</w:t>
      </w:r>
      <w:r w:rsidRPr="001C6BDB">
        <w:rPr>
          <w:vertAlign w:val="superscript"/>
          <w:lang w:val="en-US"/>
        </w:rPr>
        <w:t>st</w:t>
      </w:r>
      <w:r>
        <w:rPr>
          <w:lang w:val="en-US"/>
        </w:rPr>
        <w:t xml:space="preserve"> December).</w:t>
      </w:r>
    </w:p>
    <w:p w14:paraId="75023A8E" w14:textId="335CA6EC" w:rsidR="007C6149" w:rsidRDefault="007C6149" w:rsidP="007C6149">
      <w:pPr>
        <w:pStyle w:val="BodytextWorldline"/>
        <w:rPr>
          <w:lang w:val="en-US"/>
        </w:rPr>
      </w:pPr>
      <w:r>
        <w:rPr>
          <w:lang w:val="en-US"/>
        </w:rPr>
        <w:t xml:space="preserve">“While spending amongst the Hospitality sector is expected to remain at high levels in the last few days ahead of Christmas, it is likely that last Saturday (17 December 2022) marked the peak day this year for wining and dining,” says </w:t>
      </w:r>
      <w:proofErr w:type="spellStart"/>
      <w:r>
        <w:rPr>
          <w:lang w:val="en-US"/>
        </w:rPr>
        <w:t>Proffit</w:t>
      </w:r>
      <w:proofErr w:type="spellEnd"/>
      <w:r>
        <w:rPr>
          <w:lang w:val="en-US"/>
        </w:rPr>
        <w:t xml:space="preserve">. </w:t>
      </w:r>
    </w:p>
    <w:p w14:paraId="718D5B49" w14:textId="77777777" w:rsidR="007C6149" w:rsidRDefault="007C6149" w:rsidP="007C6149">
      <w:pPr>
        <w:pStyle w:val="BodytextWorldline"/>
        <w:rPr>
          <w:lang w:val="en-US"/>
        </w:rPr>
      </w:pPr>
      <w:r>
        <w:rPr>
          <w:lang w:val="en-US"/>
        </w:rPr>
        <w:t>Annual regional Hospitality spending for the week was highest in West Coast</w:t>
      </w:r>
      <w:r w:rsidRPr="00EE552C">
        <w:rPr>
          <w:lang w:val="en-US"/>
        </w:rPr>
        <w:t xml:space="preserve"> (</w:t>
      </w:r>
      <w:r>
        <w:rPr>
          <w:lang w:val="en-US"/>
        </w:rPr>
        <w:t>up 46.8% on 11-17</w:t>
      </w:r>
      <w:r w:rsidRPr="00252AA4">
        <w:rPr>
          <w:vertAlign w:val="superscript"/>
          <w:lang w:val="en-US"/>
        </w:rPr>
        <w:t>th</w:t>
      </w:r>
      <w:r>
        <w:rPr>
          <w:lang w:val="en-US"/>
        </w:rPr>
        <w:t xml:space="preserve"> December 2021 and up 34.8% on 11-17</w:t>
      </w:r>
      <w:r w:rsidRPr="00252AA4">
        <w:rPr>
          <w:vertAlign w:val="superscript"/>
          <w:lang w:val="en-US"/>
        </w:rPr>
        <w:t>th</w:t>
      </w:r>
      <w:r>
        <w:rPr>
          <w:lang w:val="en-US"/>
        </w:rPr>
        <w:t xml:space="preserve"> December 2019). </w:t>
      </w:r>
    </w:p>
    <w:p w14:paraId="5C9789C1" w14:textId="1AD87C40" w:rsidR="007C6149" w:rsidRDefault="007C6149" w:rsidP="007C6149">
      <w:pPr>
        <w:pStyle w:val="BodytextWorldline"/>
        <w:rPr>
          <w:lang w:val="en-US"/>
        </w:rPr>
      </w:pPr>
      <w:r>
        <w:rPr>
          <w:lang w:val="en-US"/>
        </w:rPr>
        <w:t>Hospitality spending was higher than last year in all regions but was mixed relative to pre-Covid levels (11-17</w:t>
      </w:r>
      <w:r w:rsidRPr="00252AA4">
        <w:rPr>
          <w:vertAlign w:val="superscript"/>
          <w:lang w:val="en-US"/>
        </w:rPr>
        <w:t>th</w:t>
      </w:r>
      <w:r>
        <w:rPr>
          <w:lang w:val="en-US"/>
        </w:rPr>
        <w:t xml:space="preserve"> December 2019), </w:t>
      </w:r>
      <w:r w:rsidR="0095331E">
        <w:rPr>
          <w:lang w:val="en-US"/>
        </w:rPr>
        <w:t xml:space="preserve">including </w:t>
      </w:r>
      <w:r>
        <w:rPr>
          <w:lang w:val="en-US"/>
        </w:rPr>
        <w:t>being down in Marlborough (-1.7%), Wellington (-4.7%) and Otago (-8.6%) and up only modestly in Auckland/Northland (+1.1%) and Southland (+1.6%).</w:t>
      </w:r>
    </w:p>
    <w:tbl>
      <w:tblPr>
        <w:tblStyle w:val="TableGrid"/>
        <w:tblW w:w="9762" w:type="dxa"/>
        <w:tblLook w:val="04A0" w:firstRow="1" w:lastRow="0" w:firstColumn="1" w:lastColumn="0" w:noHBand="0" w:noVBand="1"/>
      </w:tblPr>
      <w:tblGrid>
        <w:gridCol w:w="9762"/>
      </w:tblGrid>
      <w:tr w:rsidR="00565D72" w14:paraId="027EE88B" w14:textId="77777777" w:rsidTr="007C6149">
        <w:trPr>
          <w:trHeight w:val="4110"/>
        </w:trPr>
        <w:tc>
          <w:tcPr>
            <w:tcW w:w="9762" w:type="dxa"/>
          </w:tcPr>
          <w:p w14:paraId="73C25D36" w14:textId="51F7E547" w:rsidR="00565D72" w:rsidRDefault="00565D72" w:rsidP="007C6149">
            <w:pPr>
              <w:pStyle w:val="BodytextWorldline"/>
              <w:jc w:val="center"/>
              <w:rPr>
                <w:lang w:val="en-US"/>
              </w:rPr>
            </w:pPr>
            <w:r>
              <w:rPr>
                <w:noProof/>
                <w:lang w:val="en-US"/>
              </w:rPr>
              <w:lastRenderedPageBreak/>
              <w:drawing>
                <wp:inline distT="0" distB="0" distL="0" distR="0" wp14:anchorId="2E23BA52" wp14:editId="2BAFBA5A">
                  <wp:extent cx="4826000" cy="2584450"/>
                  <wp:effectExtent l="0" t="0" r="1270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826000" cy="2584450"/>
                          </a:xfrm>
                          <a:prstGeom prst="rect">
                            <a:avLst/>
                          </a:prstGeom>
                          <a:noFill/>
                          <a:ln>
                            <a:noFill/>
                          </a:ln>
                        </pic:spPr>
                      </pic:pic>
                    </a:graphicData>
                  </a:graphic>
                </wp:inline>
              </w:drawing>
            </w:r>
          </w:p>
        </w:tc>
      </w:tr>
    </w:tbl>
    <w:p w14:paraId="700EA829" w14:textId="293AB94C" w:rsidR="007C6149" w:rsidRDefault="007C6149" w:rsidP="007C6149">
      <w:pPr>
        <w:pStyle w:val="BodytextWorldline"/>
        <w:spacing w:before="120"/>
        <w:jc w:val="both"/>
        <w:rPr>
          <w:sz w:val="16"/>
          <w:szCs w:val="16"/>
        </w:rPr>
      </w:pPr>
      <w:r w:rsidRPr="00710DF2">
        <w:rPr>
          <w:sz w:val="16"/>
          <w:szCs w:val="16"/>
        </w:rPr>
        <w:t xml:space="preserve">Figure </w:t>
      </w:r>
      <w:r>
        <w:rPr>
          <w:sz w:val="16"/>
          <w:szCs w:val="16"/>
        </w:rPr>
        <w:t>3</w:t>
      </w:r>
      <w:r w:rsidRPr="00710DF2">
        <w:rPr>
          <w:sz w:val="16"/>
          <w:szCs w:val="16"/>
        </w:rPr>
        <w:t xml:space="preserve">: All Cards NZ underlying* spending through Worldline for </w:t>
      </w:r>
      <w:r>
        <w:rPr>
          <w:sz w:val="16"/>
          <w:szCs w:val="16"/>
        </w:rPr>
        <w:t>h</w:t>
      </w:r>
      <w:r w:rsidRPr="00710DF2">
        <w:rPr>
          <w:sz w:val="16"/>
          <w:szCs w:val="16"/>
        </w:rPr>
        <w:t>ospitality merchants</w:t>
      </w:r>
      <w:r w:rsidR="0095331E">
        <w:rPr>
          <w:sz w:val="16"/>
          <w:szCs w:val="16"/>
        </w:rPr>
        <w:t xml:space="preserve"> in recent days and the comparable days last year</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767E071C" w14:textId="4DF88FFA" w:rsidR="008876AE" w:rsidRPr="00CF4ED3" w:rsidRDefault="008876AE" w:rsidP="008876AE">
      <w:pPr>
        <w:pStyle w:val="BodytextWorldline"/>
        <w:rPr>
          <w:lang w:val="en-US"/>
        </w:rPr>
      </w:pPr>
    </w:p>
    <w:tbl>
      <w:tblPr>
        <w:tblW w:w="7460" w:type="dxa"/>
        <w:jc w:val="center"/>
        <w:tblCellMar>
          <w:left w:w="0" w:type="dxa"/>
          <w:right w:w="0" w:type="dxa"/>
        </w:tblCellMar>
        <w:tblLook w:val="04A0" w:firstRow="1" w:lastRow="0" w:firstColumn="1" w:lastColumn="0" w:noHBand="0" w:noVBand="1"/>
      </w:tblPr>
      <w:tblGrid>
        <w:gridCol w:w="2300"/>
        <w:gridCol w:w="1720"/>
        <w:gridCol w:w="1720"/>
        <w:gridCol w:w="1720"/>
      </w:tblGrid>
      <w:tr w:rsidR="00252AA4" w14:paraId="192B82FC" w14:textId="77777777" w:rsidTr="00252AA4">
        <w:trPr>
          <w:trHeight w:val="553"/>
          <w:jc w:val="center"/>
        </w:trPr>
        <w:tc>
          <w:tcPr>
            <w:tcW w:w="7460" w:type="dxa"/>
            <w:gridSpan w:val="4"/>
            <w:tcBorders>
              <w:top w:val="nil"/>
              <w:left w:val="nil"/>
              <w:bottom w:val="nil"/>
              <w:right w:val="nil"/>
            </w:tcBorders>
            <w:shd w:val="clear" w:color="000000" w:fill="C0C0C0"/>
            <w:vAlign w:val="center"/>
            <w:hideMark/>
          </w:tcPr>
          <w:p w14:paraId="14E10FE5" w14:textId="77777777" w:rsidR="00252AA4" w:rsidRDefault="00252AA4">
            <w:pPr>
              <w:rPr>
                <w:rFonts w:cs="Arial"/>
                <w:b/>
                <w:bCs/>
                <w:sz w:val="20"/>
                <w:szCs w:val="20"/>
              </w:rPr>
            </w:pPr>
            <w:r>
              <w:rPr>
                <w:rFonts w:cs="Arial"/>
                <w:b/>
                <w:bCs/>
                <w:sz w:val="20"/>
                <w:szCs w:val="20"/>
              </w:rPr>
              <w:t>WORLDLINE All Cards underlying* spending for HOSPITALITY merchants for 7 days ending 17-Dec-2022</w:t>
            </w:r>
          </w:p>
        </w:tc>
      </w:tr>
      <w:tr w:rsidR="00252AA4" w14:paraId="0C06C930" w14:textId="77777777" w:rsidTr="00252AA4">
        <w:trPr>
          <w:trHeight w:val="290"/>
          <w:jc w:val="center"/>
        </w:trPr>
        <w:tc>
          <w:tcPr>
            <w:tcW w:w="0" w:type="auto"/>
            <w:tcBorders>
              <w:top w:val="nil"/>
              <w:left w:val="nil"/>
              <w:bottom w:val="nil"/>
              <w:right w:val="nil"/>
            </w:tcBorders>
            <w:shd w:val="clear" w:color="000000" w:fill="C0C0C0"/>
            <w:noWrap/>
            <w:vAlign w:val="bottom"/>
            <w:hideMark/>
          </w:tcPr>
          <w:p w14:paraId="354CB944" w14:textId="77777777" w:rsidR="00252AA4" w:rsidRDefault="00252AA4">
            <w:pPr>
              <w:rPr>
                <w:rFonts w:cs="Arial"/>
                <w:sz w:val="20"/>
                <w:szCs w:val="20"/>
              </w:rPr>
            </w:pPr>
            <w:r>
              <w:rPr>
                <w:rFonts w:cs="Arial"/>
                <w:sz w:val="20"/>
                <w:szCs w:val="20"/>
              </w:rPr>
              <w:t> </w:t>
            </w:r>
          </w:p>
        </w:tc>
        <w:tc>
          <w:tcPr>
            <w:tcW w:w="0" w:type="auto"/>
            <w:tcBorders>
              <w:top w:val="nil"/>
              <w:left w:val="nil"/>
              <w:bottom w:val="nil"/>
              <w:right w:val="nil"/>
            </w:tcBorders>
            <w:shd w:val="clear" w:color="000000" w:fill="C0C0C0"/>
            <w:noWrap/>
            <w:vAlign w:val="bottom"/>
            <w:hideMark/>
          </w:tcPr>
          <w:p w14:paraId="5B6C36A0" w14:textId="77777777" w:rsidR="00252AA4" w:rsidRDefault="00252AA4" w:rsidP="00252AA4">
            <w:pPr>
              <w:ind w:right="192"/>
              <w:jc w:val="right"/>
              <w:rPr>
                <w:rFonts w:cs="Arial"/>
                <w:sz w:val="20"/>
                <w:szCs w:val="20"/>
              </w:rPr>
            </w:pPr>
            <w:r>
              <w:rPr>
                <w:rFonts w:cs="Arial"/>
                <w:sz w:val="20"/>
                <w:szCs w:val="20"/>
              </w:rPr>
              <w:t>Value</w:t>
            </w:r>
          </w:p>
        </w:tc>
        <w:tc>
          <w:tcPr>
            <w:tcW w:w="0" w:type="auto"/>
            <w:tcBorders>
              <w:top w:val="nil"/>
              <w:left w:val="nil"/>
              <w:bottom w:val="nil"/>
              <w:right w:val="nil"/>
            </w:tcBorders>
            <w:shd w:val="clear" w:color="000000" w:fill="C0C0C0"/>
            <w:noWrap/>
            <w:vAlign w:val="bottom"/>
            <w:hideMark/>
          </w:tcPr>
          <w:p w14:paraId="6178788E" w14:textId="77777777" w:rsidR="00252AA4" w:rsidRDefault="00252AA4" w:rsidP="00252AA4">
            <w:pPr>
              <w:ind w:right="192"/>
              <w:jc w:val="right"/>
              <w:rPr>
                <w:rFonts w:cs="Arial"/>
                <w:sz w:val="20"/>
                <w:szCs w:val="20"/>
              </w:rPr>
            </w:pPr>
            <w:r>
              <w:rPr>
                <w:rFonts w:cs="Arial"/>
                <w:sz w:val="20"/>
                <w:szCs w:val="20"/>
              </w:rPr>
              <w:t>Underlying*</w:t>
            </w:r>
          </w:p>
        </w:tc>
        <w:tc>
          <w:tcPr>
            <w:tcW w:w="0" w:type="auto"/>
            <w:tcBorders>
              <w:top w:val="nil"/>
              <w:left w:val="nil"/>
              <w:bottom w:val="nil"/>
              <w:right w:val="nil"/>
            </w:tcBorders>
            <w:shd w:val="clear" w:color="000000" w:fill="C0C0C0"/>
            <w:noWrap/>
            <w:vAlign w:val="bottom"/>
            <w:hideMark/>
          </w:tcPr>
          <w:p w14:paraId="65B5D705" w14:textId="77777777" w:rsidR="00252AA4" w:rsidRDefault="00252AA4" w:rsidP="00252AA4">
            <w:pPr>
              <w:ind w:right="192"/>
              <w:jc w:val="right"/>
              <w:rPr>
                <w:rFonts w:cs="Arial"/>
                <w:sz w:val="20"/>
                <w:szCs w:val="20"/>
              </w:rPr>
            </w:pPr>
            <w:r>
              <w:rPr>
                <w:rFonts w:cs="Arial"/>
                <w:sz w:val="20"/>
                <w:szCs w:val="20"/>
              </w:rPr>
              <w:t>Underlying*</w:t>
            </w:r>
          </w:p>
        </w:tc>
      </w:tr>
      <w:tr w:rsidR="00252AA4" w14:paraId="4A269ACA" w14:textId="77777777" w:rsidTr="00252AA4">
        <w:trPr>
          <w:trHeight w:val="520"/>
          <w:jc w:val="center"/>
        </w:trPr>
        <w:tc>
          <w:tcPr>
            <w:tcW w:w="2300" w:type="dxa"/>
            <w:tcBorders>
              <w:top w:val="nil"/>
              <w:left w:val="nil"/>
              <w:bottom w:val="nil"/>
              <w:right w:val="nil"/>
            </w:tcBorders>
            <w:shd w:val="clear" w:color="000000" w:fill="C0C0C0"/>
            <w:vAlign w:val="bottom"/>
            <w:hideMark/>
          </w:tcPr>
          <w:p w14:paraId="7B60FF44" w14:textId="77777777" w:rsidR="00252AA4" w:rsidRDefault="00252AA4">
            <w:pPr>
              <w:jc w:val="left"/>
              <w:rPr>
                <w:rFonts w:cs="Arial"/>
                <w:sz w:val="20"/>
                <w:szCs w:val="20"/>
              </w:rPr>
            </w:pPr>
            <w:r>
              <w:rPr>
                <w:rFonts w:cs="Arial"/>
                <w:sz w:val="20"/>
                <w:szCs w:val="20"/>
              </w:rPr>
              <w:t>Region</w:t>
            </w:r>
          </w:p>
        </w:tc>
        <w:tc>
          <w:tcPr>
            <w:tcW w:w="1720" w:type="dxa"/>
            <w:tcBorders>
              <w:top w:val="nil"/>
              <w:left w:val="nil"/>
              <w:bottom w:val="nil"/>
              <w:right w:val="nil"/>
            </w:tcBorders>
            <w:shd w:val="clear" w:color="000000" w:fill="C0C0C0"/>
            <w:vAlign w:val="bottom"/>
            <w:hideMark/>
          </w:tcPr>
          <w:p w14:paraId="532DC2D2" w14:textId="77777777" w:rsidR="00252AA4" w:rsidRDefault="00252AA4" w:rsidP="00252AA4">
            <w:pPr>
              <w:ind w:right="192"/>
              <w:jc w:val="right"/>
              <w:rPr>
                <w:rFonts w:cs="Arial"/>
                <w:sz w:val="20"/>
                <w:szCs w:val="20"/>
              </w:rPr>
            </w:pPr>
            <w:r>
              <w:rPr>
                <w:rFonts w:cs="Arial"/>
                <w:sz w:val="20"/>
                <w:szCs w:val="20"/>
              </w:rPr>
              <w:t>transactions $millions</w:t>
            </w:r>
          </w:p>
        </w:tc>
        <w:tc>
          <w:tcPr>
            <w:tcW w:w="1720" w:type="dxa"/>
            <w:tcBorders>
              <w:top w:val="nil"/>
              <w:left w:val="nil"/>
              <w:bottom w:val="nil"/>
              <w:right w:val="nil"/>
            </w:tcBorders>
            <w:shd w:val="clear" w:color="000000" w:fill="C0C0C0"/>
            <w:vAlign w:val="bottom"/>
            <w:hideMark/>
          </w:tcPr>
          <w:p w14:paraId="1D97DA84" w14:textId="77777777" w:rsidR="00252AA4" w:rsidRDefault="00252AA4" w:rsidP="00252AA4">
            <w:pPr>
              <w:ind w:right="192"/>
              <w:jc w:val="right"/>
              <w:rPr>
                <w:rFonts w:cs="Arial"/>
                <w:sz w:val="20"/>
                <w:szCs w:val="20"/>
              </w:rPr>
            </w:pPr>
            <w:r>
              <w:rPr>
                <w:rFonts w:cs="Arial"/>
                <w:sz w:val="20"/>
                <w:szCs w:val="20"/>
              </w:rPr>
              <w:t>Annual % change on 2021</w:t>
            </w:r>
          </w:p>
        </w:tc>
        <w:tc>
          <w:tcPr>
            <w:tcW w:w="1720" w:type="dxa"/>
            <w:tcBorders>
              <w:top w:val="nil"/>
              <w:left w:val="nil"/>
              <w:bottom w:val="nil"/>
              <w:right w:val="nil"/>
            </w:tcBorders>
            <w:shd w:val="clear" w:color="000000" w:fill="C0C0C0"/>
            <w:vAlign w:val="bottom"/>
            <w:hideMark/>
          </w:tcPr>
          <w:p w14:paraId="65A6C6D4" w14:textId="77777777" w:rsidR="00252AA4" w:rsidRDefault="00252AA4" w:rsidP="00252AA4">
            <w:pPr>
              <w:ind w:right="192"/>
              <w:jc w:val="right"/>
              <w:rPr>
                <w:rFonts w:cs="Arial"/>
                <w:sz w:val="20"/>
                <w:szCs w:val="20"/>
              </w:rPr>
            </w:pPr>
            <w:r>
              <w:rPr>
                <w:rFonts w:cs="Arial"/>
                <w:sz w:val="20"/>
                <w:szCs w:val="20"/>
              </w:rPr>
              <w:t>Annual % change on 2019</w:t>
            </w:r>
          </w:p>
        </w:tc>
      </w:tr>
      <w:tr w:rsidR="00252AA4" w14:paraId="44A3D7DA"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460D272D" w14:textId="77777777" w:rsidR="00252AA4" w:rsidRDefault="00252AA4">
            <w:pPr>
              <w:jc w:val="left"/>
              <w:rPr>
                <w:rFonts w:ascii="Calibri" w:hAnsi="Calibri" w:cs="Calibri"/>
                <w:color w:val="000000"/>
              </w:rPr>
            </w:pPr>
            <w:r>
              <w:rPr>
                <w:rFonts w:ascii="Calibri" w:hAnsi="Calibri" w:cs="Calibri"/>
                <w:color w:val="000000"/>
              </w:rPr>
              <w:t>Auckland/Northland</w:t>
            </w:r>
          </w:p>
        </w:tc>
        <w:tc>
          <w:tcPr>
            <w:tcW w:w="0" w:type="auto"/>
            <w:tcBorders>
              <w:top w:val="nil"/>
              <w:left w:val="nil"/>
              <w:bottom w:val="nil"/>
              <w:right w:val="nil"/>
            </w:tcBorders>
            <w:shd w:val="clear" w:color="auto" w:fill="auto"/>
            <w:noWrap/>
            <w:vAlign w:val="bottom"/>
            <w:hideMark/>
          </w:tcPr>
          <w:p w14:paraId="01A4C37E" w14:textId="77777777" w:rsidR="00252AA4" w:rsidRDefault="00252AA4" w:rsidP="00252AA4">
            <w:pPr>
              <w:ind w:right="192"/>
              <w:jc w:val="right"/>
              <w:rPr>
                <w:rFonts w:cs="Arial"/>
                <w:color w:val="auto"/>
                <w:sz w:val="20"/>
                <w:szCs w:val="20"/>
              </w:rPr>
            </w:pPr>
            <w:r>
              <w:rPr>
                <w:rFonts w:cs="Arial"/>
                <w:sz w:val="20"/>
                <w:szCs w:val="20"/>
              </w:rPr>
              <w:t>96.9</w:t>
            </w:r>
          </w:p>
        </w:tc>
        <w:tc>
          <w:tcPr>
            <w:tcW w:w="0" w:type="auto"/>
            <w:tcBorders>
              <w:top w:val="nil"/>
              <w:left w:val="nil"/>
              <w:bottom w:val="nil"/>
              <w:right w:val="nil"/>
            </w:tcBorders>
            <w:shd w:val="clear" w:color="auto" w:fill="auto"/>
            <w:noWrap/>
            <w:vAlign w:val="bottom"/>
            <w:hideMark/>
          </w:tcPr>
          <w:p w14:paraId="28EC5998" w14:textId="77777777" w:rsidR="00252AA4" w:rsidRDefault="00252AA4" w:rsidP="00252AA4">
            <w:pPr>
              <w:ind w:right="192"/>
              <w:jc w:val="right"/>
              <w:rPr>
                <w:rFonts w:cs="Arial"/>
                <w:color w:val="FF0000"/>
                <w:sz w:val="20"/>
                <w:szCs w:val="20"/>
              </w:rPr>
            </w:pPr>
            <w:r>
              <w:rPr>
                <w:rFonts w:cs="Arial"/>
                <w:color w:val="FF0000"/>
                <w:sz w:val="20"/>
                <w:szCs w:val="20"/>
              </w:rPr>
              <w:t>22.2%</w:t>
            </w:r>
          </w:p>
        </w:tc>
        <w:tc>
          <w:tcPr>
            <w:tcW w:w="0" w:type="auto"/>
            <w:tcBorders>
              <w:top w:val="nil"/>
              <w:left w:val="nil"/>
              <w:bottom w:val="nil"/>
              <w:right w:val="nil"/>
            </w:tcBorders>
            <w:shd w:val="clear" w:color="auto" w:fill="auto"/>
            <w:noWrap/>
            <w:vAlign w:val="bottom"/>
            <w:hideMark/>
          </w:tcPr>
          <w:p w14:paraId="0E35E521" w14:textId="77777777" w:rsidR="00252AA4" w:rsidRDefault="00252AA4" w:rsidP="00252AA4">
            <w:pPr>
              <w:ind w:right="192"/>
              <w:jc w:val="right"/>
              <w:rPr>
                <w:rFonts w:cs="Arial"/>
                <w:color w:val="FF0000"/>
                <w:sz w:val="20"/>
                <w:szCs w:val="20"/>
              </w:rPr>
            </w:pPr>
            <w:r>
              <w:rPr>
                <w:rFonts w:cs="Arial"/>
                <w:color w:val="FF0000"/>
                <w:sz w:val="20"/>
                <w:szCs w:val="20"/>
              </w:rPr>
              <w:t>1.1%</w:t>
            </w:r>
          </w:p>
        </w:tc>
      </w:tr>
      <w:tr w:rsidR="00252AA4" w14:paraId="3377C2EB"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5C9C9282" w14:textId="77777777" w:rsidR="00252AA4" w:rsidRDefault="00252AA4">
            <w:pPr>
              <w:jc w:val="left"/>
              <w:rPr>
                <w:rFonts w:ascii="Calibri" w:hAnsi="Calibri" w:cs="Calibri"/>
                <w:color w:val="000000"/>
              </w:rPr>
            </w:pPr>
            <w:r>
              <w:rPr>
                <w:rFonts w:ascii="Calibri" w:hAnsi="Calibri" w:cs="Calibri"/>
                <w:color w:val="000000"/>
              </w:rPr>
              <w:t>Waikato</w:t>
            </w:r>
          </w:p>
        </w:tc>
        <w:tc>
          <w:tcPr>
            <w:tcW w:w="0" w:type="auto"/>
            <w:tcBorders>
              <w:top w:val="nil"/>
              <w:left w:val="nil"/>
              <w:bottom w:val="nil"/>
              <w:right w:val="nil"/>
            </w:tcBorders>
            <w:shd w:val="clear" w:color="auto" w:fill="auto"/>
            <w:noWrap/>
            <w:vAlign w:val="bottom"/>
            <w:hideMark/>
          </w:tcPr>
          <w:p w14:paraId="7DAD7252" w14:textId="77777777" w:rsidR="00252AA4" w:rsidRDefault="00252AA4" w:rsidP="00252AA4">
            <w:pPr>
              <w:ind w:right="192"/>
              <w:jc w:val="right"/>
              <w:rPr>
                <w:rFonts w:cs="Arial"/>
                <w:color w:val="auto"/>
                <w:sz w:val="20"/>
                <w:szCs w:val="20"/>
              </w:rPr>
            </w:pPr>
            <w:r>
              <w:rPr>
                <w:rFonts w:cs="Arial"/>
                <w:sz w:val="20"/>
                <w:szCs w:val="20"/>
              </w:rPr>
              <w:t>17.7</w:t>
            </w:r>
          </w:p>
        </w:tc>
        <w:tc>
          <w:tcPr>
            <w:tcW w:w="0" w:type="auto"/>
            <w:tcBorders>
              <w:top w:val="nil"/>
              <w:left w:val="nil"/>
              <w:bottom w:val="nil"/>
              <w:right w:val="nil"/>
            </w:tcBorders>
            <w:shd w:val="clear" w:color="auto" w:fill="auto"/>
            <w:noWrap/>
            <w:vAlign w:val="bottom"/>
            <w:hideMark/>
          </w:tcPr>
          <w:p w14:paraId="02079F9D" w14:textId="77777777" w:rsidR="00252AA4" w:rsidRDefault="00252AA4" w:rsidP="00252AA4">
            <w:pPr>
              <w:ind w:right="192"/>
              <w:jc w:val="right"/>
              <w:rPr>
                <w:rFonts w:cs="Arial"/>
                <w:color w:val="FF0000"/>
                <w:sz w:val="20"/>
                <w:szCs w:val="20"/>
              </w:rPr>
            </w:pPr>
            <w:r>
              <w:rPr>
                <w:rFonts w:cs="Arial"/>
                <w:color w:val="FF0000"/>
                <w:sz w:val="20"/>
                <w:szCs w:val="20"/>
              </w:rPr>
              <w:t>17.5%</w:t>
            </w:r>
          </w:p>
        </w:tc>
        <w:tc>
          <w:tcPr>
            <w:tcW w:w="0" w:type="auto"/>
            <w:tcBorders>
              <w:top w:val="nil"/>
              <w:left w:val="nil"/>
              <w:bottom w:val="nil"/>
              <w:right w:val="nil"/>
            </w:tcBorders>
            <w:shd w:val="clear" w:color="auto" w:fill="auto"/>
            <w:noWrap/>
            <w:vAlign w:val="bottom"/>
            <w:hideMark/>
          </w:tcPr>
          <w:p w14:paraId="79830C32" w14:textId="77777777" w:rsidR="00252AA4" w:rsidRDefault="00252AA4" w:rsidP="00252AA4">
            <w:pPr>
              <w:ind w:right="192"/>
              <w:jc w:val="right"/>
              <w:rPr>
                <w:rFonts w:cs="Arial"/>
                <w:color w:val="FF0000"/>
                <w:sz w:val="20"/>
                <w:szCs w:val="20"/>
              </w:rPr>
            </w:pPr>
            <w:r>
              <w:rPr>
                <w:rFonts w:cs="Arial"/>
                <w:color w:val="FF0000"/>
                <w:sz w:val="20"/>
                <w:szCs w:val="20"/>
              </w:rPr>
              <w:t>10.3%</w:t>
            </w:r>
          </w:p>
        </w:tc>
      </w:tr>
      <w:tr w:rsidR="00252AA4" w14:paraId="460D75F7"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147D7961" w14:textId="77777777" w:rsidR="00252AA4" w:rsidRDefault="00252AA4">
            <w:pPr>
              <w:jc w:val="left"/>
              <w:rPr>
                <w:rFonts w:ascii="Calibri" w:hAnsi="Calibri" w:cs="Calibri"/>
                <w:color w:val="000000"/>
              </w:rPr>
            </w:pPr>
            <w:r>
              <w:rPr>
                <w:rFonts w:ascii="Calibri" w:hAnsi="Calibri" w:cs="Calibri"/>
                <w:color w:val="000000"/>
              </w:rPr>
              <w:t>BOP</w:t>
            </w:r>
          </w:p>
        </w:tc>
        <w:tc>
          <w:tcPr>
            <w:tcW w:w="0" w:type="auto"/>
            <w:tcBorders>
              <w:top w:val="nil"/>
              <w:left w:val="nil"/>
              <w:bottom w:val="nil"/>
              <w:right w:val="nil"/>
            </w:tcBorders>
            <w:shd w:val="clear" w:color="auto" w:fill="auto"/>
            <w:noWrap/>
            <w:vAlign w:val="bottom"/>
            <w:hideMark/>
          </w:tcPr>
          <w:p w14:paraId="2CA64712" w14:textId="77777777" w:rsidR="00252AA4" w:rsidRDefault="00252AA4" w:rsidP="00252AA4">
            <w:pPr>
              <w:ind w:right="192"/>
              <w:jc w:val="right"/>
              <w:rPr>
                <w:rFonts w:cs="Arial"/>
                <w:color w:val="auto"/>
                <w:sz w:val="20"/>
                <w:szCs w:val="20"/>
              </w:rPr>
            </w:pPr>
            <w:r>
              <w:rPr>
                <w:rFonts w:cs="Arial"/>
                <w:sz w:val="20"/>
                <w:szCs w:val="20"/>
              </w:rPr>
              <w:t>20.0</w:t>
            </w:r>
          </w:p>
        </w:tc>
        <w:tc>
          <w:tcPr>
            <w:tcW w:w="0" w:type="auto"/>
            <w:tcBorders>
              <w:top w:val="nil"/>
              <w:left w:val="nil"/>
              <w:bottom w:val="nil"/>
              <w:right w:val="nil"/>
            </w:tcBorders>
            <w:shd w:val="clear" w:color="auto" w:fill="auto"/>
            <w:noWrap/>
            <w:vAlign w:val="bottom"/>
            <w:hideMark/>
          </w:tcPr>
          <w:p w14:paraId="0201464C" w14:textId="77777777" w:rsidR="00252AA4" w:rsidRDefault="00252AA4" w:rsidP="00252AA4">
            <w:pPr>
              <w:ind w:right="192"/>
              <w:jc w:val="right"/>
              <w:rPr>
                <w:rFonts w:cs="Arial"/>
                <w:color w:val="FF0000"/>
                <w:sz w:val="20"/>
                <w:szCs w:val="20"/>
              </w:rPr>
            </w:pPr>
            <w:r>
              <w:rPr>
                <w:rFonts w:cs="Arial"/>
                <w:color w:val="FF0000"/>
                <w:sz w:val="20"/>
                <w:szCs w:val="20"/>
              </w:rPr>
              <w:t>20.2%</w:t>
            </w:r>
          </w:p>
        </w:tc>
        <w:tc>
          <w:tcPr>
            <w:tcW w:w="0" w:type="auto"/>
            <w:tcBorders>
              <w:top w:val="nil"/>
              <w:left w:val="nil"/>
              <w:bottom w:val="nil"/>
              <w:right w:val="nil"/>
            </w:tcBorders>
            <w:shd w:val="clear" w:color="auto" w:fill="auto"/>
            <w:noWrap/>
            <w:vAlign w:val="bottom"/>
            <w:hideMark/>
          </w:tcPr>
          <w:p w14:paraId="05F29366" w14:textId="77777777" w:rsidR="00252AA4" w:rsidRDefault="00252AA4" w:rsidP="00252AA4">
            <w:pPr>
              <w:ind w:right="192"/>
              <w:jc w:val="right"/>
              <w:rPr>
                <w:rFonts w:cs="Arial"/>
                <w:color w:val="FF0000"/>
                <w:sz w:val="20"/>
                <w:szCs w:val="20"/>
              </w:rPr>
            </w:pPr>
            <w:r>
              <w:rPr>
                <w:rFonts w:cs="Arial"/>
                <w:color w:val="FF0000"/>
                <w:sz w:val="20"/>
                <w:szCs w:val="20"/>
              </w:rPr>
              <w:t>10.2%</w:t>
            </w:r>
          </w:p>
        </w:tc>
      </w:tr>
      <w:tr w:rsidR="00252AA4" w14:paraId="6E5ED22D"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0D736143" w14:textId="77777777" w:rsidR="00252AA4" w:rsidRDefault="00252AA4">
            <w:pPr>
              <w:jc w:val="left"/>
              <w:rPr>
                <w:rFonts w:ascii="Calibri" w:hAnsi="Calibri" w:cs="Calibri"/>
                <w:color w:val="000000"/>
              </w:rPr>
            </w:pPr>
            <w:r>
              <w:rPr>
                <w:rFonts w:ascii="Calibri" w:hAnsi="Calibri" w:cs="Calibri"/>
                <w:color w:val="000000"/>
              </w:rPr>
              <w:t>Gisborne</w:t>
            </w:r>
          </w:p>
        </w:tc>
        <w:tc>
          <w:tcPr>
            <w:tcW w:w="0" w:type="auto"/>
            <w:tcBorders>
              <w:top w:val="nil"/>
              <w:left w:val="nil"/>
              <w:bottom w:val="nil"/>
              <w:right w:val="nil"/>
            </w:tcBorders>
            <w:shd w:val="clear" w:color="auto" w:fill="auto"/>
            <w:noWrap/>
            <w:vAlign w:val="bottom"/>
            <w:hideMark/>
          </w:tcPr>
          <w:p w14:paraId="1E66F80C" w14:textId="77777777" w:rsidR="00252AA4" w:rsidRDefault="00252AA4" w:rsidP="00252AA4">
            <w:pPr>
              <w:ind w:right="192"/>
              <w:jc w:val="right"/>
              <w:rPr>
                <w:rFonts w:cs="Arial"/>
                <w:color w:val="auto"/>
                <w:sz w:val="20"/>
                <w:szCs w:val="20"/>
              </w:rPr>
            </w:pPr>
            <w:r>
              <w:rPr>
                <w:rFonts w:cs="Arial"/>
                <w:sz w:val="20"/>
                <w:szCs w:val="20"/>
              </w:rPr>
              <w:t>2.2</w:t>
            </w:r>
          </w:p>
        </w:tc>
        <w:tc>
          <w:tcPr>
            <w:tcW w:w="0" w:type="auto"/>
            <w:tcBorders>
              <w:top w:val="nil"/>
              <w:left w:val="nil"/>
              <w:bottom w:val="nil"/>
              <w:right w:val="nil"/>
            </w:tcBorders>
            <w:shd w:val="clear" w:color="auto" w:fill="auto"/>
            <w:noWrap/>
            <w:vAlign w:val="bottom"/>
            <w:hideMark/>
          </w:tcPr>
          <w:p w14:paraId="6F469A61" w14:textId="77777777" w:rsidR="00252AA4" w:rsidRDefault="00252AA4" w:rsidP="00252AA4">
            <w:pPr>
              <w:ind w:right="192"/>
              <w:jc w:val="right"/>
              <w:rPr>
                <w:rFonts w:cs="Arial"/>
                <w:color w:val="FF0000"/>
                <w:sz w:val="20"/>
                <w:szCs w:val="20"/>
              </w:rPr>
            </w:pPr>
            <w:r>
              <w:rPr>
                <w:rFonts w:cs="Arial"/>
                <w:color w:val="FF0000"/>
                <w:sz w:val="20"/>
                <w:szCs w:val="20"/>
              </w:rPr>
              <w:t>12.3%</w:t>
            </w:r>
          </w:p>
        </w:tc>
        <w:tc>
          <w:tcPr>
            <w:tcW w:w="0" w:type="auto"/>
            <w:tcBorders>
              <w:top w:val="nil"/>
              <w:left w:val="nil"/>
              <w:bottom w:val="nil"/>
              <w:right w:val="nil"/>
            </w:tcBorders>
            <w:shd w:val="clear" w:color="auto" w:fill="auto"/>
            <w:noWrap/>
            <w:vAlign w:val="bottom"/>
            <w:hideMark/>
          </w:tcPr>
          <w:p w14:paraId="029D7A05" w14:textId="77777777" w:rsidR="00252AA4" w:rsidRDefault="00252AA4" w:rsidP="00252AA4">
            <w:pPr>
              <w:ind w:right="192"/>
              <w:jc w:val="right"/>
              <w:rPr>
                <w:rFonts w:cs="Arial"/>
                <w:color w:val="FF0000"/>
                <w:sz w:val="20"/>
                <w:szCs w:val="20"/>
              </w:rPr>
            </w:pPr>
            <w:r>
              <w:rPr>
                <w:rFonts w:cs="Arial"/>
                <w:color w:val="FF0000"/>
                <w:sz w:val="20"/>
                <w:szCs w:val="20"/>
              </w:rPr>
              <w:t>17.8%</w:t>
            </w:r>
          </w:p>
        </w:tc>
      </w:tr>
      <w:tr w:rsidR="00252AA4" w14:paraId="647B21CC"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46B209AD" w14:textId="77777777" w:rsidR="00252AA4" w:rsidRDefault="00252AA4">
            <w:pPr>
              <w:jc w:val="left"/>
              <w:rPr>
                <w:rFonts w:ascii="Calibri" w:hAnsi="Calibri" w:cs="Calibri"/>
                <w:color w:val="000000"/>
              </w:rPr>
            </w:pPr>
            <w:r>
              <w:rPr>
                <w:rFonts w:ascii="Calibri" w:hAnsi="Calibri" w:cs="Calibri"/>
                <w:color w:val="000000"/>
              </w:rPr>
              <w:t>Taranaki</w:t>
            </w:r>
          </w:p>
        </w:tc>
        <w:tc>
          <w:tcPr>
            <w:tcW w:w="0" w:type="auto"/>
            <w:tcBorders>
              <w:top w:val="nil"/>
              <w:left w:val="nil"/>
              <w:bottom w:val="nil"/>
              <w:right w:val="nil"/>
            </w:tcBorders>
            <w:shd w:val="clear" w:color="auto" w:fill="auto"/>
            <w:noWrap/>
            <w:vAlign w:val="bottom"/>
            <w:hideMark/>
          </w:tcPr>
          <w:p w14:paraId="372A1009" w14:textId="77777777" w:rsidR="00252AA4" w:rsidRDefault="00252AA4" w:rsidP="00252AA4">
            <w:pPr>
              <w:ind w:right="192"/>
              <w:jc w:val="right"/>
              <w:rPr>
                <w:rFonts w:cs="Arial"/>
                <w:color w:val="auto"/>
                <w:sz w:val="20"/>
                <w:szCs w:val="20"/>
              </w:rPr>
            </w:pPr>
            <w:r>
              <w:rPr>
                <w:rFonts w:cs="Arial"/>
                <w:sz w:val="20"/>
                <w:szCs w:val="20"/>
              </w:rPr>
              <w:t>5.9</w:t>
            </w:r>
          </w:p>
        </w:tc>
        <w:tc>
          <w:tcPr>
            <w:tcW w:w="0" w:type="auto"/>
            <w:tcBorders>
              <w:top w:val="nil"/>
              <w:left w:val="nil"/>
              <w:bottom w:val="nil"/>
              <w:right w:val="nil"/>
            </w:tcBorders>
            <w:shd w:val="clear" w:color="auto" w:fill="auto"/>
            <w:noWrap/>
            <w:vAlign w:val="bottom"/>
            <w:hideMark/>
          </w:tcPr>
          <w:p w14:paraId="63B5E91B" w14:textId="77777777" w:rsidR="00252AA4" w:rsidRDefault="00252AA4" w:rsidP="00252AA4">
            <w:pPr>
              <w:ind w:right="192"/>
              <w:jc w:val="right"/>
              <w:rPr>
                <w:rFonts w:cs="Arial"/>
                <w:color w:val="FF0000"/>
                <w:sz w:val="20"/>
                <w:szCs w:val="20"/>
              </w:rPr>
            </w:pPr>
            <w:r>
              <w:rPr>
                <w:rFonts w:cs="Arial"/>
                <w:color w:val="FF0000"/>
                <w:sz w:val="20"/>
                <w:szCs w:val="20"/>
              </w:rPr>
              <w:t>20.6%</w:t>
            </w:r>
          </w:p>
        </w:tc>
        <w:tc>
          <w:tcPr>
            <w:tcW w:w="0" w:type="auto"/>
            <w:tcBorders>
              <w:top w:val="nil"/>
              <w:left w:val="nil"/>
              <w:bottom w:val="nil"/>
              <w:right w:val="nil"/>
            </w:tcBorders>
            <w:shd w:val="clear" w:color="auto" w:fill="auto"/>
            <w:noWrap/>
            <w:vAlign w:val="bottom"/>
            <w:hideMark/>
          </w:tcPr>
          <w:p w14:paraId="54BCA7B8" w14:textId="77777777" w:rsidR="00252AA4" w:rsidRDefault="00252AA4" w:rsidP="00252AA4">
            <w:pPr>
              <w:ind w:right="192"/>
              <w:jc w:val="right"/>
              <w:rPr>
                <w:rFonts w:cs="Arial"/>
                <w:color w:val="FF0000"/>
                <w:sz w:val="20"/>
                <w:szCs w:val="20"/>
              </w:rPr>
            </w:pPr>
            <w:r>
              <w:rPr>
                <w:rFonts w:cs="Arial"/>
                <w:color w:val="FF0000"/>
                <w:sz w:val="20"/>
                <w:szCs w:val="20"/>
              </w:rPr>
              <w:t>27.7%</w:t>
            </w:r>
          </w:p>
        </w:tc>
      </w:tr>
      <w:tr w:rsidR="00252AA4" w14:paraId="7E94AE88"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62CC74C9" w14:textId="77777777" w:rsidR="00252AA4" w:rsidRDefault="00252AA4">
            <w:pPr>
              <w:jc w:val="left"/>
              <w:rPr>
                <w:rFonts w:ascii="Calibri" w:hAnsi="Calibri" w:cs="Calibri"/>
                <w:color w:val="000000"/>
              </w:rPr>
            </w:pPr>
            <w:r>
              <w:rPr>
                <w:rFonts w:ascii="Calibri" w:hAnsi="Calibri" w:cs="Calibri"/>
                <w:color w:val="000000"/>
              </w:rPr>
              <w:t>Hawke's Bay</w:t>
            </w:r>
          </w:p>
        </w:tc>
        <w:tc>
          <w:tcPr>
            <w:tcW w:w="0" w:type="auto"/>
            <w:tcBorders>
              <w:top w:val="nil"/>
              <w:left w:val="nil"/>
              <w:bottom w:val="nil"/>
              <w:right w:val="nil"/>
            </w:tcBorders>
            <w:shd w:val="clear" w:color="auto" w:fill="auto"/>
            <w:noWrap/>
            <w:vAlign w:val="bottom"/>
            <w:hideMark/>
          </w:tcPr>
          <w:p w14:paraId="58A92F84" w14:textId="77777777" w:rsidR="00252AA4" w:rsidRDefault="00252AA4" w:rsidP="00252AA4">
            <w:pPr>
              <w:ind w:right="192"/>
              <w:jc w:val="right"/>
              <w:rPr>
                <w:rFonts w:cs="Arial"/>
                <w:color w:val="auto"/>
                <w:sz w:val="20"/>
                <w:szCs w:val="20"/>
              </w:rPr>
            </w:pPr>
            <w:r>
              <w:rPr>
                <w:rFonts w:cs="Arial"/>
                <w:sz w:val="20"/>
                <w:szCs w:val="20"/>
              </w:rPr>
              <w:t>7.5</w:t>
            </w:r>
          </w:p>
        </w:tc>
        <w:tc>
          <w:tcPr>
            <w:tcW w:w="0" w:type="auto"/>
            <w:tcBorders>
              <w:top w:val="nil"/>
              <w:left w:val="nil"/>
              <w:bottom w:val="nil"/>
              <w:right w:val="nil"/>
            </w:tcBorders>
            <w:shd w:val="clear" w:color="auto" w:fill="auto"/>
            <w:noWrap/>
            <w:vAlign w:val="bottom"/>
            <w:hideMark/>
          </w:tcPr>
          <w:p w14:paraId="6D90B564" w14:textId="77777777" w:rsidR="00252AA4" w:rsidRDefault="00252AA4" w:rsidP="00252AA4">
            <w:pPr>
              <w:ind w:right="192"/>
              <w:jc w:val="right"/>
              <w:rPr>
                <w:rFonts w:cs="Arial"/>
                <w:color w:val="FF0000"/>
                <w:sz w:val="20"/>
                <w:szCs w:val="20"/>
              </w:rPr>
            </w:pPr>
            <w:r>
              <w:rPr>
                <w:rFonts w:cs="Arial"/>
                <w:color w:val="FF0000"/>
                <w:sz w:val="20"/>
                <w:szCs w:val="20"/>
              </w:rPr>
              <w:t>24.1%</w:t>
            </w:r>
          </w:p>
        </w:tc>
        <w:tc>
          <w:tcPr>
            <w:tcW w:w="0" w:type="auto"/>
            <w:tcBorders>
              <w:top w:val="nil"/>
              <w:left w:val="nil"/>
              <w:bottom w:val="nil"/>
              <w:right w:val="nil"/>
            </w:tcBorders>
            <w:shd w:val="clear" w:color="auto" w:fill="auto"/>
            <w:noWrap/>
            <w:vAlign w:val="bottom"/>
            <w:hideMark/>
          </w:tcPr>
          <w:p w14:paraId="638BA062" w14:textId="77777777" w:rsidR="00252AA4" w:rsidRDefault="00252AA4" w:rsidP="00252AA4">
            <w:pPr>
              <w:ind w:right="192"/>
              <w:jc w:val="right"/>
              <w:rPr>
                <w:rFonts w:cs="Arial"/>
                <w:color w:val="FF0000"/>
                <w:sz w:val="20"/>
                <w:szCs w:val="20"/>
              </w:rPr>
            </w:pPr>
            <w:r>
              <w:rPr>
                <w:rFonts w:cs="Arial"/>
                <w:color w:val="FF0000"/>
                <w:sz w:val="20"/>
                <w:szCs w:val="20"/>
              </w:rPr>
              <w:t>22.3%</w:t>
            </w:r>
          </w:p>
        </w:tc>
      </w:tr>
      <w:tr w:rsidR="00252AA4" w14:paraId="56FC34A9"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28F89CEE" w14:textId="77777777" w:rsidR="00252AA4" w:rsidRDefault="00252AA4">
            <w:pPr>
              <w:jc w:val="left"/>
              <w:rPr>
                <w:rFonts w:ascii="Calibri" w:hAnsi="Calibri" w:cs="Calibri"/>
                <w:color w:val="000000"/>
              </w:rPr>
            </w:pPr>
            <w:r>
              <w:rPr>
                <w:rFonts w:ascii="Calibri" w:hAnsi="Calibri" w:cs="Calibri"/>
                <w:color w:val="000000"/>
              </w:rPr>
              <w:t>Whanganui</w:t>
            </w:r>
          </w:p>
        </w:tc>
        <w:tc>
          <w:tcPr>
            <w:tcW w:w="0" w:type="auto"/>
            <w:tcBorders>
              <w:top w:val="nil"/>
              <w:left w:val="nil"/>
              <w:bottom w:val="nil"/>
              <w:right w:val="nil"/>
            </w:tcBorders>
            <w:shd w:val="clear" w:color="auto" w:fill="auto"/>
            <w:noWrap/>
            <w:vAlign w:val="bottom"/>
            <w:hideMark/>
          </w:tcPr>
          <w:p w14:paraId="64A9244F" w14:textId="77777777" w:rsidR="00252AA4" w:rsidRDefault="00252AA4" w:rsidP="00252AA4">
            <w:pPr>
              <w:ind w:right="192"/>
              <w:jc w:val="right"/>
              <w:rPr>
                <w:rFonts w:cs="Arial"/>
                <w:color w:val="auto"/>
                <w:sz w:val="20"/>
                <w:szCs w:val="20"/>
              </w:rPr>
            </w:pPr>
            <w:r>
              <w:rPr>
                <w:rFonts w:cs="Arial"/>
                <w:sz w:val="20"/>
                <w:szCs w:val="20"/>
              </w:rPr>
              <w:t>2.7</w:t>
            </w:r>
          </w:p>
        </w:tc>
        <w:tc>
          <w:tcPr>
            <w:tcW w:w="0" w:type="auto"/>
            <w:tcBorders>
              <w:top w:val="nil"/>
              <w:left w:val="nil"/>
              <w:bottom w:val="nil"/>
              <w:right w:val="nil"/>
            </w:tcBorders>
            <w:shd w:val="clear" w:color="auto" w:fill="auto"/>
            <w:noWrap/>
            <w:vAlign w:val="bottom"/>
            <w:hideMark/>
          </w:tcPr>
          <w:p w14:paraId="47E2E056" w14:textId="77777777" w:rsidR="00252AA4" w:rsidRDefault="00252AA4" w:rsidP="00252AA4">
            <w:pPr>
              <w:ind w:right="192"/>
              <w:jc w:val="right"/>
              <w:rPr>
                <w:rFonts w:cs="Arial"/>
                <w:color w:val="FF0000"/>
                <w:sz w:val="20"/>
                <w:szCs w:val="20"/>
              </w:rPr>
            </w:pPr>
            <w:r>
              <w:rPr>
                <w:rFonts w:cs="Arial"/>
                <w:color w:val="FF0000"/>
                <w:sz w:val="20"/>
                <w:szCs w:val="20"/>
              </w:rPr>
              <w:t>24.7%</w:t>
            </w:r>
          </w:p>
        </w:tc>
        <w:tc>
          <w:tcPr>
            <w:tcW w:w="0" w:type="auto"/>
            <w:tcBorders>
              <w:top w:val="nil"/>
              <w:left w:val="nil"/>
              <w:bottom w:val="nil"/>
              <w:right w:val="nil"/>
            </w:tcBorders>
            <w:shd w:val="clear" w:color="auto" w:fill="auto"/>
            <w:noWrap/>
            <w:vAlign w:val="bottom"/>
            <w:hideMark/>
          </w:tcPr>
          <w:p w14:paraId="65C523D3" w14:textId="77777777" w:rsidR="00252AA4" w:rsidRDefault="00252AA4" w:rsidP="00252AA4">
            <w:pPr>
              <w:ind w:right="192"/>
              <w:jc w:val="right"/>
              <w:rPr>
                <w:rFonts w:cs="Arial"/>
                <w:color w:val="FF0000"/>
                <w:sz w:val="20"/>
                <w:szCs w:val="20"/>
              </w:rPr>
            </w:pPr>
            <w:r>
              <w:rPr>
                <w:rFonts w:cs="Arial"/>
                <w:color w:val="FF0000"/>
                <w:sz w:val="20"/>
                <w:szCs w:val="20"/>
              </w:rPr>
              <w:t>19.3%</w:t>
            </w:r>
          </w:p>
        </w:tc>
      </w:tr>
      <w:tr w:rsidR="00252AA4" w14:paraId="60EB5D24"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247D1D86" w14:textId="77777777" w:rsidR="00252AA4" w:rsidRDefault="00252AA4">
            <w:pPr>
              <w:jc w:val="left"/>
              <w:rPr>
                <w:rFonts w:ascii="Calibri" w:hAnsi="Calibri" w:cs="Calibri"/>
                <w:color w:val="000000"/>
              </w:rPr>
            </w:pPr>
            <w:r>
              <w:rPr>
                <w:rFonts w:ascii="Calibri" w:hAnsi="Calibri" w:cs="Calibri"/>
                <w:color w:val="000000"/>
              </w:rPr>
              <w:t>Palmerston North</w:t>
            </w:r>
          </w:p>
        </w:tc>
        <w:tc>
          <w:tcPr>
            <w:tcW w:w="0" w:type="auto"/>
            <w:tcBorders>
              <w:top w:val="nil"/>
              <w:left w:val="nil"/>
              <w:bottom w:val="nil"/>
              <w:right w:val="nil"/>
            </w:tcBorders>
            <w:shd w:val="clear" w:color="auto" w:fill="auto"/>
            <w:noWrap/>
            <w:vAlign w:val="bottom"/>
            <w:hideMark/>
          </w:tcPr>
          <w:p w14:paraId="6EE26742" w14:textId="77777777" w:rsidR="00252AA4" w:rsidRDefault="00252AA4" w:rsidP="00252AA4">
            <w:pPr>
              <w:ind w:right="192"/>
              <w:jc w:val="right"/>
              <w:rPr>
                <w:rFonts w:cs="Arial"/>
                <w:color w:val="auto"/>
                <w:sz w:val="20"/>
                <w:szCs w:val="20"/>
              </w:rPr>
            </w:pPr>
            <w:r>
              <w:rPr>
                <w:rFonts w:cs="Arial"/>
                <w:sz w:val="20"/>
                <w:szCs w:val="20"/>
              </w:rPr>
              <w:t>6.8</w:t>
            </w:r>
          </w:p>
        </w:tc>
        <w:tc>
          <w:tcPr>
            <w:tcW w:w="0" w:type="auto"/>
            <w:tcBorders>
              <w:top w:val="nil"/>
              <w:left w:val="nil"/>
              <w:bottom w:val="nil"/>
              <w:right w:val="nil"/>
            </w:tcBorders>
            <w:shd w:val="clear" w:color="auto" w:fill="auto"/>
            <w:noWrap/>
            <w:vAlign w:val="bottom"/>
            <w:hideMark/>
          </w:tcPr>
          <w:p w14:paraId="7EA0370C" w14:textId="77777777" w:rsidR="00252AA4" w:rsidRDefault="00252AA4" w:rsidP="00252AA4">
            <w:pPr>
              <w:ind w:right="192"/>
              <w:jc w:val="right"/>
              <w:rPr>
                <w:rFonts w:cs="Arial"/>
                <w:color w:val="FF0000"/>
                <w:sz w:val="20"/>
                <w:szCs w:val="20"/>
              </w:rPr>
            </w:pPr>
            <w:r>
              <w:rPr>
                <w:rFonts w:cs="Arial"/>
                <w:color w:val="FF0000"/>
                <w:sz w:val="20"/>
                <w:szCs w:val="20"/>
              </w:rPr>
              <w:t>13.2%</w:t>
            </w:r>
          </w:p>
        </w:tc>
        <w:tc>
          <w:tcPr>
            <w:tcW w:w="0" w:type="auto"/>
            <w:tcBorders>
              <w:top w:val="nil"/>
              <w:left w:val="nil"/>
              <w:bottom w:val="nil"/>
              <w:right w:val="nil"/>
            </w:tcBorders>
            <w:shd w:val="clear" w:color="auto" w:fill="auto"/>
            <w:noWrap/>
            <w:vAlign w:val="bottom"/>
            <w:hideMark/>
          </w:tcPr>
          <w:p w14:paraId="636CD319" w14:textId="77777777" w:rsidR="00252AA4" w:rsidRDefault="00252AA4" w:rsidP="00252AA4">
            <w:pPr>
              <w:ind w:right="192"/>
              <w:jc w:val="right"/>
              <w:rPr>
                <w:rFonts w:cs="Arial"/>
                <w:color w:val="FF0000"/>
                <w:sz w:val="20"/>
                <w:szCs w:val="20"/>
              </w:rPr>
            </w:pPr>
            <w:r>
              <w:rPr>
                <w:rFonts w:cs="Arial"/>
                <w:color w:val="FF0000"/>
                <w:sz w:val="20"/>
                <w:szCs w:val="20"/>
              </w:rPr>
              <w:t>24.5%</w:t>
            </w:r>
          </w:p>
        </w:tc>
      </w:tr>
      <w:tr w:rsidR="00252AA4" w14:paraId="04496001"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40611FF8" w14:textId="77777777" w:rsidR="00252AA4" w:rsidRDefault="00252AA4">
            <w:pPr>
              <w:jc w:val="left"/>
              <w:rPr>
                <w:rFonts w:ascii="Calibri" w:hAnsi="Calibri" w:cs="Calibri"/>
                <w:color w:val="000000"/>
              </w:rPr>
            </w:pPr>
            <w:r>
              <w:rPr>
                <w:rFonts w:ascii="Calibri" w:hAnsi="Calibri" w:cs="Calibri"/>
                <w:color w:val="000000"/>
              </w:rPr>
              <w:t>Wairarapa</w:t>
            </w:r>
          </w:p>
        </w:tc>
        <w:tc>
          <w:tcPr>
            <w:tcW w:w="0" w:type="auto"/>
            <w:tcBorders>
              <w:top w:val="nil"/>
              <w:left w:val="nil"/>
              <w:bottom w:val="nil"/>
              <w:right w:val="nil"/>
            </w:tcBorders>
            <w:shd w:val="clear" w:color="auto" w:fill="auto"/>
            <w:noWrap/>
            <w:vAlign w:val="bottom"/>
            <w:hideMark/>
          </w:tcPr>
          <w:p w14:paraId="69144A87" w14:textId="77777777" w:rsidR="00252AA4" w:rsidRDefault="00252AA4" w:rsidP="00252AA4">
            <w:pPr>
              <w:ind w:right="192"/>
              <w:jc w:val="right"/>
              <w:rPr>
                <w:rFonts w:cs="Arial"/>
                <w:color w:val="auto"/>
                <w:sz w:val="20"/>
                <w:szCs w:val="20"/>
              </w:rPr>
            </w:pPr>
            <w:r>
              <w:rPr>
                <w:rFonts w:cs="Arial"/>
                <w:sz w:val="20"/>
                <w:szCs w:val="20"/>
              </w:rPr>
              <w:t>1.9</w:t>
            </w:r>
          </w:p>
        </w:tc>
        <w:tc>
          <w:tcPr>
            <w:tcW w:w="0" w:type="auto"/>
            <w:tcBorders>
              <w:top w:val="nil"/>
              <w:left w:val="nil"/>
              <w:bottom w:val="nil"/>
              <w:right w:val="nil"/>
            </w:tcBorders>
            <w:shd w:val="clear" w:color="auto" w:fill="auto"/>
            <w:noWrap/>
            <w:vAlign w:val="bottom"/>
            <w:hideMark/>
          </w:tcPr>
          <w:p w14:paraId="4A7C0A4A" w14:textId="77777777" w:rsidR="00252AA4" w:rsidRDefault="00252AA4" w:rsidP="00252AA4">
            <w:pPr>
              <w:ind w:right="192"/>
              <w:jc w:val="right"/>
              <w:rPr>
                <w:rFonts w:cs="Arial"/>
                <w:color w:val="FF0000"/>
                <w:sz w:val="20"/>
                <w:szCs w:val="20"/>
              </w:rPr>
            </w:pPr>
            <w:r>
              <w:rPr>
                <w:rFonts w:cs="Arial"/>
                <w:color w:val="FF0000"/>
                <w:sz w:val="20"/>
                <w:szCs w:val="20"/>
              </w:rPr>
              <w:t>4.0%</w:t>
            </w:r>
          </w:p>
        </w:tc>
        <w:tc>
          <w:tcPr>
            <w:tcW w:w="0" w:type="auto"/>
            <w:tcBorders>
              <w:top w:val="nil"/>
              <w:left w:val="nil"/>
              <w:bottom w:val="nil"/>
              <w:right w:val="nil"/>
            </w:tcBorders>
            <w:shd w:val="clear" w:color="auto" w:fill="auto"/>
            <w:noWrap/>
            <w:vAlign w:val="bottom"/>
            <w:hideMark/>
          </w:tcPr>
          <w:p w14:paraId="13A38C48" w14:textId="77777777" w:rsidR="00252AA4" w:rsidRDefault="00252AA4" w:rsidP="00252AA4">
            <w:pPr>
              <w:ind w:right="192"/>
              <w:jc w:val="right"/>
              <w:rPr>
                <w:rFonts w:cs="Arial"/>
                <w:color w:val="FF0000"/>
                <w:sz w:val="20"/>
                <w:szCs w:val="20"/>
              </w:rPr>
            </w:pPr>
            <w:r>
              <w:rPr>
                <w:rFonts w:cs="Arial"/>
                <w:color w:val="FF0000"/>
                <w:sz w:val="20"/>
                <w:szCs w:val="20"/>
              </w:rPr>
              <w:t>20.8%</w:t>
            </w:r>
          </w:p>
        </w:tc>
      </w:tr>
      <w:tr w:rsidR="00252AA4" w14:paraId="4B273608"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0DF4C289" w14:textId="77777777" w:rsidR="00252AA4" w:rsidRDefault="00252AA4">
            <w:pPr>
              <w:jc w:val="left"/>
              <w:rPr>
                <w:rFonts w:ascii="Calibri" w:hAnsi="Calibri" w:cs="Calibri"/>
                <w:color w:val="000000"/>
              </w:rPr>
            </w:pPr>
            <w:r>
              <w:rPr>
                <w:rFonts w:ascii="Calibri" w:hAnsi="Calibri" w:cs="Calibri"/>
                <w:color w:val="000000"/>
              </w:rPr>
              <w:t>Wellington</w:t>
            </w:r>
          </w:p>
        </w:tc>
        <w:tc>
          <w:tcPr>
            <w:tcW w:w="0" w:type="auto"/>
            <w:tcBorders>
              <w:top w:val="nil"/>
              <w:left w:val="nil"/>
              <w:bottom w:val="nil"/>
              <w:right w:val="nil"/>
            </w:tcBorders>
            <w:shd w:val="clear" w:color="auto" w:fill="auto"/>
            <w:noWrap/>
            <w:vAlign w:val="bottom"/>
            <w:hideMark/>
          </w:tcPr>
          <w:p w14:paraId="01D7AFC8" w14:textId="77777777" w:rsidR="00252AA4" w:rsidRDefault="00252AA4" w:rsidP="00252AA4">
            <w:pPr>
              <w:ind w:right="192"/>
              <w:jc w:val="right"/>
              <w:rPr>
                <w:rFonts w:cs="Arial"/>
                <w:color w:val="auto"/>
                <w:sz w:val="20"/>
                <w:szCs w:val="20"/>
              </w:rPr>
            </w:pPr>
            <w:r>
              <w:rPr>
                <w:rFonts w:cs="Arial"/>
                <w:sz w:val="20"/>
                <w:szCs w:val="20"/>
              </w:rPr>
              <w:t>24.9</w:t>
            </w:r>
          </w:p>
        </w:tc>
        <w:tc>
          <w:tcPr>
            <w:tcW w:w="0" w:type="auto"/>
            <w:tcBorders>
              <w:top w:val="nil"/>
              <w:left w:val="nil"/>
              <w:bottom w:val="nil"/>
              <w:right w:val="nil"/>
            </w:tcBorders>
            <w:shd w:val="clear" w:color="auto" w:fill="auto"/>
            <w:noWrap/>
            <w:vAlign w:val="bottom"/>
            <w:hideMark/>
          </w:tcPr>
          <w:p w14:paraId="4A7F2D00" w14:textId="77777777" w:rsidR="00252AA4" w:rsidRDefault="00252AA4" w:rsidP="00252AA4">
            <w:pPr>
              <w:ind w:right="192"/>
              <w:jc w:val="right"/>
              <w:rPr>
                <w:rFonts w:cs="Arial"/>
                <w:color w:val="FF0000"/>
                <w:sz w:val="20"/>
                <w:szCs w:val="20"/>
              </w:rPr>
            </w:pPr>
            <w:r>
              <w:rPr>
                <w:rFonts w:cs="Arial"/>
                <w:color w:val="FF0000"/>
                <w:sz w:val="20"/>
                <w:szCs w:val="20"/>
              </w:rPr>
              <w:t>6.6%</w:t>
            </w:r>
          </w:p>
        </w:tc>
        <w:tc>
          <w:tcPr>
            <w:tcW w:w="0" w:type="auto"/>
            <w:tcBorders>
              <w:top w:val="nil"/>
              <w:left w:val="nil"/>
              <w:bottom w:val="nil"/>
              <w:right w:val="nil"/>
            </w:tcBorders>
            <w:shd w:val="clear" w:color="auto" w:fill="auto"/>
            <w:noWrap/>
            <w:vAlign w:val="bottom"/>
            <w:hideMark/>
          </w:tcPr>
          <w:p w14:paraId="0BEE2C53" w14:textId="77777777" w:rsidR="00252AA4" w:rsidRDefault="00252AA4" w:rsidP="00252AA4">
            <w:pPr>
              <w:ind w:right="192"/>
              <w:jc w:val="right"/>
              <w:rPr>
                <w:rFonts w:cs="Arial"/>
                <w:color w:val="FF0000"/>
                <w:sz w:val="20"/>
                <w:szCs w:val="20"/>
              </w:rPr>
            </w:pPr>
            <w:r>
              <w:rPr>
                <w:rFonts w:cs="Arial"/>
                <w:color w:val="FF0000"/>
                <w:sz w:val="20"/>
                <w:szCs w:val="20"/>
              </w:rPr>
              <w:t>-4.7%</w:t>
            </w:r>
          </w:p>
        </w:tc>
      </w:tr>
      <w:tr w:rsidR="00252AA4" w14:paraId="1BAC9E15"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3A50AE7E" w14:textId="77777777" w:rsidR="00252AA4" w:rsidRDefault="00252AA4">
            <w:pPr>
              <w:jc w:val="left"/>
              <w:rPr>
                <w:rFonts w:ascii="Calibri" w:hAnsi="Calibri" w:cs="Calibri"/>
                <w:color w:val="000000"/>
              </w:rPr>
            </w:pPr>
            <w:r>
              <w:rPr>
                <w:rFonts w:ascii="Calibri" w:hAnsi="Calibri" w:cs="Calibri"/>
                <w:color w:val="000000"/>
              </w:rPr>
              <w:t>Nelson</w:t>
            </w:r>
          </w:p>
        </w:tc>
        <w:tc>
          <w:tcPr>
            <w:tcW w:w="0" w:type="auto"/>
            <w:tcBorders>
              <w:top w:val="nil"/>
              <w:left w:val="nil"/>
              <w:bottom w:val="nil"/>
              <w:right w:val="nil"/>
            </w:tcBorders>
            <w:shd w:val="clear" w:color="auto" w:fill="auto"/>
            <w:noWrap/>
            <w:vAlign w:val="bottom"/>
            <w:hideMark/>
          </w:tcPr>
          <w:p w14:paraId="4442EC98" w14:textId="77777777" w:rsidR="00252AA4" w:rsidRDefault="00252AA4" w:rsidP="00252AA4">
            <w:pPr>
              <w:ind w:right="192"/>
              <w:jc w:val="right"/>
              <w:rPr>
                <w:rFonts w:cs="Arial"/>
                <w:color w:val="auto"/>
                <w:sz w:val="20"/>
                <w:szCs w:val="20"/>
              </w:rPr>
            </w:pPr>
            <w:r>
              <w:rPr>
                <w:rFonts w:cs="Arial"/>
                <w:sz w:val="20"/>
                <w:szCs w:val="20"/>
              </w:rPr>
              <w:t>5.2</w:t>
            </w:r>
          </w:p>
        </w:tc>
        <w:tc>
          <w:tcPr>
            <w:tcW w:w="0" w:type="auto"/>
            <w:tcBorders>
              <w:top w:val="nil"/>
              <w:left w:val="nil"/>
              <w:bottom w:val="nil"/>
              <w:right w:val="nil"/>
            </w:tcBorders>
            <w:shd w:val="clear" w:color="auto" w:fill="auto"/>
            <w:noWrap/>
            <w:vAlign w:val="bottom"/>
            <w:hideMark/>
          </w:tcPr>
          <w:p w14:paraId="567B4E5F" w14:textId="77777777" w:rsidR="00252AA4" w:rsidRDefault="00252AA4" w:rsidP="00252AA4">
            <w:pPr>
              <w:ind w:right="192"/>
              <w:jc w:val="right"/>
              <w:rPr>
                <w:rFonts w:cs="Arial"/>
                <w:color w:val="FF0000"/>
                <w:sz w:val="20"/>
                <w:szCs w:val="20"/>
              </w:rPr>
            </w:pPr>
            <w:r>
              <w:rPr>
                <w:rFonts w:cs="Arial"/>
                <w:color w:val="FF0000"/>
                <w:sz w:val="20"/>
                <w:szCs w:val="20"/>
              </w:rPr>
              <w:t>31.8%</w:t>
            </w:r>
          </w:p>
        </w:tc>
        <w:tc>
          <w:tcPr>
            <w:tcW w:w="0" w:type="auto"/>
            <w:tcBorders>
              <w:top w:val="nil"/>
              <w:left w:val="nil"/>
              <w:bottom w:val="nil"/>
              <w:right w:val="nil"/>
            </w:tcBorders>
            <w:shd w:val="clear" w:color="auto" w:fill="auto"/>
            <w:noWrap/>
            <w:vAlign w:val="bottom"/>
            <w:hideMark/>
          </w:tcPr>
          <w:p w14:paraId="537A7378" w14:textId="77777777" w:rsidR="00252AA4" w:rsidRDefault="00252AA4" w:rsidP="00252AA4">
            <w:pPr>
              <w:ind w:right="192"/>
              <w:jc w:val="right"/>
              <w:rPr>
                <w:rFonts w:cs="Arial"/>
                <w:color w:val="FF0000"/>
                <w:sz w:val="20"/>
                <w:szCs w:val="20"/>
              </w:rPr>
            </w:pPr>
            <w:r>
              <w:rPr>
                <w:rFonts w:cs="Arial"/>
                <w:color w:val="FF0000"/>
                <w:sz w:val="20"/>
                <w:szCs w:val="20"/>
              </w:rPr>
              <w:t>15.9%</w:t>
            </w:r>
          </w:p>
        </w:tc>
      </w:tr>
      <w:tr w:rsidR="00252AA4" w14:paraId="7A460BB4"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48395D27" w14:textId="77777777" w:rsidR="00252AA4" w:rsidRDefault="00252AA4">
            <w:pPr>
              <w:jc w:val="left"/>
              <w:rPr>
                <w:rFonts w:ascii="Calibri" w:hAnsi="Calibri" w:cs="Calibri"/>
                <w:color w:val="000000"/>
              </w:rPr>
            </w:pPr>
            <w:r>
              <w:rPr>
                <w:rFonts w:ascii="Calibri" w:hAnsi="Calibri" w:cs="Calibri"/>
                <w:color w:val="000000"/>
              </w:rPr>
              <w:t>Marlborough</w:t>
            </w:r>
          </w:p>
        </w:tc>
        <w:tc>
          <w:tcPr>
            <w:tcW w:w="0" w:type="auto"/>
            <w:tcBorders>
              <w:top w:val="nil"/>
              <w:left w:val="nil"/>
              <w:bottom w:val="nil"/>
              <w:right w:val="nil"/>
            </w:tcBorders>
            <w:shd w:val="clear" w:color="auto" w:fill="auto"/>
            <w:noWrap/>
            <w:vAlign w:val="bottom"/>
            <w:hideMark/>
          </w:tcPr>
          <w:p w14:paraId="5BB76C9F" w14:textId="77777777" w:rsidR="00252AA4" w:rsidRDefault="00252AA4" w:rsidP="00252AA4">
            <w:pPr>
              <w:ind w:right="192"/>
              <w:jc w:val="right"/>
              <w:rPr>
                <w:rFonts w:cs="Arial"/>
                <w:color w:val="auto"/>
                <w:sz w:val="20"/>
                <w:szCs w:val="20"/>
              </w:rPr>
            </w:pPr>
            <w:r>
              <w:rPr>
                <w:rFonts w:cs="Arial"/>
                <w:sz w:val="20"/>
                <w:szCs w:val="20"/>
              </w:rPr>
              <w:t>3.8</w:t>
            </w:r>
          </w:p>
        </w:tc>
        <w:tc>
          <w:tcPr>
            <w:tcW w:w="0" w:type="auto"/>
            <w:tcBorders>
              <w:top w:val="nil"/>
              <w:left w:val="nil"/>
              <w:bottom w:val="nil"/>
              <w:right w:val="nil"/>
            </w:tcBorders>
            <w:shd w:val="clear" w:color="auto" w:fill="auto"/>
            <w:noWrap/>
            <w:vAlign w:val="bottom"/>
            <w:hideMark/>
          </w:tcPr>
          <w:p w14:paraId="26CEE63B" w14:textId="77777777" w:rsidR="00252AA4" w:rsidRDefault="00252AA4" w:rsidP="00252AA4">
            <w:pPr>
              <w:ind w:right="192"/>
              <w:jc w:val="right"/>
              <w:rPr>
                <w:rFonts w:cs="Arial"/>
                <w:color w:val="FF0000"/>
                <w:sz w:val="20"/>
                <w:szCs w:val="20"/>
              </w:rPr>
            </w:pPr>
            <w:r>
              <w:rPr>
                <w:rFonts w:cs="Arial"/>
                <w:color w:val="FF0000"/>
                <w:sz w:val="20"/>
                <w:szCs w:val="20"/>
              </w:rPr>
              <w:t>17.1%</w:t>
            </w:r>
          </w:p>
        </w:tc>
        <w:tc>
          <w:tcPr>
            <w:tcW w:w="0" w:type="auto"/>
            <w:tcBorders>
              <w:top w:val="nil"/>
              <w:left w:val="nil"/>
              <w:bottom w:val="nil"/>
              <w:right w:val="nil"/>
            </w:tcBorders>
            <w:shd w:val="clear" w:color="auto" w:fill="auto"/>
            <w:noWrap/>
            <w:vAlign w:val="bottom"/>
            <w:hideMark/>
          </w:tcPr>
          <w:p w14:paraId="6A63306F" w14:textId="77777777" w:rsidR="00252AA4" w:rsidRDefault="00252AA4" w:rsidP="00252AA4">
            <w:pPr>
              <w:ind w:right="192"/>
              <w:jc w:val="right"/>
              <w:rPr>
                <w:rFonts w:cs="Arial"/>
                <w:color w:val="FF0000"/>
                <w:sz w:val="20"/>
                <w:szCs w:val="20"/>
              </w:rPr>
            </w:pPr>
            <w:r>
              <w:rPr>
                <w:rFonts w:cs="Arial"/>
                <w:color w:val="FF0000"/>
                <w:sz w:val="20"/>
                <w:szCs w:val="20"/>
              </w:rPr>
              <w:t>-1.7%</w:t>
            </w:r>
          </w:p>
        </w:tc>
      </w:tr>
      <w:tr w:rsidR="00252AA4" w14:paraId="19D13198"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6C3C027B" w14:textId="77777777" w:rsidR="00252AA4" w:rsidRDefault="00252AA4">
            <w:pPr>
              <w:jc w:val="left"/>
              <w:rPr>
                <w:rFonts w:ascii="Calibri" w:hAnsi="Calibri" w:cs="Calibri"/>
                <w:color w:val="000000"/>
              </w:rPr>
            </w:pPr>
            <w:r>
              <w:rPr>
                <w:rFonts w:ascii="Calibri" w:hAnsi="Calibri" w:cs="Calibri"/>
                <w:color w:val="000000"/>
              </w:rPr>
              <w:t>West Coast</w:t>
            </w:r>
          </w:p>
        </w:tc>
        <w:tc>
          <w:tcPr>
            <w:tcW w:w="0" w:type="auto"/>
            <w:tcBorders>
              <w:top w:val="nil"/>
              <w:left w:val="nil"/>
              <w:bottom w:val="nil"/>
              <w:right w:val="nil"/>
            </w:tcBorders>
            <w:shd w:val="clear" w:color="auto" w:fill="auto"/>
            <w:noWrap/>
            <w:vAlign w:val="bottom"/>
            <w:hideMark/>
          </w:tcPr>
          <w:p w14:paraId="55381FE5" w14:textId="77777777" w:rsidR="00252AA4" w:rsidRDefault="00252AA4" w:rsidP="00252AA4">
            <w:pPr>
              <w:ind w:right="192"/>
              <w:jc w:val="right"/>
              <w:rPr>
                <w:rFonts w:cs="Arial"/>
                <w:color w:val="auto"/>
                <w:sz w:val="20"/>
                <w:szCs w:val="20"/>
              </w:rPr>
            </w:pPr>
            <w:r>
              <w:rPr>
                <w:rFonts w:cs="Arial"/>
                <w:sz w:val="20"/>
                <w:szCs w:val="20"/>
              </w:rPr>
              <w:t>1.9</w:t>
            </w:r>
          </w:p>
        </w:tc>
        <w:tc>
          <w:tcPr>
            <w:tcW w:w="0" w:type="auto"/>
            <w:tcBorders>
              <w:top w:val="nil"/>
              <w:left w:val="nil"/>
              <w:bottom w:val="nil"/>
              <w:right w:val="nil"/>
            </w:tcBorders>
            <w:shd w:val="clear" w:color="auto" w:fill="auto"/>
            <w:noWrap/>
            <w:vAlign w:val="bottom"/>
            <w:hideMark/>
          </w:tcPr>
          <w:p w14:paraId="652C6DBB" w14:textId="77777777" w:rsidR="00252AA4" w:rsidRDefault="00252AA4" w:rsidP="00252AA4">
            <w:pPr>
              <w:ind w:right="192"/>
              <w:jc w:val="right"/>
              <w:rPr>
                <w:rFonts w:cs="Arial"/>
                <w:color w:val="FF0000"/>
                <w:sz w:val="20"/>
                <w:szCs w:val="20"/>
              </w:rPr>
            </w:pPr>
            <w:r>
              <w:rPr>
                <w:rFonts w:cs="Arial"/>
                <w:color w:val="FF0000"/>
                <w:sz w:val="20"/>
                <w:szCs w:val="20"/>
              </w:rPr>
              <w:t>46.8%</w:t>
            </w:r>
          </w:p>
        </w:tc>
        <w:tc>
          <w:tcPr>
            <w:tcW w:w="0" w:type="auto"/>
            <w:tcBorders>
              <w:top w:val="nil"/>
              <w:left w:val="nil"/>
              <w:bottom w:val="nil"/>
              <w:right w:val="nil"/>
            </w:tcBorders>
            <w:shd w:val="clear" w:color="auto" w:fill="auto"/>
            <w:noWrap/>
            <w:vAlign w:val="bottom"/>
            <w:hideMark/>
          </w:tcPr>
          <w:p w14:paraId="747A7B18" w14:textId="77777777" w:rsidR="00252AA4" w:rsidRDefault="00252AA4" w:rsidP="00252AA4">
            <w:pPr>
              <w:ind w:right="192"/>
              <w:jc w:val="right"/>
              <w:rPr>
                <w:rFonts w:cs="Arial"/>
                <w:color w:val="FF0000"/>
                <w:sz w:val="20"/>
                <w:szCs w:val="20"/>
              </w:rPr>
            </w:pPr>
            <w:r>
              <w:rPr>
                <w:rFonts w:cs="Arial"/>
                <w:color w:val="FF0000"/>
                <w:sz w:val="20"/>
                <w:szCs w:val="20"/>
              </w:rPr>
              <w:t>34.8%</w:t>
            </w:r>
          </w:p>
        </w:tc>
      </w:tr>
      <w:tr w:rsidR="00252AA4" w14:paraId="02EBCFBE"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09686106" w14:textId="77777777" w:rsidR="00252AA4" w:rsidRDefault="00252AA4">
            <w:pPr>
              <w:jc w:val="left"/>
              <w:rPr>
                <w:rFonts w:ascii="Calibri" w:hAnsi="Calibri" w:cs="Calibri"/>
                <w:color w:val="000000"/>
              </w:rPr>
            </w:pPr>
            <w:r>
              <w:rPr>
                <w:rFonts w:ascii="Calibri" w:hAnsi="Calibri" w:cs="Calibri"/>
                <w:color w:val="000000"/>
              </w:rPr>
              <w:t>Canterbury</w:t>
            </w:r>
          </w:p>
        </w:tc>
        <w:tc>
          <w:tcPr>
            <w:tcW w:w="0" w:type="auto"/>
            <w:tcBorders>
              <w:top w:val="nil"/>
              <w:left w:val="nil"/>
              <w:bottom w:val="nil"/>
              <w:right w:val="nil"/>
            </w:tcBorders>
            <w:shd w:val="clear" w:color="auto" w:fill="auto"/>
            <w:noWrap/>
            <w:vAlign w:val="bottom"/>
            <w:hideMark/>
          </w:tcPr>
          <w:p w14:paraId="045EDDA1" w14:textId="77777777" w:rsidR="00252AA4" w:rsidRDefault="00252AA4" w:rsidP="00252AA4">
            <w:pPr>
              <w:ind w:right="192"/>
              <w:jc w:val="right"/>
              <w:rPr>
                <w:rFonts w:cs="Arial"/>
                <w:color w:val="auto"/>
                <w:sz w:val="20"/>
                <w:szCs w:val="20"/>
              </w:rPr>
            </w:pPr>
            <w:r>
              <w:rPr>
                <w:rFonts w:cs="Arial"/>
                <w:sz w:val="20"/>
                <w:szCs w:val="20"/>
              </w:rPr>
              <w:t>27.6</w:t>
            </w:r>
          </w:p>
        </w:tc>
        <w:tc>
          <w:tcPr>
            <w:tcW w:w="0" w:type="auto"/>
            <w:tcBorders>
              <w:top w:val="nil"/>
              <w:left w:val="nil"/>
              <w:bottom w:val="nil"/>
              <w:right w:val="nil"/>
            </w:tcBorders>
            <w:shd w:val="clear" w:color="auto" w:fill="auto"/>
            <w:noWrap/>
            <w:vAlign w:val="bottom"/>
            <w:hideMark/>
          </w:tcPr>
          <w:p w14:paraId="466910AD" w14:textId="77777777" w:rsidR="00252AA4" w:rsidRDefault="00252AA4" w:rsidP="00252AA4">
            <w:pPr>
              <w:ind w:right="192"/>
              <w:jc w:val="right"/>
              <w:rPr>
                <w:rFonts w:cs="Arial"/>
                <w:color w:val="FF0000"/>
                <w:sz w:val="20"/>
                <w:szCs w:val="20"/>
              </w:rPr>
            </w:pPr>
            <w:r>
              <w:rPr>
                <w:rFonts w:cs="Arial"/>
                <w:color w:val="FF0000"/>
                <w:sz w:val="20"/>
                <w:szCs w:val="20"/>
              </w:rPr>
              <w:t>13.8%</w:t>
            </w:r>
          </w:p>
        </w:tc>
        <w:tc>
          <w:tcPr>
            <w:tcW w:w="0" w:type="auto"/>
            <w:tcBorders>
              <w:top w:val="nil"/>
              <w:left w:val="nil"/>
              <w:bottom w:val="nil"/>
              <w:right w:val="nil"/>
            </w:tcBorders>
            <w:shd w:val="clear" w:color="auto" w:fill="auto"/>
            <w:noWrap/>
            <w:vAlign w:val="bottom"/>
            <w:hideMark/>
          </w:tcPr>
          <w:p w14:paraId="47B1969D" w14:textId="77777777" w:rsidR="00252AA4" w:rsidRDefault="00252AA4" w:rsidP="00252AA4">
            <w:pPr>
              <w:ind w:right="192"/>
              <w:jc w:val="right"/>
              <w:rPr>
                <w:rFonts w:cs="Arial"/>
                <w:color w:val="FF0000"/>
                <w:sz w:val="20"/>
                <w:szCs w:val="20"/>
              </w:rPr>
            </w:pPr>
            <w:r>
              <w:rPr>
                <w:rFonts w:cs="Arial"/>
                <w:color w:val="FF0000"/>
                <w:sz w:val="20"/>
                <w:szCs w:val="20"/>
              </w:rPr>
              <w:t>6.0%</w:t>
            </w:r>
          </w:p>
        </w:tc>
      </w:tr>
      <w:tr w:rsidR="00252AA4" w14:paraId="4365FBB6"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2B8D632C" w14:textId="77777777" w:rsidR="00252AA4" w:rsidRDefault="00252AA4">
            <w:pPr>
              <w:jc w:val="left"/>
              <w:rPr>
                <w:rFonts w:ascii="Calibri" w:hAnsi="Calibri" w:cs="Calibri"/>
                <w:color w:val="000000"/>
              </w:rPr>
            </w:pPr>
            <w:r>
              <w:rPr>
                <w:rFonts w:ascii="Calibri" w:hAnsi="Calibri" w:cs="Calibri"/>
                <w:color w:val="000000"/>
              </w:rPr>
              <w:t>South Canterbury</w:t>
            </w:r>
          </w:p>
        </w:tc>
        <w:tc>
          <w:tcPr>
            <w:tcW w:w="0" w:type="auto"/>
            <w:tcBorders>
              <w:top w:val="nil"/>
              <w:left w:val="nil"/>
              <w:bottom w:val="nil"/>
              <w:right w:val="nil"/>
            </w:tcBorders>
            <w:shd w:val="clear" w:color="auto" w:fill="auto"/>
            <w:noWrap/>
            <w:vAlign w:val="bottom"/>
            <w:hideMark/>
          </w:tcPr>
          <w:p w14:paraId="6A225CD6" w14:textId="77777777" w:rsidR="00252AA4" w:rsidRDefault="00252AA4" w:rsidP="00252AA4">
            <w:pPr>
              <w:ind w:right="192"/>
              <w:jc w:val="right"/>
              <w:rPr>
                <w:rFonts w:cs="Arial"/>
                <w:color w:val="auto"/>
                <w:sz w:val="20"/>
                <w:szCs w:val="20"/>
              </w:rPr>
            </w:pPr>
            <w:r>
              <w:rPr>
                <w:rFonts w:cs="Arial"/>
                <w:sz w:val="20"/>
                <w:szCs w:val="20"/>
              </w:rPr>
              <w:t>3.5</w:t>
            </w:r>
          </w:p>
        </w:tc>
        <w:tc>
          <w:tcPr>
            <w:tcW w:w="0" w:type="auto"/>
            <w:tcBorders>
              <w:top w:val="nil"/>
              <w:left w:val="nil"/>
              <w:bottom w:val="nil"/>
              <w:right w:val="nil"/>
            </w:tcBorders>
            <w:shd w:val="clear" w:color="auto" w:fill="auto"/>
            <w:noWrap/>
            <w:vAlign w:val="bottom"/>
            <w:hideMark/>
          </w:tcPr>
          <w:p w14:paraId="43506405" w14:textId="77777777" w:rsidR="00252AA4" w:rsidRDefault="00252AA4" w:rsidP="00252AA4">
            <w:pPr>
              <w:ind w:right="192"/>
              <w:jc w:val="right"/>
              <w:rPr>
                <w:rFonts w:cs="Arial"/>
                <w:color w:val="FF0000"/>
                <w:sz w:val="20"/>
                <w:szCs w:val="20"/>
              </w:rPr>
            </w:pPr>
            <w:r>
              <w:rPr>
                <w:rFonts w:cs="Arial"/>
                <w:color w:val="FF0000"/>
                <w:sz w:val="20"/>
                <w:szCs w:val="20"/>
              </w:rPr>
              <w:t>14.1%</w:t>
            </w:r>
          </w:p>
        </w:tc>
        <w:tc>
          <w:tcPr>
            <w:tcW w:w="0" w:type="auto"/>
            <w:tcBorders>
              <w:top w:val="nil"/>
              <w:left w:val="nil"/>
              <w:bottom w:val="nil"/>
              <w:right w:val="nil"/>
            </w:tcBorders>
            <w:shd w:val="clear" w:color="auto" w:fill="auto"/>
            <w:noWrap/>
            <w:vAlign w:val="bottom"/>
            <w:hideMark/>
          </w:tcPr>
          <w:p w14:paraId="7E19EB54" w14:textId="77777777" w:rsidR="00252AA4" w:rsidRDefault="00252AA4" w:rsidP="00252AA4">
            <w:pPr>
              <w:ind w:right="192"/>
              <w:jc w:val="right"/>
              <w:rPr>
                <w:rFonts w:cs="Arial"/>
                <w:color w:val="FF0000"/>
                <w:sz w:val="20"/>
                <w:szCs w:val="20"/>
              </w:rPr>
            </w:pPr>
            <w:r>
              <w:rPr>
                <w:rFonts w:cs="Arial"/>
                <w:color w:val="FF0000"/>
                <w:sz w:val="20"/>
                <w:szCs w:val="20"/>
              </w:rPr>
              <w:t>10.3%</w:t>
            </w:r>
          </w:p>
        </w:tc>
      </w:tr>
      <w:tr w:rsidR="00252AA4" w14:paraId="04D9503D"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3A765B3F" w14:textId="77777777" w:rsidR="00252AA4" w:rsidRDefault="00252AA4">
            <w:pPr>
              <w:jc w:val="left"/>
              <w:rPr>
                <w:rFonts w:ascii="Calibri" w:hAnsi="Calibri" w:cs="Calibri"/>
                <w:color w:val="000000"/>
              </w:rPr>
            </w:pPr>
            <w:r>
              <w:rPr>
                <w:rFonts w:ascii="Calibri" w:hAnsi="Calibri" w:cs="Calibri"/>
                <w:color w:val="000000"/>
              </w:rPr>
              <w:t>Otago</w:t>
            </w:r>
          </w:p>
        </w:tc>
        <w:tc>
          <w:tcPr>
            <w:tcW w:w="0" w:type="auto"/>
            <w:tcBorders>
              <w:top w:val="nil"/>
              <w:left w:val="nil"/>
              <w:bottom w:val="nil"/>
              <w:right w:val="nil"/>
            </w:tcBorders>
            <w:shd w:val="clear" w:color="auto" w:fill="auto"/>
            <w:noWrap/>
            <w:vAlign w:val="bottom"/>
            <w:hideMark/>
          </w:tcPr>
          <w:p w14:paraId="69974977" w14:textId="77777777" w:rsidR="00252AA4" w:rsidRDefault="00252AA4" w:rsidP="00252AA4">
            <w:pPr>
              <w:ind w:right="192"/>
              <w:jc w:val="right"/>
              <w:rPr>
                <w:rFonts w:cs="Arial"/>
                <w:color w:val="auto"/>
                <w:sz w:val="20"/>
                <w:szCs w:val="20"/>
              </w:rPr>
            </w:pPr>
            <w:r>
              <w:rPr>
                <w:rFonts w:cs="Arial"/>
                <w:sz w:val="20"/>
                <w:szCs w:val="20"/>
              </w:rPr>
              <w:t>17.0</w:t>
            </w:r>
          </w:p>
        </w:tc>
        <w:tc>
          <w:tcPr>
            <w:tcW w:w="0" w:type="auto"/>
            <w:tcBorders>
              <w:top w:val="nil"/>
              <w:left w:val="nil"/>
              <w:bottom w:val="nil"/>
              <w:right w:val="nil"/>
            </w:tcBorders>
            <w:shd w:val="clear" w:color="auto" w:fill="auto"/>
            <w:noWrap/>
            <w:vAlign w:val="bottom"/>
            <w:hideMark/>
          </w:tcPr>
          <w:p w14:paraId="6BEA424E" w14:textId="77777777" w:rsidR="00252AA4" w:rsidRDefault="00252AA4" w:rsidP="00252AA4">
            <w:pPr>
              <w:ind w:right="192"/>
              <w:jc w:val="right"/>
              <w:rPr>
                <w:rFonts w:cs="Arial"/>
                <w:color w:val="FF0000"/>
                <w:sz w:val="20"/>
                <w:szCs w:val="20"/>
              </w:rPr>
            </w:pPr>
            <w:r>
              <w:rPr>
                <w:rFonts w:cs="Arial"/>
                <w:color w:val="FF0000"/>
                <w:sz w:val="20"/>
                <w:szCs w:val="20"/>
              </w:rPr>
              <w:t>44.1%</w:t>
            </w:r>
          </w:p>
        </w:tc>
        <w:tc>
          <w:tcPr>
            <w:tcW w:w="0" w:type="auto"/>
            <w:tcBorders>
              <w:top w:val="nil"/>
              <w:left w:val="nil"/>
              <w:bottom w:val="nil"/>
              <w:right w:val="nil"/>
            </w:tcBorders>
            <w:shd w:val="clear" w:color="auto" w:fill="auto"/>
            <w:noWrap/>
            <w:vAlign w:val="bottom"/>
            <w:hideMark/>
          </w:tcPr>
          <w:p w14:paraId="14FE8FA4" w14:textId="77777777" w:rsidR="00252AA4" w:rsidRDefault="00252AA4" w:rsidP="00252AA4">
            <w:pPr>
              <w:ind w:right="192"/>
              <w:jc w:val="right"/>
              <w:rPr>
                <w:rFonts w:cs="Arial"/>
                <w:color w:val="FF0000"/>
                <w:sz w:val="20"/>
                <w:szCs w:val="20"/>
              </w:rPr>
            </w:pPr>
            <w:r>
              <w:rPr>
                <w:rFonts w:cs="Arial"/>
                <w:color w:val="FF0000"/>
                <w:sz w:val="20"/>
                <w:szCs w:val="20"/>
              </w:rPr>
              <w:t>-8.6%</w:t>
            </w:r>
          </w:p>
        </w:tc>
      </w:tr>
      <w:tr w:rsidR="00252AA4" w14:paraId="1ADA5859"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1FE7D67B" w14:textId="77777777" w:rsidR="00252AA4" w:rsidRDefault="00252AA4">
            <w:pPr>
              <w:jc w:val="left"/>
              <w:rPr>
                <w:rFonts w:ascii="Calibri" w:hAnsi="Calibri" w:cs="Calibri"/>
                <w:color w:val="000000"/>
              </w:rPr>
            </w:pPr>
            <w:r>
              <w:rPr>
                <w:rFonts w:ascii="Calibri" w:hAnsi="Calibri" w:cs="Calibri"/>
                <w:color w:val="000000"/>
              </w:rPr>
              <w:t>Southland</w:t>
            </w:r>
          </w:p>
        </w:tc>
        <w:tc>
          <w:tcPr>
            <w:tcW w:w="0" w:type="auto"/>
            <w:tcBorders>
              <w:top w:val="nil"/>
              <w:left w:val="nil"/>
              <w:bottom w:val="nil"/>
              <w:right w:val="nil"/>
            </w:tcBorders>
            <w:shd w:val="clear" w:color="auto" w:fill="auto"/>
            <w:noWrap/>
            <w:vAlign w:val="bottom"/>
            <w:hideMark/>
          </w:tcPr>
          <w:p w14:paraId="1C1BE781" w14:textId="77777777" w:rsidR="00252AA4" w:rsidRDefault="00252AA4" w:rsidP="00252AA4">
            <w:pPr>
              <w:ind w:right="192"/>
              <w:jc w:val="right"/>
              <w:rPr>
                <w:rFonts w:cs="Arial"/>
                <w:color w:val="auto"/>
                <w:sz w:val="20"/>
                <w:szCs w:val="20"/>
              </w:rPr>
            </w:pPr>
            <w:r>
              <w:rPr>
                <w:rFonts w:cs="Arial"/>
                <w:sz w:val="20"/>
                <w:szCs w:val="20"/>
              </w:rPr>
              <w:t>7.8</w:t>
            </w:r>
          </w:p>
        </w:tc>
        <w:tc>
          <w:tcPr>
            <w:tcW w:w="0" w:type="auto"/>
            <w:tcBorders>
              <w:top w:val="nil"/>
              <w:left w:val="nil"/>
              <w:bottom w:val="nil"/>
              <w:right w:val="nil"/>
            </w:tcBorders>
            <w:shd w:val="clear" w:color="auto" w:fill="auto"/>
            <w:noWrap/>
            <w:vAlign w:val="bottom"/>
            <w:hideMark/>
          </w:tcPr>
          <w:p w14:paraId="758D09E4" w14:textId="77777777" w:rsidR="00252AA4" w:rsidRDefault="00252AA4" w:rsidP="00252AA4">
            <w:pPr>
              <w:ind w:right="192"/>
              <w:jc w:val="right"/>
              <w:rPr>
                <w:rFonts w:cs="Arial"/>
                <w:color w:val="FF0000"/>
                <w:sz w:val="20"/>
                <w:szCs w:val="20"/>
              </w:rPr>
            </w:pPr>
            <w:r>
              <w:rPr>
                <w:rFonts w:cs="Arial"/>
                <w:color w:val="FF0000"/>
                <w:sz w:val="20"/>
                <w:szCs w:val="20"/>
              </w:rPr>
              <w:t>40.9%</w:t>
            </w:r>
          </w:p>
        </w:tc>
        <w:tc>
          <w:tcPr>
            <w:tcW w:w="0" w:type="auto"/>
            <w:tcBorders>
              <w:top w:val="nil"/>
              <w:left w:val="nil"/>
              <w:bottom w:val="nil"/>
              <w:right w:val="nil"/>
            </w:tcBorders>
            <w:shd w:val="clear" w:color="auto" w:fill="auto"/>
            <w:noWrap/>
            <w:vAlign w:val="bottom"/>
            <w:hideMark/>
          </w:tcPr>
          <w:p w14:paraId="3EC15B5A" w14:textId="77777777" w:rsidR="00252AA4" w:rsidRDefault="00252AA4" w:rsidP="00252AA4">
            <w:pPr>
              <w:ind w:right="192"/>
              <w:jc w:val="right"/>
              <w:rPr>
                <w:rFonts w:cs="Arial"/>
                <w:color w:val="FF0000"/>
                <w:sz w:val="20"/>
                <w:szCs w:val="20"/>
              </w:rPr>
            </w:pPr>
            <w:r>
              <w:rPr>
                <w:rFonts w:cs="Arial"/>
                <w:color w:val="FF0000"/>
                <w:sz w:val="20"/>
                <w:szCs w:val="20"/>
              </w:rPr>
              <w:t>1.6%</w:t>
            </w:r>
          </w:p>
        </w:tc>
      </w:tr>
      <w:tr w:rsidR="00252AA4" w14:paraId="21EC914E" w14:textId="77777777" w:rsidTr="00252AA4">
        <w:trPr>
          <w:trHeight w:val="290"/>
          <w:jc w:val="center"/>
        </w:trPr>
        <w:tc>
          <w:tcPr>
            <w:tcW w:w="0" w:type="auto"/>
            <w:tcBorders>
              <w:top w:val="nil"/>
              <w:left w:val="nil"/>
              <w:bottom w:val="nil"/>
              <w:right w:val="nil"/>
            </w:tcBorders>
            <w:shd w:val="clear" w:color="auto" w:fill="auto"/>
            <w:noWrap/>
            <w:vAlign w:val="bottom"/>
            <w:hideMark/>
          </w:tcPr>
          <w:p w14:paraId="457C2134" w14:textId="77777777" w:rsidR="00252AA4" w:rsidRDefault="00252AA4">
            <w:pPr>
              <w:jc w:val="left"/>
              <w:rPr>
                <w:rFonts w:cs="Arial"/>
                <w:b/>
                <w:bCs/>
                <w:color w:val="auto"/>
                <w:sz w:val="20"/>
                <w:szCs w:val="20"/>
              </w:rPr>
            </w:pPr>
            <w:r>
              <w:rPr>
                <w:rFonts w:cs="Arial"/>
                <w:b/>
                <w:bCs/>
                <w:sz w:val="20"/>
                <w:szCs w:val="20"/>
              </w:rPr>
              <w:t>New Zealand</w:t>
            </w:r>
          </w:p>
        </w:tc>
        <w:tc>
          <w:tcPr>
            <w:tcW w:w="0" w:type="auto"/>
            <w:tcBorders>
              <w:top w:val="nil"/>
              <w:left w:val="nil"/>
              <w:bottom w:val="nil"/>
              <w:right w:val="nil"/>
            </w:tcBorders>
            <w:shd w:val="clear" w:color="auto" w:fill="auto"/>
            <w:noWrap/>
            <w:vAlign w:val="bottom"/>
            <w:hideMark/>
          </w:tcPr>
          <w:p w14:paraId="46129DAF" w14:textId="77777777" w:rsidR="00252AA4" w:rsidRDefault="00252AA4" w:rsidP="00252AA4">
            <w:pPr>
              <w:ind w:right="192"/>
              <w:jc w:val="right"/>
              <w:rPr>
                <w:rFonts w:cs="Arial"/>
                <w:b/>
                <w:bCs/>
                <w:sz w:val="20"/>
                <w:szCs w:val="20"/>
              </w:rPr>
            </w:pPr>
            <w:r>
              <w:rPr>
                <w:rFonts w:cs="Arial"/>
                <w:b/>
                <w:bCs/>
                <w:sz w:val="20"/>
                <w:szCs w:val="20"/>
              </w:rPr>
              <w:t>253.6</w:t>
            </w:r>
          </w:p>
        </w:tc>
        <w:tc>
          <w:tcPr>
            <w:tcW w:w="0" w:type="auto"/>
            <w:tcBorders>
              <w:top w:val="nil"/>
              <w:left w:val="nil"/>
              <w:bottom w:val="nil"/>
              <w:right w:val="nil"/>
            </w:tcBorders>
            <w:shd w:val="clear" w:color="auto" w:fill="auto"/>
            <w:noWrap/>
            <w:vAlign w:val="bottom"/>
            <w:hideMark/>
          </w:tcPr>
          <w:p w14:paraId="53381B97" w14:textId="77777777" w:rsidR="00252AA4" w:rsidRDefault="00252AA4" w:rsidP="00252AA4">
            <w:pPr>
              <w:ind w:right="192"/>
              <w:jc w:val="right"/>
              <w:rPr>
                <w:rFonts w:cs="Arial"/>
                <w:b/>
                <w:bCs/>
                <w:color w:val="FF0000"/>
                <w:sz w:val="20"/>
                <w:szCs w:val="20"/>
              </w:rPr>
            </w:pPr>
            <w:r>
              <w:rPr>
                <w:rFonts w:cs="Arial"/>
                <w:b/>
                <w:bCs/>
                <w:color w:val="FF0000"/>
                <w:sz w:val="20"/>
                <w:szCs w:val="20"/>
              </w:rPr>
              <w:t>20.3%</w:t>
            </w:r>
          </w:p>
        </w:tc>
        <w:tc>
          <w:tcPr>
            <w:tcW w:w="0" w:type="auto"/>
            <w:tcBorders>
              <w:top w:val="nil"/>
              <w:left w:val="nil"/>
              <w:bottom w:val="nil"/>
              <w:right w:val="nil"/>
            </w:tcBorders>
            <w:shd w:val="clear" w:color="auto" w:fill="auto"/>
            <w:noWrap/>
            <w:vAlign w:val="bottom"/>
            <w:hideMark/>
          </w:tcPr>
          <w:p w14:paraId="2A87419B" w14:textId="77777777" w:rsidR="00252AA4" w:rsidRDefault="00252AA4" w:rsidP="00252AA4">
            <w:pPr>
              <w:ind w:right="192"/>
              <w:jc w:val="right"/>
              <w:rPr>
                <w:rFonts w:cs="Arial"/>
                <w:b/>
                <w:bCs/>
                <w:color w:val="FF0000"/>
                <w:sz w:val="20"/>
                <w:szCs w:val="20"/>
              </w:rPr>
            </w:pPr>
            <w:r>
              <w:rPr>
                <w:rFonts w:cs="Arial"/>
                <w:b/>
                <w:bCs/>
                <w:color w:val="FF0000"/>
                <w:sz w:val="20"/>
                <w:szCs w:val="20"/>
              </w:rPr>
              <w:t>4.2%</w:t>
            </w:r>
          </w:p>
        </w:tc>
      </w:tr>
    </w:tbl>
    <w:p w14:paraId="4BC68CCC" w14:textId="4CE3724C" w:rsidR="008876AE" w:rsidRDefault="008876AE" w:rsidP="008876AE">
      <w:pPr>
        <w:pStyle w:val="BodytextWorldline"/>
        <w:spacing w:before="120"/>
        <w:jc w:val="both"/>
        <w:rPr>
          <w:sz w:val="16"/>
          <w:szCs w:val="16"/>
        </w:rPr>
      </w:pPr>
      <w:r w:rsidRPr="00710DF2">
        <w:rPr>
          <w:sz w:val="16"/>
          <w:szCs w:val="16"/>
        </w:rPr>
        <w:t xml:space="preserve">Figure </w:t>
      </w:r>
      <w:r w:rsidR="008F7A9D">
        <w:rPr>
          <w:sz w:val="16"/>
          <w:szCs w:val="16"/>
        </w:rPr>
        <w:t>4</w:t>
      </w:r>
      <w:r w:rsidRPr="00710DF2">
        <w:rPr>
          <w:sz w:val="16"/>
          <w:szCs w:val="16"/>
        </w:rPr>
        <w:t xml:space="preserve">: All Cards NZ annual underlying* spending growth through Worldline </w:t>
      </w:r>
      <w:r w:rsidR="001840FD">
        <w:rPr>
          <w:sz w:val="16"/>
          <w:szCs w:val="16"/>
        </w:rPr>
        <w:t>last week</w:t>
      </w:r>
      <w:r w:rsidRPr="00710DF2">
        <w:rPr>
          <w:sz w:val="16"/>
          <w:szCs w:val="16"/>
        </w:rPr>
        <w:t xml:space="preserve"> for regional </w:t>
      </w:r>
      <w:r w:rsidR="00252AA4">
        <w:rPr>
          <w:sz w:val="16"/>
          <w:szCs w:val="16"/>
        </w:rPr>
        <w:t>h</w:t>
      </w:r>
      <w:r w:rsidRPr="00710DF2">
        <w:rPr>
          <w:sz w:val="16"/>
          <w:szCs w:val="16"/>
        </w:rPr>
        <w:t>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0E9F86AC" w14:textId="2D13F497" w:rsidR="009A6BC4" w:rsidRPr="008F7A9D" w:rsidRDefault="0078351A" w:rsidP="008F7A9D">
      <w:pPr>
        <w:pStyle w:val="BodyAA"/>
        <w:spacing w:before="240" w:after="120"/>
        <w:jc w:val="center"/>
        <w:rPr>
          <w:sz w:val="22"/>
          <w:szCs w:val="22"/>
        </w:rPr>
      </w:pPr>
      <w:r>
        <w:rPr>
          <w:sz w:val="22"/>
          <w:szCs w:val="22"/>
        </w:rPr>
        <w:t>- ENDS -</w:t>
      </w:r>
    </w:p>
    <w:p w14:paraId="1B096C69" w14:textId="2CE60020" w:rsidR="0094468C" w:rsidRDefault="0094468C" w:rsidP="0094468C">
      <w:pPr>
        <w:pStyle w:val="BodyAA"/>
        <w:spacing w:before="240" w:after="120"/>
        <w:rPr>
          <w:b/>
          <w:bCs/>
        </w:rPr>
      </w:pPr>
      <w:r>
        <w:rPr>
          <w:b/>
          <w:bCs/>
        </w:rPr>
        <w:lastRenderedPageBreak/>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4"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5"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banks and third-party acquirers as well as public transport operators, government agencies and industrial companies in all sectors. Powered by over 20,000 employees in more than 50 countries, Worldline provides its clients with sustainable, trusted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highly-secure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6"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7"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377CB5">
      <w:headerReference w:type="first" r:id="rId30"/>
      <w:pgSz w:w="11906" w:h="16838" w:code="9"/>
      <w:pgMar w:top="2127"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77FE" w14:textId="77777777" w:rsidR="00224CF8" w:rsidRPr="00A1281B" w:rsidRDefault="00224CF8" w:rsidP="00A1281B">
      <w:pPr>
        <w:pStyle w:val="Footer"/>
      </w:pPr>
    </w:p>
  </w:endnote>
  <w:endnote w:type="continuationSeparator" w:id="0">
    <w:p w14:paraId="1653529E" w14:textId="77777777" w:rsidR="00224CF8" w:rsidRPr="00A1281B" w:rsidRDefault="00224CF8"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A8FE" w14:textId="77777777" w:rsidR="00224CF8" w:rsidRPr="00A1281B" w:rsidRDefault="00224CF8" w:rsidP="00A1281B">
      <w:pPr>
        <w:pStyle w:val="Footer"/>
      </w:pPr>
    </w:p>
  </w:footnote>
  <w:footnote w:type="continuationSeparator" w:id="0">
    <w:p w14:paraId="4F986B2B" w14:textId="77777777" w:rsidR="00224CF8" w:rsidRPr="00A1281B" w:rsidRDefault="00224CF8"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3"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EC90ED"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1062A"/>
    <w:rsid w:val="00010D95"/>
    <w:rsid w:val="00011BFA"/>
    <w:rsid w:val="0001226E"/>
    <w:rsid w:val="00013D63"/>
    <w:rsid w:val="0001461A"/>
    <w:rsid w:val="00014717"/>
    <w:rsid w:val="00015339"/>
    <w:rsid w:val="00015687"/>
    <w:rsid w:val="00021CCB"/>
    <w:rsid w:val="00021EDA"/>
    <w:rsid w:val="00022269"/>
    <w:rsid w:val="000224C9"/>
    <w:rsid w:val="000241E7"/>
    <w:rsid w:val="00024D1A"/>
    <w:rsid w:val="000251B2"/>
    <w:rsid w:val="0002609F"/>
    <w:rsid w:val="00027FF9"/>
    <w:rsid w:val="000304CF"/>
    <w:rsid w:val="00030F21"/>
    <w:rsid w:val="00033C5F"/>
    <w:rsid w:val="00033E91"/>
    <w:rsid w:val="00033F01"/>
    <w:rsid w:val="00033F83"/>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92"/>
    <w:rsid w:val="000715D3"/>
    <w:rsid w:val="000720A2"/>
    <w:rsid w:val="0007232F"/>
    <w:rsid w:val="000732F4"/>
    <w:rsid w:val="00073913"/>
    <w:rsid w:val="00074D07"/>
    <w:rsid w:val="00074DAC"/>
    <w:rsid w:val="00074FB4"/>
    <w:rsid w:val="000752AC"/>
    <w:rsid w:val="00075A62"/>
    <w:rsid w:val="00076563"/>
    <w:rsid w:val="00076C3C"/>
    <w:rsid w:val="00077318"/>
    <w:rsid w:val="00077575"/>
    <w:rsid w:val="00077778"/>
    <w:rsid w:val="00077C07"/>
    <w:rsid w:val="00080780"/>
    <w:rsid w:val="00082115"/>
    <w:rsid w:val="00082809"/>
    <w:rsid w:val="00084A3F"/>
    <w:rsid w:val="00085F93"/>
    <w:rsid w:val="00086E73"/>
    <w:rsid w:val="00090277"/>
    <w:rsid w:val="00090B26"/>
    <w:rsid w:val="00091142"/>
    <w:rsid w:val="00093B09"/>
    <w:rsid w:val="000953A0"/>
    <w:rsid w:val="0009575E"/>
    <w:rsid w:val="00096409"/>
    <w:rsid w:val="0009657F"/>
    <w:rsid w:val="00096930"/>
    <w:rsid w:val="0009698A"/>
    <w:rsid w:val="000A112F"/>
    <w:rsid w:val="000A1B78"/>
    <w:rsid w:val="000A2014"/>
    <w:rsid w:val="000A31A5"/>
    <w:rsid w:val="000A338D"/>
    <w:rsid w:val="000A3D96"/>
    <w:rsid w:val="000A5E4C"/>
    <w:rsid w:val="000A7516"/>
    <w:rsid w:val="000B0A9E"/>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4C18"/>
    <w:rsid w:val="000C62A3"/>
    <w:rsid w:val="000C7A45"/>
    <w:rsid w:val="000C7AB0"/>
    <w:rsid w:val="000D0FD3"/>
    <w:rsid w:val="000D2333"/>
    <w:rsid w:val="000D241D"/>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5A1"/>
    <w:rsid w:val="000E634E"/>
    <w:rsid w:val="000E6E43"/>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0F7E99"/>
    <w:rsid w:val="0010103A"/>
    <w:rsid w:val="00101493"/>
    <w:rsid w:val="00101CC4"/>
    <w:rsid w:val="00102774"/>
    <w:rsid w:val="00102A0A"/>
    <w:rsid w:val="001046AE"/>
    <w:rsid w:val="00104E2B"/>
    <w:rsid w:val="00106301"/>
    <w:rsid w:val="00106503"/>
    <w:rsid w:val="00106601"/>
    <w:rsid w:val="00106A93"/>
    <w:rsid w:val="00107A63"/>
    <w:rsid w:val="001104B2"/>
    <w:rsid w:val="001108E8"/>
    <w:rsid w:val="00110995"/>
    <w:rsid w:val="00110A9F"/>
    <w:rsid w:val="00110C3C"/>
    <w:rsid w:val="00110DF7"/>
    <w:rsid w:val="00111EFF"/>
    <w:rsid w:val="00113457"/>
    <w:rsid w:val="0011608C"/>
    <w:rsid w:val="001170AE"/>
    <w:rsid w:val="00117867"/>
    <w:rsid w:val="00117A89"/>
    <w:rsid w:val="00117AD4"/>
    <w:rsid w:val="00120A5A"/>
    <w:rsid w:val="0012181E"/>
    <w:rsid w:val="001222A9"/>
    <w:rsid w:val="00122DED"/>
    <w:rsid w:val="0012353C"/>
    <w:rsid w:val="00123745"/>
    <w:rsid w:val="00124420"/>
    <w:rsid w:val="001260A2"/>
    <w:rsid w:val="00126B65"/>
    <w:rsid w:val="001271E9"/>
    <w:rsid w:val="0012758E"/>
    <w:rsid w:val="00132265"/>
    <w:rsid w:val="00132626"/>
    <w:rsid w:val="00133373"/>
    <w:rsid w:val="001338E2"/>
    <w:rsid w:val="00133BBE"/>
    <w:rsid w:val="00133CF0"/>
    <w:rsid w:val="00133F35"/>
    <w:rsid w:val="001342E0"/>
    <w:rsid w:val="00135E7B"/>
    <w:rsid w:val="00137CBB"/>
    <w:rsid w:val="00137CE5"/>
    <w:rsid w:val="00141CED"/>
    <w:rsid w:val="00142C30"/>
    <w:rsid w:val="00142CCC"/>
    <w:rsid w:val="00144110"/>
    <w:rsid w:val="001442BD"/>
    <w:rsid w:val="0014441E"/>
    <w:rsid w:val="0014472C"/>
    <w:rsid w:val="00144A76"/>
    <w:rsid w:val="00144E14"/>
    <w:rsid w:val="00145B8E"/>
    <w:rsid w:val="0014640F"/>
    <w:rsid w:val="001473C8"/>
    <w:rsid w:val="0015099C"/>
    <w:rsid w:val="0015197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5D1E"/>
    <w:rsid w:val="00180AEB"/>
    <w:rsid w:val="00181E7E"/>
    <w:rsid w:val="0018202B"/>
    <w:rsid w:val="00182079"/>
    <w:rsid w:val="001838C5"/>
    <w:rsid w:val="001840FD"/>
    <w:rsid w:val="00184ADA"/>
    <w:rsid w:val="00185202"/>
    <w:rsid w:val="00185D8D"/>
    <w:rsid w:val="001863A5"/>
    <w:rsid w:val="00186BBE"/>
    <w:rsid w:val="00186D05"/>
    <w:rsid w:val="00186EA6"/>
    <w:rsid w:val="00187A4B"/>
    <w:rsid w:val="00187CEB"/>
    <w:rsid w:val="00190F07"/>
    <w:rsid w:val="00192BD5"/>
    <w:rsid w:val="00192BD9"/>
    <w:rsid w:val="00193313"/>
    <w:rsid w:val="00193BD4"/>
    <w:rsid w:val="00195E52"/>
    <w:rsid w:val="00195E96"/>
    <w:rsid w:val="00197100"/>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F25"/>
    <w:rsid w:val="001B4685"/>
    <w:rsid w:val="001B4C7E"/>
    <w:rsid w:val="001B5DE0"/>
    <w:rsid w:val="001B5F8C"/>
    <w:rsid w:val="001B6104"/>
    <w:rsid w:val="001B6615"/>
    <w:rsid w:val="001C11BE"/>
    <w:rsid w:val="001C12CA"/>
    <w:rsid w:val="001C1645"/>
    <w:rsid w:val="001C2722"/>
    <w:rsid w:val="001C2D97"/>
    <w:rsid w:val="001C3095"/>
    <w:rsid w:val="001C494E"/>
    <w:rsid w:val="001C6573"/>
    <w:rsid w:val="001C6BDB"/>
    <w:rsid w:val="001D1443"/>
    <w:rsid w:val="001D2A06"/>
    <w:rsid w:val="001D3325"/>
    <w:rsid w:val="001D4DCE"/>
    <w:rsid w:val="001D4E78"/>
    <w:rsid w:val="001D592B"/>
    <w:rsid w:val="001D68AD"/>
    <w:rsid w:val="001D6AD2"/>
    <w:rsid w:val="001D6ED5"/>
    <w:rsid w:val="001D70AF"/>
    <w:rsid w:val="001D7EE2"/>
    <w:rsid w:val="001E07BE"/>
    <w:rsid w:val="001E08F5"/>
    <w:rsid w:val="001E0C14"/>
    <w:rsid w:val="001E166C"/>
    <w:rsid w:val="001E1C36"/>
    <w:rsid w:val="001E1D22"/>
    <w:rsid w:val="001E2293"/>
    <w:rsid w:val="001E25F2"/>
    <w:rsid w:val="001E3F8B"/>
    <w:rsid w:val="001E491A"/>
    <w:rsid w:val="001E4D61"/>
    <w:rsid w:val="001E5ADD"/>
    <w:rsid w:val="001E5D2D"/>
    <w:rsid w:val="001E72CC"/>
    <w:rsid w:val="001F00A5"/>
    <w:rsid w:val="001F16FC"/>
    <w:rsid w:val="001F25EB"/>
    <w:rsid w:val="001F3282"/>
    <w:rsid w:val="001F376F"/>
    <w:rsid w:val="001F407C"/>
    <w:rsid w:val="001F5B4F"/>
    <w:rsid w:val="001F6A32"/>
    <w:rsid w:val="001F789B"/>
    <w:rsid w:val="00200817"/>
    <w:rsid w:val="00201C6E"/>
    <w:rsid w:val="00201ED9"/>
    <w:rsid w:val="002030CD"/>
    <w:rsid w:val="00204EFD"/>
    <w:rsid w:val="002053D6"/>
    <w:rsid w:val="0020548B"/>
    <w:rsid w:val="0020607F"/>
    <w:rsid w:val="002074B2"/>
    <w:rsid w:val="002075EC"/>
    <w:rsid w:val="00207CBD"/>
    <w:rsid w:val="002101C8"/>
    <w:rsid w:val="0021047D"/>
    <w:rsid w:val="00210C27"/>
    <w:rsid w:val="00211A8E"/>
    <w:rsid w:val="00211C4E"/>
    <w:rsid w:val="00211E9D"/>
    <w:rsid w:val="00211EDD"/>
    <w:rsid w:val="00213C5F"/>
    <w:rsid w:val="002154D5"/>
    <w:rsid w:val="002155ED"/>
    <w:rsid w:val="0021572A"/>
    <w:rsid w:val="0021654B"/>
    <w:rsid w:val="00220A9C"/>
    <w:rsid w:val="002210BD"/>
    <w:rsid w:val="00222248"/>
    <w:rsid w:val="00222543"/>
    <w:rsid w:val="002225C2"/>
    <w:rsid w:val="00223026"/>
    <w:rsid w:val="002230CF"/>
    <w:rsid w:val="00224CF5"/>
    <w:rsid w:val="00224CF8"/>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AA4"/>
    <w:rsid w:val="00252D22"/>
    <w:rsid w:val="002532B9"/>
    <w:rsid w:val="002544E7"/>
    <w:rsid w:val="00254B74"/>
    <w:rsid w:val="0025506F"/>
    <w:rsid w:val="0025545A"/>
    <w:rsid w:val="00255666"/>
    <w:rsid w:val="00255964"/>
    <w:rsid w:val="00255E8E"/>
    <w:rsid w:val="002560D4"/>
    <w:rsid w:val="00256383"/>
    <w:rsid w:val="002572DC"/>
    <w:rsid w:val="00257AA9"/>
    <w:rsid w:val="002617F2"/>
    <w:rsid w:val="00261E2A"/>
    <w:rsid w:val="0026239E"/>
    <w:rsid w:val="0026269B"/>
    <w:rsid w:val="00264E04"/>
    <w:rsid w:val="00264E81"/>
    <w:rsid w:val="00265C83"/>
    <w:rsid w:val="002679E4"/>
    <w:rsid w:val="00267E33"/>
    <w:rsid w:val="00270CA5"/>
    <w:rsid w:val="002712EA"/>
    <w:rsid w:val="0027233A"/>
    <w:rsid w:val="002751E9"/>
    <w:rsid w:val="002770E9"/>
    <w:rsid w:val="00281126"/>
    <w:rsid w:val="0028122E"/>
    <w:rsid w:val="00282456"/>
    <w:rsid w:val="00282A0A"/>
    <w:rsid w:val="00284E10"/>
    <w:rsid w:val="0028544C"/>
    <w:rsid w:val="002856B6"/>
    <w:rsid w:val="00285736"/>
    <w:rsid w:val="00285A13"/>
    <w:rsid w:val="002866C7"/>
    <w:rsid w:val="00286914"/>
    <w:rsid w:val="00291131"/>
    <w:rsid w:val="00291AD4"/>
    <w:rsid w:val="00292092"/>
    <w:rsid w:val="00292B96"/>
    <w:rsid w:val="00293672"/>
    <w:rsid w:val="00293D3E"/>
    <w:rsid w:val="002944BE"/>
    <w:rsid w:val="00294542"/>
    <w:rsid w:val="00296B15"/>
    <w:rsid w:val="00297A87"/>
    <w:rsid w:val="002A0AB4"/>
    <w:rsid w:val="002A0C2D"/>
    <w:rsid w:val="002A1445"/>
    <w:rsid w:val="002A288F"/>
    <w:rsid w:val="002A33B5"/>
    <w:rsid w:val="002A3F20"/>
    <w:rsid w:val="002A402A"/>
    <w:rsid w:val="002A4757"/>
    <w:rsid w:val="002A4C26"/>
    <w:rsid w:val="002A6391"/>
    <w:rsid w:val="002A67F2"/>
    <w:rsid w:val="002A7295"/>
    <w:rsid w:val="002A7AD3"/>
    <w:rsid w:val="002B094A"/>
    <w:rsid w:val="002B1232"/>
    <w:rsid w:val="002B2998"/>
    <w:rsid w:val="002B334B"/>
    <w:rsid w:val="002B3392"/>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7077"/>
    <w:rsid w:val="002F7275"/>
    <w:rsid w:val="002F7388"/>
    <w:rsid w:val="002F74A3"/>
    <w:rsid w:val="002F7B77"/>
    <w:rsid w:val="002F7C3F"/>
    <w:rsid w:val="003000CC"/>
    <w:rsid w:val="00300F57"/>
    <w:rsid w:val="0030139D"/>
    <w:rsid w:val="00302156"/>
    <w:rsid w:val="00302577"/>
    <w:rsid w:val="00302F18"/>
    <w:rsid w:val="003040CD"/>
    <w:rsid w:val="00306441"/>
    <w:rsid w:val="00306791"/>
    <w:rsid w:val="00306F3C"/>
    <w:rsid w:val="003077B4"/>
    <w:rsid w:val="00307AC5"/>
    <w:rsid w:val="00307C34"/>
    <w:rsid w:val="003109D2"/>
    <w:rsid w:val="003116A8"/>
    <w:rsid w:val="00312690"/>
    <w:rsid w:val="00313D94"/>
    <w:rsid w:val="00314A67"/>
    <w:rsid w:val="00315FFF"/>
    <w:rsid w:val="0031642D"/>
    <w:rsid w:val="00316EA1"/>
    <w:rsid w:val="00316EEF"/>
    <w:rsid w:val="00317BEC"/>
    <w:rsid w:val="00317DEA"/>
    <w:rsid w:val="00320620"/>
    <w:rsid w:val="0032089A"/>
    <w:rsid w:val="00321B79"/>
    <w:rsid w:val="00321DB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5500"/>
    <w:rsid w:val="00335682"/>
    <w:rsid w:val="00335A0B"/>
    <w:rsid w:val="00335B5E"/>
    <w:rsid w:val="00337281"/>
    <w:rsid w:val="00337DDE"/>
    <w:rsid w:val="00340EA3"/>
    <w:rsid w:val="00341691"/>
    <w:rsid w:val="00344E62"/>
    <w:rsid w:val="003464E0"/>
    <w:rsid w:val="00346631"/>
    <w:rsid w:val="0034677D"/>
    <w:rsid w:val="00346AE9"/>
    <w:rsid w:val="00347C33"/>
    <w:rsid w:val="00350AB2"/>
    <w:rsid w:val="00350DC1"/>
    <w:rsid w:val="00351E07"/>
    <w:rsid w:val="00351EDA"/>
    <w:rsid w:val="00353524"/>
    <w:rsid w:val="00353FD2"/>
    <w:rsid w:val="00356D5D"/>
    <w:rsid w:val="00357B3C"/>
    <w:rsid w:val="0036025F"/>
    <w:rsid w:val="00360495"/>
    <w:rsid w:val="00361ABF"/>
    <w:rsid w:val="00362A7A"/>
    <w:rsid w:val="00364AD4"/>
    <w:rsid w:val="00365254"/>
    <w:rsid w:val="00365327"/>
    <w:rsid w:val="0036588A"/>
    <w:rsid w:val="00365D29"/>
    <w:rsid w:val="00365E07"/>
    <w:rsid w:val="003679DD"/>
    <w:rsid w:val="00370078"/>
    <w:rsid w:val="0037128A"/>
    <w:rsid w:val="00371F0E"/>
    <w:rsid w:val="00372696"/>
    <w:rsid w:val="00373329"/>
    <w:rsid w:val="003752F1"/>
    <w:rsid w:val="00375907"/>
    <w:rsid w:val="00377612"/>
    <w:rsid w:val="00377CB5"/>
    <w:rsid w:val="00377E12"/>
    <w:rsid w:val="0038041D"/>
    <w:rsid w:val="00380BED"/>
    <w:rsid w:val="00380E97"/>
    <w:rsid w:val="0038100C"/>
    <w:rsid w:val="003819F2"/>
    <w:rsid w:val="00382E9A"/>
    <w:rsid w:val="0038391A"/>
    <w:rsid w:val="00383D75"/>
    <w:rsid w:val="003843FB"/>
    <w:rsid w:val="00385316"/>
    <w:rsid w:val="003859BB"/>
    <w:rsid w:val="00386123"/>
    <w:rsid w:val="003869CF"/>
    <w:rsid w:val="00387012"/>
    <w:rsid w:val="00387A9E"/>
    <w:rsid w:val="00387DA2"/>
    <w:rsid w:val="003902AB"/>
    <w:rsid w:val="003903B7"/>
    <w:rsid w:val="00390530"/>
    <w:rsid w:val="003910B4"/>
    <w:rsid w:val="0039126D"/>
    <w:rsid w:val="00391736"/>
    <w:rsid w:val="00391C58"/>
    <w:rsid w:val="00391CA1"/>
    <w:rsid w:val="00392708"/>
    <w:rsid w:val="00392C3B"/>
    <w:rsid w:val="0039303C"/>
    <w:rsid w:val="0039376F"/>
    <w:rsid w:val="00393FB7"/>
    <w:rsid w:val="003940B7"/>
    <w:rsid w:val="00394257"/>
    <w:rsid w:val="003952EB"/>
    <w:rsid w:val="00395A7C"/>
    <w:rsid w:val="00395E43"/>
    <w:rsid w:val="00395FAC"/>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4693"/>
    <w:rsid w:val="003B47DC"/>
    <w:rsid w:val="003B48C9"/>
    <w:rsid w:val="003B5386"/>
    <w:rsid w:val="003B5EB5"/>
    <w:rsid w:val="003C00F1"/>
    <w:rsid w:val="003C0B1C"/>
    <w:rsid w:val="003C0F10"/>
    <w:rsid w:val="003C11BD"/>
    <w:rsid w:val="003C1345"/>
    <w:rsid w:val="003C135E"/>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7D8"/>
    <w:rsid w:val="003D2D28"/>
    <w:rsid w:val="003D2DC3"/>
    <w:rsid w:val="003D41A5"/>
    <w:rsid w:val="003D4FBD"/>
    <w:rsid w:val="003D6688"/>
    <w:rsid w:val="003E059B"/>
    <w:rsid w:val="003E0740"/>
    <w:rsid w:val="003E1E35"/>
    <w:rsid w:val="003E3AC1"/>
    <w:rsid w:val="003E3B7D"/>
    <w:rsid w:val="003E3B95"/>
    <w:rsid w:val="003E4B0D"/>
    <w:rsid w:val="003E67C5"/>
    <w:rsid w:val="003E724F"/>
    <w:rsid w:val="003E741E"/>
    <w:rsid w:val="003F0A04"/>
    <w:rsid w:val="003F3A19"/>
    <w:rsid w:val="003F4EC5"/>
    <w:rsid w:val="003F516E"/>
    <w:rsid w:val="00401D65"/>
    <w:rsid w:val="00401EE4"/>
    <w:rsid w:val="0040260E"/>
    <w:rsid w:val="00403073"/>
    <w:rsid w:val="004041C5"/>
    <w:rsid w:val="0040439A"/>
    <w:rsid w:val="00405B4F"/>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F81"/>
    <w:rsid w:val="00421485"/>
    <w:rsid w:val="004214AC"/>
    <w:rsid w:val="00422155"/>
    <w:rsid w:val="0042354D"/>
    <w:rsid w:val="0042379B"/>
    <w:rsid w:val="00423C20"/>
    <w:rsid w:val="00425289"/>
    <w:rsid w:val="004255E1"/>
    <w:rsid w:val="004262AB"/>
    <w:rsid w:val="0042683A"/>
    <w:rsid w:val="0042748E"/>
    <w:rsid w:val="00430EE8"/>
    <w:rsid w:val="00431E63"/>
    <w:rsid w:val="004329A4"/>
    <w:rsid w:val="0043408A"/>
    <w:rsid w:val="004350B4"/>
    <w:rsid w:val="00436FD8"/>
    <w:rsid w:val="004406B4"/>
    <w:rsid w:val="00440D7E"/>
    <w:rsid w:val="00441491"/>
    <w:rsid w:val="00442063"/>
    <w:rsid w:val="00442477"/>
    <w:rsid w:val="00445522"/>
    <w:rsid w:val="004459AE"/>
    <w:rsid w:val="00446809"/>
    <w:rsid w:val="0044792A"/>
    <w:rsid w:val="00451BF5"/>
    <w:rsid w:val="00451FDB"/>
    <w:rsid w:val="0045254C"/>
    <w:rsid w:val="004534DD"/>
    <w:rsid w:val="00453F5E"/>
    <w:rsid w:val="00454276"/>
    <w:rsid w:val="004564A6"/>
    <w:rsid w:val="00457869"/>
    <w:rsid w:val="00460B6C"/>
    <w:rsid w:val="00460C97"/>
    <w:rsid w:val="004615C6"/>
    <w:rsid w:val="0046163C"/>
    <w:rsid w:val="00463AD6"/>
    <w:rsid w:val="00463D0A"/>
    <w:rsid w:val="004640D1"/>
    <w:rsid w:val="004648BD"/>
    <w:rsid w:val="00464CC3"/>
    <w:rsid w:val="004654B1"/>
    <w:rsid w:val="00465CDA"/>
    <w:rsid w:val="00466A07"/>
    <w:rsid w:val="00467F8F"/>
    <w:rsid w:val="00470D90"/>
    <w:rsid w:val="00471225"/>
    <w:rsid w:val="0047156E"/>
    <w:rsid w:val="0047164F"/>
    <w:rsid w:val="00472ED7"/>
    <w:rsid w:val="004731C2"/>
    <w:rsid w:val="00473658"/>
    <w:rsid w:val="0047518D"/>
    <w:rsid w:val="00475688"/>
    <w:rsid w:val="00480ABA"/>
    <w:rsid w:val="0048114B"/>
    <w:rsid w:val="00482117"/>
    <w:rsid w:val="004839ED"/>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B033D"/>
    <w:rsid w:val="004B0CCB"/>
    <w:rsid w:val="004B3B1F"/>
    <w:rsid w:val="004B3B99"/>
    <w:rsid w:val="004B4C46"/>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F0CD7"/>
    <w:rsid w:val="004F1597"/>
    <w:rsid w:val="004F24ED"/>
    <w:rsid w:val="004F253E"/>
    <w:rsid w:val="004F3B11"/>
    <w:rsid w:val="004F3BEC"/>
    <w:rsid w:val="004F456D"/>
    <w:rsid w:val="004F4CC5"/>
    <w:rsid w:val="004F5036"/>
    <w:rsid w:val="004F51EB"/>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D57"/>
    <w:rsid w:val="00526530"/>
    <w:rsid w:val="00526B72"/>
    <w:rsid w:val="00532035"/>
    <w:rsid w:val="00532450"/>
    <w:rsid w:val="00532DC4"/>
    <w:rsid w:val="00532E26"/>
    <w:rsid w:val="00532FAC"/>
    <w:rsid w:val="005346F2"/>
    <w:rsid w:val="00535A74"/>
    <w:rsid w:val="00535D3A"/>
    <w:rsid w:val="00535F91"/>
    <w:rsid w:val="0053645C"/>
    <w:rsid w:val="00536AB5"/>
    <w:rsid w:val="00540A4A"/>
    <w:rsid w:val="00540CAF"/>
    <w:rsid w:val="0054276B"/>
    <w:rsid w:val="00542CEB"/>
    <w:rsid w:val="00546095"/>
    <w:rsid w:val="00546594"/>
    <w:rsid w:val="00547C9A"/>
    <w:rsid w:val="005506B4"/>
    <w:rsid w:val="00550895"/>
    <w:rsid w:val="0055113B"/>
    <w:rsid w:val="00551A55"/>
    <w:rsid w:val="00552678"/>
    <w:rsid w:val="0055272B"/>
    <w:rsid w:val="00552E16"/>
    <w:rsid w:val="00553801"/>
    <w:rsid w:val="00554E65"/>
    <w:rsid w:val="0055752F"/>
    <w:rsid w:val="00557AD8"/>
    <w:rsid w:val="00560A4F"/>
    <w:rsid w:val="00561514"/>
    <w:rsid w:val="005615BE"/>
    <w:rsid w:val="005627C8"/>
    <w:rsid w:val="00562D03"/>
    <w:rsid w:val="00562D27"/>
    <w:rsid w:val="00562E3D"/>
    <w:rsid w:val="00563DF7"/>
    <w:rsid w:val="00564B08"/>
    <w:rsid w:val="00565A68"/>
    <w:rsid w:val="00565BF6"/>
    <w:rsid w:val="00565D72"/>
    <w:rsid w:val="005667E0"/>
    <w:rsid w:val="00566DC1"/>
    <w:rsid w:val="00567F35"/>
    <w:rsid w:val="005701C7"/>
    <w:rsid w:val="005706B2"/>
    <w:rsid w:val="0057199F"/>
    <w:rsid w:val="0057268F"/>
    <w:rsid w:val="005730A8"/>
    <w:rsid w:val="0057362B"/>
    <w:rsid w:val="00574150"/>
    <w:rsid w:val="00574AFA"/>
    <w:rsid w:val="00575FFC"/>
    <w:rsid w:val="00576AEF"/>
    <w:rsid w:val="00576BB4"/>
    <w:rsid w:val="00576EEA"/>
    <w:rsid w:val="00581DC2"/>
    <w:rsid w:val="005821DD"/>
    <w:rsid w:val="00583265"/>
    <w:rsid w:val="005837E8"/>
    <w:rsid w:val="00583F6B"/>
    <w:rsid w:val="005849A0"/>
    <w:rsid w:val="00584AA4"/>
    <w:rsid w:val="00584AF8"/>
    <w:rsid w:val="00584D4F"/>
    <w:rsid w:val="00585058"/>
    <w:rsid w:val="00585503"/>
    <w:rsid w:val="00585DEB"/>
    <w:rsid w:val="005860A1"/>
    <w:rsid w:val="0058741F"/>
    <w:rsid w:val="00587A81"/>
    <w:rsid w:val="00590517"/>
    <w:rsid w:val="00591CFD"/>
    <w:rsid w:val="00591D02"/>
    <w:rsid w:val="00592BB4"/>
    <w:rsid w:val="00593454"/>
    <w:rsid w:val="005939F0"/>
    <w:rsid w:val="00594E39"/>
    <w:rsid w:val="00596B63"/>
    <w:rsid w:val="00597A91"/>
    <w:rsid w:val="00597AAC"/>
    <w:rsid w:val="005A02BD"/>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2B14"/>
    <w:rsid w:val="005B36E3"/>
    <w:rsid w:val="005B4FAF"/>
    <w:rsid w:val="005B5024"/>
    <w:rsid w:val="005B53C2"/>
    <w:rsid w:val="005B5682"/>
    <w:rsid w:val="005B586B"/>
    <w:rsid w:val="005B5F30"/>
    <w:rsid w:val="005B63DE"/>
    <w:rsid w:val="005B6502"/>
    <w:rsid w:val="005C02BB"/>
    <w:rsid w:val="005C0A32"/>
    <w:rsid w:val="005C0ED4"/>
    <w:rsid w:val="005C0F3C"/>
    <w:rsid w:val="005C1D6C"/>
    <w:rsid w:val="005C2330"/>
    <w:rsid w:val="005C2349"/>
    <w:rsid w:val="005C24C2"/>
    <w:rsid w:val="005C3158"/>
    <w:rsid w:val="005C33A0"/>
    <w:rsid w:val="005C4A11"/>
    <w:rsid w:val="005C6668"/>
    <w:rsid w:val="005C6E02"/>
    <w:rsid w:val="005D03B1"/>
    <w:rsid w:val="005D043F"/>
    <w:rsid w:val="005D12B7"/>
    <w:rsid w:val="005D2D2C"/>
    <w:rsid w:val="005D3796"/>
    <w:rsid w:val="005D4151"/>
    <w:rsid w:val="005D45EB"/>
    <w:rsid w:val="005D5E21"/>
    <w:rsid w:val="005D6DEB"/>
    <w:rsid w:val="005E122D"/>
    <w:rsid w:val="005E1739"/>
    <w:rsid w:val="005E19D8"/>
    <w:rsid w:val="005E1B51"/>
    <w:rsid w:val="005E2013"/>
    <w:rsid w:val="005E5FEA"/>
    <w:rsid w:val="005E60EF"/>
    <w:rsid w:val="005E6789"/>
    <w:rsid w:val="005E685B"/>
    <w:rsid w:val="005E7E2A"/>
    <w:rsid w:val="005F0391"/>
    <w:rsid w:val="005F1040"/>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0C1"/>
    <w:rsid w:val="00607699"/>
    <w:rsid w:val="006076E5"/>
    <w:rsid w:val="0060773B"/>
    <w:rsid w:val="0061163E"/>
    <w:rsid w:val="00611931"/>
    <w:rsid w:val="00611F55"/>
    <w:rsid w:val="0061291A"/>
    <w:rsid w:val="00612951"/>
    <w:rsid w:val="00612C22"/>
    <w:rsid w:val="00613B9B"/>
    <w:rsid w:val="006142B3"/>
    <w:rsid w:val="006151D5"/>
    <w:rsid w:val="00615331"/>
    <w:rsid w:val="0061542D"/>
    <w:rsid w:val="00617546"/>
    <w:rsid w:val="00620E0E"/>
    <w:rsid w:val="0062133A"/>
    <w:rsid w:val="0062281F"/>
    <w:rsid w:val="00624EB8"/>
    <w:rsid w:val="00625ADD"/>
    <w:rsid w:val="00625FFE"/>
    <w:rsid w:val="0062768F"/>
    <w:rsid w:val="00627D19"/>
    <w:rsid w:val="00627E68"/>
    <w:rsid w:val="006300DA"/>
    <w:rsid w:val="00630359"/>
    <w:rsid w:val="00634546"/>
    <w:rsid w:val="00634E56"/>
    <w:rsid w:val="00635FDB"/>
    <w:rsid w:val="00636965"/>
    <w:rsid w:val="00636B34"/>
    <w:rsid w:val="00637553"/>
    <w:rsid w:val="00637931"/>
    <w:rsid w:val="006379F9"/>
    <w:rsid w:val="00637A8F"/>
    <w:rsid w:val="00637AF8"/>
    <w:rsid w:val="006402A0"/>
    <w:rsid w:val="00640A65"/>
    <w:rsid w:val="00640ADB"/>
    <w:rsid w:val="00641D81"/>
    <w:rsid w:val="00641F0A"/>
    <w:rsid w:val="0064219A"/>
    <w:rsid w:val="0064237F"/>
    <w:rsid w:val="00642381"/>
    <w:rsid w:val="00642B7D"/>
    <w:rsid w:val="00643F74"/>
    <w:rsid w:val="006440D7"/>
    <w:rsid w:val="006442AE"/>
    <w:rsid w:val="0064565B"/>
    <w:rsid w:val="0064599B"/>
    <w:rsid w:val="0064603A"/>
    <w:rsid w:val="006472C9"/>
    <w:rsid w:val="00647413"/>
    <w:rsid w:val="00647834"/>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454E"/>
    <w:rsid w:val="006646D9"/>
    <w:rsid w:val="00665601"/>
    <w:rsid w:val="006663E9"/>
    <w:rsid w:val="00671909"/>
    <w:rsid w:val="00671BE5"/>
    <w:rsid w:val="006722C6"/>
    <w:rsid w:val="00672BAA"/>
    <w:rsid w:val="00672D03"/>
    <w:rsid w:val="0067318B"/>
    <w:rsid w:val="00674CC0"/>
    <w:rsid w:val="006767B2"/>
    <w:rsid w:val="006817AD"/>
    <w:rsid w:val="00682463"/>
    <w:rsid w:val="00682541"/>
    <w:rsid w:val="00684DD1"/>
    <w:rsid w:val="00685EED"/>
    <w:rsid w:val="00685F37"/>
    <w:rsid w:val="006863F5"/>
    <w:rsid w:val="00686824"/>
    <w:rsid w:val="00686C62"/>
    <w:rsid w:val="00686D21"/>
    <w:rsid w:val="006914A0"/>
    <w:rsid w:val="00692607"/>
    <w:rsid w:val="006929A5"/>
    <w:rsid w:val="006953A2"/>
    <w:rsid w:val="006959A4"/>
    <w:rsid w:val="00695AB7"/>
    <w:rsid w:val="006A1391"/>
    <w:rsid w:val="006A1E15"/>
    <w:rsid w:val="006A3437"/>
    <w:rsid w:val="006A43AD"/>
    <w:rsid w:val="006A440C"/>
    <w:rsid w:val="006A469B"/>
    <w:rsid w:val="006A4B4F"/>
    <w:rsid w:val="006A7051"/>
    <w:rsid w:val="006A7D5E"/>
    <w:rsid w:val="006B163E"/>
    <w:rsid w:val="006B18B1"/>
    <w:rsid w:val="006B23AB"/>
    <w:rsid w:val="006B2723"/>
    <w:rsid w:val="006B28B3"/>
    <w:rsid w:val="006B2B83"/>
    <w:rsid w:val="006B2BE9"/>
    <w:rsid w:val="006B39EA"/>
    <w:rsid w:val="006B4A75"/>
    <w:rsid w:val="006B4D79"/>
    <w:rsid w:val="006B66D3"/>
    <w:rsid w:val="006B777A"/>
    <w:rsid w:val="006B78A5"/>
    <w:rsid w:val="006B78D6"/>
    <w:rsid w:val="006B7A7B"/>
    <w:rsid w:val="006C0FFE"/>
    <w:rsid w:val="006C27D2"/>
    <w:rsid w:val="006C4D35"/>
    <w:rsid w:val="006C4E7E"/>
    <w:rsid w:val="006C4F2C"/>
    <w:rsid w:val="006C4FE5"/>
    <w:rsid w:val="006C53C7"/>
    <w:rsid w:val="006C5C91"/>
    <w:rsid w:val="006C6C94"/>
    <w:rsid w:val="006D02B6"/>
    <w:rsid w:val="006D0C1A"/>
    <w:rsid w:val="006D14D3"/>
    <w:rsid w:val="006D1942"/>
    <w:rsid w:val="006D1BEB"/>
    <w:rsid w:val="006D2014"/>
    <w:rsid w:val="006D29A6"/>
    <w:rsid w:val="006D2ECD"/>
    <w:rsid w:val="006D40FB"/>
    <w:rsid w:val="006D49ED"/>
    <w:rsid w:val="006D6DDC"/>
    <w:rsid w:val="006D7AEB"/>
    <w:rsid w:val="006E02FD"/>
    <w:rsid w:val="006E0FB2"/>
    <w:rsid w:val="006E1629"/>
    <w:rsid w:val="006E1BE7"/>
    <w:rsid w:val="006E1D8C"/>
    <w:rsid w:val="006E1F6B"/>
    <w:rsid w:val="006E2121"/>
    <w:rsid w:val="006E3F98"/>
    <w:rsid w:val="006E52A1"/>
    <w:rsid w:val="006E52DE"/>
    <w:rsid w:val="006E5C60"/>
    <w:rsid w:val="006E5D98"/>
    <w:rsid w:val="006F2B62"/>
    <w:rsid w:val="006F35F9"/>
    <w:rsid w:val="006F5BDE"/>
    <w:rsid w:val="006F6340"/>
    <w:rsid w:val="006F74C4"/>
    <w:rsid w:val="006F783D"/>
    <w:rsid w:val="007002F8"/>
    <w:rsid w:val="00700323"/>
    <w:rsid w:val="007006B7"/>
    <w:rsid w:val="00702FFE"/>
    <w:rsid w:val="007035E4"/>
    <w:rsid w:val="00703D13"/>
    <w:rsid w:val="00705840"/>
    <w:rsid w:val="00706308"/>
    <w:rsid w:val="00706962"/>
    <w:rsid w:val="00706CD8"/>
    <w:rsid w:val="007072DE"/>
    <w:rsid w:val="007101F1"/>
    <w:rsid w:val="00710DF2"/>
    <w:rsid w:val="00711396"/>
    <w:rsid w:val="0071167D"/>
    <w:rsid w:val="00712E0B"/>
    <w:rsid w:val="0071386B"/>
    <w:rsid w:val="00715152"/>
    <w:rsid w:val="007156B4"/>
    <w:rsid w:val="00715D6D"/>
    <w:rsid w:val="00717D8E"/>
    <w:rsid w:val="00720532"/>
    <w:rsid w:val="00721142"/>
    <w:rsid w:val="00721957"/>
    <w:rsid w:val="00721995"/>
    <w:rsid w:val="00722809"/>
    <w:rsid w:val="0072479C"/>
    <w:rsid w:val="007250D1"/>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41E43"/>
    <w:rsid w:val="00742897"/>
    <w:rsid w:val="00742A30"/>
    <w:rsid w:val="00742CAC"/>
    <w:rsid w:val="00742CD8"/>
    <w:rsid w:val="0074340B"/>
    <w:rsid w:val="00743A51"/>
    <w:rsid w:val="0074581D"/>
    <w:rsid w:val="00745D07"/>
    <w:rsid w:val="00745D16"/>
    <w:rsid w:val="00745F85"/>
    <w:rsid w:val="0074791F"/>
    <w:rsid w:val="0074799E"/>
    <w:rsid w:val="00750327"/>
    <w:rsid w:val="00750BD6"/>
    <w:rsid w:val="00750E8A"/>
    <w:rsid w:val="00751002"/>
    <w:rsid w:val="00751149"/>
    <w:rsid w:val="00751813"/>
    <w:rsid w:val="00751CE5"/>
    <w:rsid w:val="00752D1B"/>
    <w:rsid w:val="00752E31"/>
    <w:rsid w:val="00754422"/>
    <w:rsid w:val="0075479A"/>
    <w:rsid w:val="00756C31"/>
    <w:rsid w:val="00757522"/>
    <w:rsid w:val="00757DDB"/>
    <w:rsid w:val="007601A2"/>
    <w:rsid w:val="00760C27"/>
    <w:rsid w:val="00761A35"/>
    <w:rsid w:val="00762719"/>
    <w:rsid w:val="007638B7"/>
    <w:rsid w:val="00763B35"/>
    <w:rsid w:val="00763BD5"/>
    <w:rsid w:val="007645E7"/>
    <w:rsid w:val="00764AA9"/>
    <w:rsid w:val="0076596C"/>
    <w:rsid w:val="00765C59"/>
    <w:rsid w:val="00766E99"/>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351A"/>
    <w:rsid w:val="007835CD"/>
    <w:rsid w:val="00784146"/>
    <w:rsid w:val="00785624"/>
    <w:rsid w:val="0078597C"/>
    <w:rsid w:val="00785E4A"/>
    <w:rsid w:val="0078722E"/>
    <w:rsid w:val="00787B55"/>
    <w:rsid w:val="00790654"/>
    <w:rsid w:val="00791846"/>
    <w:rsid w:val="00791BCD"/>
    <w:rsid w:val="00793702"/>
    <w:rsid w:val="00793A3D"/>
    <w:rsid w:val="00795C8B"/>
    <w:rsid w:val="00796A8D"/>
    <w:rsid w:val="007A0013"/>
    <w:rsid w:val="007A031B"/>
    <w:rsid w:val="007A109F"/>
    <w:rsid w:val="007A18BE"/>
    <w:rsid w:val="007A286D"/>
    <w:rsid w:val="007A3F24"/>
    <w:rsid w:val="007A5039"/>
    <w:rsid w:val="007A53E8"/>
    <w:rsid w:val="007A56AA"/>
    <w:rsid w:val="007A6324"/>
    <w:rsid w:val="007A71E2"/>
    <w:rsid w:val="007A77AB"/>
    <w:rsid w:val="007B0A78"/>
    <w:rsid w:val="007B1166"/>
    <w:rsid w:val="007B1399"/>
    <w:rsid w:val="007B1783"/>
    <w:rsid w:val="007B2578"/>
    <w:rsid w:val="007B3CD9"/>
    <w:rsid w:val="007B4AEB"/>
    <w:rsid w:val="007B4E79"/>
    <w:rsid w:val="007B527A"/>
    <w:rsid w:val="007B52B0"/>
    <w:rsid w:val="007B5373"/>
    <w:rsid w:val="007B59C8"/>
    <w:rsid w:val="007B5B2D"/>
    <w:rsid w:val="007B78DB"/>
    <w:rsid w:val="007B7A83"/>
    <w:rsid w:val="007B7CC1"/>
    <w:rsid w:val="007C0010"/>
    <w:rsid w:val="007C037C"/>
    <w:rsid w:val="007C17A0"/>
    <w:rsid w:val="007C3689"/>
    <w:rsid w:val="007C3CCB"/>
    <w:rsid w:val="007C46EA"/>
    <w:rsid w:val="007C5148"/>
    <w:rsid w:val="007C5397"/>
    <w:rsid w:val="007C55D4"/>
    <w:rsid w:val="007C60F0"/>
    <w:rsid w:val="007C6149"/>
    <w:rsid w:val="007C7174"/>
    <w:rsid w:val="007C725A"/>
    <w:rsid w:val="007C78A5"/>
    <w:rsid w:val="007D0232"/>
    <w:rsid w:val="007D10F7"/>
    <w:rsid w:val="007D1F29"/>
    <w:rsid w:val="007D3AE1"/>
    <w:rsid w:val="007D3C16"/>
    <w:rsid w:val="007D4D34"/>
    <w:rsid w:val="007D539D"/>
    <w:rsid w:val="007D7D7C"/>
    <w:rsid w:val="007E04AD"/>
    <w:rsid w:val="007E08B9"/>
    <w:rsid w:val="007E2E6A"/>
    <w:rsid w:val="007E379C"/>
    <w:rsid w:val="007E453E"/>
    <w:rsid w:val="007E4ECC"/>
    <w:rsid w:val="007E7651"/>
    <w:rsid w:val="007E7724"/>
    <w:rsid w:val="007E7770"/>
    <w:rsid w:val="007E7879"/>
    <w:rsid w:val="007E7A56"/>
    <w:rsid w:val="007F107E"/>
    <w:rsid w:val="007F16A4"/>
    <w:rsid w:val="007F3EC5"/>
    <w:rsid w:val="007F48F0"/>
    <w:rsid w:val="007F4A49"/>
    <w:rsid w:val="007F59E9"/>
    <w:rsid w:val="007F653F"/>
    <w:rsid w:val="007F76DC"/>
    <w:rsid w:val="007F7DF8"/>
    <w:rsid w:val="007F7F29"/>
    <w:rsid w:val="0080019A"/>
    <w:rsid w:val="00802413"/>
    <w:rsid w:val="00802E39"/>
    <w:rsid w:val="008036B2"/>
    <w:rsid w:val="00803A0A"/>
    <w:rsid w:val="008064EE"/>
    <w:rsid w:val="0080706C"/>
    <w:rsid w:val="008074EA"/>
    <w:rsid w:val="00807A36"/>
    <w:rsid w:val="00807B15"/>
    <w:rsid w:val="00810CE5"/>
    <w:rsid w:val="00811595"/>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992"/>
    <w:rsid w:val="00826B1E"/>
    <w:rsid w:val="00826B61"/>
    <w:rsid w:val="00826EA4"/>
    <w:rsid w:val="00827DE9"/>
    <w:rsid w:val="0083048B"/>
    <w:rsid w:val="00830574"/>
    <w:rsid w:val="00830C9F"/>
    <w:rsid w:val="00831B4B"/>
    <w:rsid w:val="00832239"/>
    <w:rsid w:val="0083227C"/>
    <w:rsid w:val="0083310D"/>
    <w:rsid w:val="008331A0"/>
    <w:rsid w:val="00833ABE"/>
    <w:rsid w:val="00834974"/>
    <w:rsid w:val="008359A9"/>
    <w:rsid w:val="008401DA"/>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B3D"/>
    <w:rsid w:val="00853DA7"/>
    <w:rsid w:val="008543F7"/>
    <w:rsid w:val="00854B34"/>
    <w:rsid w:val="00855FAA"/>
    <w:rsid w:val="00856655"/>
    <w:rsid w:val="0085676C"/>
    <w:rsid w:val="008569B3"/>
    <w:rsid w:val="008573DE"/>
    <w:rsid w:val="0085763A"/>
    <w:rsid w:val="00860452"/>
    <w:rsid w:val="0086137E"/>
    <w:rsid w:val="0086180C"/>
    <w:rsid w:val="00861CE0"/>
    <w:rsid w:val="00861DA0"/>
    <w:rsid w:val="00863D9B"/>
    <w:rsid w:val="008641C6"/>
    <w:rsid w:val="0086434E"/>
    <w:rsid w:val="00864989"/>
    <w:rsid w:val="00864AD8"/>
    <w:rsid w:val="00867476"/>
    <w:rsid w:val="0087002E"/>
    <w:rsid w:val="0087152A"/>
    <w:rsid w:val="008724FF"/>
    <w:rsid w:val="008727C7"/>
    <w:rsid w:val="00873168"/>
    <w:rsid w:val="0087460F"/>
    <w:rsid w:val="0087489A"/>
    <w:rsid w:val="00875319"/>
    <w:rsid w:val="008764D9"/>
    <w:rsid w:val="00876719"/>
    <w:rsid w:val="00877BF0"/>
    <w:rsid w:val="008815D2"/>
    <w:rsid w:val="00883CCC"/>
    <w:rsid w:val="00884722"/>
    <w:rsid w:val="00884B0C"/>
    <w:rsid w:val="00884F42"/>
    <w:rsid w:val="0088653A"/>
    <w:rsid w:val="00886BB9"/>
    <w:rsid w:val="008870F0"/>
    <w:rsid w:val="00887131"/>
    <w:rsid w:val="008876AE"/>
    <w:rsid w:val="00887DC3"/>
    <w:rsid w:val="008906A1"/>
    <w:rsid w:val="00890F6C"/>
    <w:rsid w:val="0089145D"/>
    <w:rsid w:val="00891492"/>
    <w:rsid w:val="008915C4"/>
    <w:rsid w:val="0089191E"/>
    <w:rsid w:val="00891F25"/>
    <w:rsid w:val="0089289F"/>
    <w:rsid w:val="00892EEF"/>
    <w:rsid w:val="00893934"/>
    <w:rsid w:val="00893F2D"/>
    <w:rsid w:val="00894487"/>
    <w:rsid w:val="00895FAA"/>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B83"/>
    <w:rsid w:val="008A6FFC"/>
    <w:rsid w:val="008B08B0"/>
    <w:rsid w:val="008B0A8B"/>
    <w:rsid w:val="008B13A0"/>
    <w:rsid w:val="008B13F7"/>
    <w:rsid w:val="008B15A4"/>
    <w:rsid w:val="008B1B30"/>
    <w:rsid w:val="008B1F37"/>
    <w:rsid w:val="008B5CD1"/>
    <w:rsid w:val="008B6497"/>
    <w:rsid w:val="008B6EF1"/>
    <w:rsid w:val="008B72D1"/>
    <w:rsid w:val="008C0CCB"/>
    <w:rsid w:val="008C1568"/>
    <w:rsid w:val="008C3D8A"/>
    <w:rsid w:val="008C6595"/>
    <w:rsid w:val="008C6B25"/>
    <w:rsid w:val="008C7197"/>
    <w:rsid w:val="008C7A7E"/>
    <w:rsid w:val="008D23F0"/>
    <w:rsid w:val="008D2CB8"/>
    <w:rsid w:val="008D3077"/>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703A"/>
    <w:rsid w:val="008E7DBB"/>
    <w:rsid w:val="008F0982"/>
    <w:rsid w:val="008F1052"/>
    <w:rsid w:val="008F1181"/>
    <w:rsid w:val="008F1881"/>
    <w:rsid w:val="008F18C0"/>
    <w:rsid w:val="008F3E69"/>
    <w:rsid w:val="008F43F8"/>
    <w:rsid w:val="008F4B45"/>
    <w:rsid w:val="008F6EFE"/>
    <w:rsid w:val="008F76FC"/>
    <w:rsid w:val="008F7A9D"/>
    <w:rsid w:val="00900053"/>
    <w:rsid w:val="0090040D"/>
    <w:rsid w:val="00902CA4"/>
    <w:rsid w:val="00902EFC"/>
    <w:rsid w:val="00903007"/>
    <w:rsid w:val="00903047"/>
    <w:rsid w:val="0090383D"/>
    <w:rsid w:val="00904A53"/>
    <w:rsid w:val="0090546E"/>
    <w:rsid w:val="0090624B"/>
    <w:rsid w:val="0090721B"/>
    <w:rsid w:val="0090734C"/>
    <w:rsid w:val="009073A7"/>
    <w:rsid w:val="009109CB"/>
    <w:rsid w:val="00910F89"/>
    <w:rsid w:val="00911A4C"/>
    <w:rsid w:val="0091201A"/>
    <w:rsid w:val="00912389"/>
    <w:rsid w:val="0091246A"/>
    <w:rsid w:val="0091411C"/>
    <w:rsid w:val="00914CA2"/>
    <w:rsid w:val="00915DEE"/>
    <w:rsid w:val="00920322"/>
    <w:rsid w:val="00920389"/>
    <w:rsid w:val="0092058C"/>
    <w:rsid w:val="00920EF8"/>
    <w:rsid w:val="00920F68"/>
    <w:rsid w:val="009218ED"/>
    <w:rsid w:val="009221AC"/>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2B1E"/>
    <w:rsid w:val="00962C57"/>
    <w:rsid w:val="00962F29"/>
    <w:rsid w:val="00963973"/>
    <w:rsid w:val="00964BA6"/>
    <w:rsid w:val="00964E70"/>
    <w:rsid w:val="00966189"/>
    <w:rsid w:val="009673ED"/>
    <w:rsid w:val="00967519"/>
    <w:rsid w:val="00967E42"/>
    <w:rsid w:val="00970D98"/>
    <w:rsid w:val="00971121"/>
    <w:rsid w:val="009726CE"/>
    <w:rsid w:val="009728B5"/>
    <w:rsid w:val="00973D15"/>
    <w:rsid w:val="00973DAD"/>
    <w:rsid w:val="00975931"/>
    <w:rsid w:val="00975EDA"/>
    <w:rsid w:val="009770D8"/>
    <w:rsid w:val="009771C4"/>
    <w:rsid w:val="00980032"/>
    <w:rsid w:val="0098104B"/>
    <w:rsid w:val="009817C6"/>
    <w:rsid w:val="009820FF"/>
    <w:rsid w:val="00982DFB"/>
    <w:rsid w:val="00984D10"/>
    <w:rsid w:val="00985585"/>
    <w:rsid w:val="00986233"/>
    <w:rsid w:val="0098707E"/>
    <w:rsid w:val="00991079"/>
    <w:rsid w:val="00991323"/>
    <w:rsid w:val="00991DF7"/>
    <w:rsid w:val="00994049"/>
    <w:rsid w:val="00994E50"/>
    <w:rsid w:val="009A08AC"/>
    <w:rsid w:val="009A0B2C"/>
    <w:rsid w:val="009A1267"/>
    <w:rsid w:val="009A1439"/>
    <w:rsid w:val="009A1774"/>
    <w:rsid w:val="009A26FC"/>
    <w:rsid w:val="009A322B"/>
    <w:rsid w:val="009A636C"/>
    <w:rsid w:val="009A6AD9"/>
    <w:rsid w:val="009A6BC4"/>
    <w:rsid w:val="009A777B"/>
    <w:rsid w:val="009B041A"/>
    <w:rsid w:val="009B0B85"/>
    <w:rsid w:val="009B1678"/>
    <w:rsid w:val="009B1B24"/>
    <w:rsid w:val="009B213A"/>
    <w:rsid w:val="009B277E"/>
    <w:rsid w:val="009B3822"/>
    <w:rsid w:val="009B4219"/>
    <w:rsid w:val="009B47E2"/>
    <w:rsid w:val="009B4B1E"/>
    <w:rsid w:val="009B71C0"/>
    <w:rsid w:val="009B753D"/>
    <w:rsid w:val="009C05BF"/>
    <w:rsid w:val="009C06B4"/>
    <w:rsid w:val="009C0AC0"/>
    <w:rsid w:val="009C11A5"/>
    <w:rsid w:val="009C2967"/>
    <w:rsid w:val="009C33DF"/>
    <w:rsid w:val="009C3A96"/>
    <w:rsid w:val="009C5AF7"/>
    <w:rsid w:val="009C5B7A"/>
    <w:rsid w:val="009C7B50"/>
    <w:rsid w:val="009D147A"/>
    <w:rsid w:val="009D1A68"/>
    <w:rsid w:val="009D27A4"/>
    <w:rsid w:val="009D3E59"/>
    <w:rsid w:val="009D5280"/>
    <w:rsid w:val="009D72A1"/>
    <w:rsid w:val="009E0939"/>
    <w:rsid w:val="009E0971"/>
    <w:rsid w:val="009E179C"/>
    <w:rsid w:val="009E2C50"/>
    <w:rsid w:val="009E3E93"/>
    <w:rsid w:val="009E5D02"/>
    <w:rsid w:val="009E60D1"/>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135E"/>
    <w:rsid w:val="00A02DDF"/>
    <w:rsid w:val="00A0495C"/>
    <w:rsid w:val="00A054E8"/>
    <w:rsid w:val="00A05936"/>
    <w:rsid w:val="00A05AC9"/>
    <w:rsid w:val="00A061E3"/>
    <w:rsid w:val="00A0768A"/>
    <w:rsid w:val="00A07F43"/>
    <w:rsid w:val="00A07FEF"/>
    <w:rsid w:val="00A113AD"/>
    <w:rsid w:val="00A1186C"/>
    <w:rsid w:val="00A125D6"/>
    <w:rsid w:val="00A1281B"/>
    <w:rsid w:val="00A12A29"/>
    <w:rsid w:val="00A16AF8"/>
    <w:rsid w:val="00A16F43"/>
    <w:rsid w:val="00A17496"/>
    <w:rsid w:val="00A20975"/>
    <w:rsid w:val="00A21956"/>
    <w:rsid w:val="00A22D67"/>
    <w:rsid w:val="00A23616"/>
    <w:rsid w:val="00A24189"/>
    <w:rsid w:val="00A24A64"/>
    <w:rsid w:val="00A24C1C"/>
    <w:rsid w:val="00A25CB5"/>
    <w:rsid w:val="00A2774F"/>
    <w:rsid w:val="00A278D8"/>
    <w:rsid w:val="00A27906"/>
    <w:rsid w:val="00A302BA"/>
    <w:rsid w:val="00A3069B"/>
    <w:rsid w:val="00A30AC2"/>
    <w:rsid w:val="00A31418"/>
    <w:rsid w:val="00A32198"/>
    <w:rsid w:val="00A33191"/>
    <w:rsid w:val="00A34386"/>
    <w:rsid w:val="00A343ED"/>
    <w:rsid w:val="00A3479C"/>
    <w:rsid w:val="00A350CA"/>
    <w:rsid w:val="00A3571B"/>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627"/>
    <w:rsid w:val="00A47265"/>
    <w:rsid w:val="00A5025B"/>
    <w:rsid w:val="00A50406"/>
    <w:rsid w:val="00A50C90"/>
    <w:rsid w:val="00A51BC2"/>
    <w:rsid w:val="00A528D5"/>
    <w:rsid w:val="00A53577"/>
    <w:rsid w:val="00A53806"/>
    <w:rsid w:val="00A53CE7"/>
    <w:rsid w:val="00A53D41"/>
    <w:rsid w:val="00A541A4"/>
    <w:rsid w:val="00A54D41"/>
    <w:rsid w:val="00A55B5A"/>
    <w:rsid w:val="00A5630F"/>
    <w:rsid w:val="00A56668"/>
    <w:rsid w:val="00A57BBA"/>
    <w:rsid w:val="00A60021"/>
    <w:rsid w:val="00A6016A"/>
    <w:rsid w:val="00A60B4E"/>
    <w:rsid w:val="00A624B7"/>
    <w:rsid w:val="00A6362F"/>
    <w:rsid w:val="00A6373B"/>
    <w:rsid w:val="00A65B09"/>
    <w:rsid w:val="00A65C09"/>
    <w:rsid w:val="00A65E0A"/>
    <w:rsid w:val="00A66572"/>
    <w:rsid w:val="00A675B6"/>
    <w:rsid w:val="00A67FE1"/>
    <w:rsid w:val="00A72F04"/>
    <w:rsid w:val="00A7360C"/>
    <w:rsid w:val="00A73CFF"/>
    <w:rsid w:val="00A740C8"/>
    <w:rsid w:val="00A74854"/>
    <w:rsid w:val="00A75F6E"/>
    <w:rsid w:val="00A767D7"/>
    <w:rsid w:val="00A76BD6"/>
    <w:rsid w:val="00A76C1E"/>
    <w:rsid w:val="00A76E7C"/>
    <w:rsid w:val="00A77305"/>
    <w:rsid w:val="00A77588"/>
    <w:rsid w:val="00A77645"/>
    <w:rsid w:val="00A77800"/>
    <w:rsid w:val="00A80BA4"/>
    <w:rsid w:val="00A8193A"/>
    <w:rsid w:val="00A8213C"/>
    <w:rsid w:val="00A821BB"/>
    <w:rsid w:val="00A83360"/>
    <w:rsid w:val="00A833BB"/>
    <w:rsid w:val="00A845D6"/>
    <w:rsid w:val="00A84AE3"/>
    <w:rsid w:val="00A857DB"/>
    <w:rsid w:val="00A868EB"/>
    <w:rsid w:val="00A87064"/>
    <w:rsid w:val="00A90350"/>
    <w:rsid w:val="00A903B1"/>
    <w:rsid w:val="00A90C47"/>
    <w:rsid w:val="00A924AA"/>
    <w:rsid w:val="00A92C7A"/>
    <w:rsid w:val="00A92EF8"/>
    <w:rsid w:val="00A93471"/>
    <w:rsid w:val="00A93678"/>
    <w:rsid w:val="00A93DFC"/>
    <w:rsid w:val="00A94D9C"/>
    <w:rsid w:val="00A966E2"/>
    <w:rsid w:val="00AA02AE"/>
    <w:rsid w:val="00AA0614"/>
    <w:rsid w:val="00AA1C21"/>
    <w:rsid w:val="00AA3363"/>
    <w:rsid w:val="00AA46AC"/>
    <w:rsid w:val="00AB1878"/>
    <w:rsid w:val="00AB1E21"/>
    <w:rsid w:val="00AB1E30"/>
    <w:rsid w:val="00AB2477"/>
    <w:rsid w:val="00AB24A1"/>
    <w:rsid w:val="00AB48F7"/>
    <w:rsid w:val="00AB56F0"/>
    <w:rsid w:val="00AB5DBD"/>
    <w:rsid w:val="00AB78D6"/>
    <w:rsid w:val="00AC1537"/>
    <w:rsid w:val="00AC1812"/>
    <w:rsid w:val="00AC2572"/>
    <w:rsid w:val="00AC34C4"/>
    <w:rsid w:val="00AC372E"/>
    <w:rsid w:val="00AC4DB8"/>
    <w:rsid w:val="00AC4DDD"/>
    <w:rsid w:val="00AC53CC"/>
    <w:rsid w:val="00AC5CF0"/>
    <w:rsid w:val="00AC6B09"/>
    <w:rsid w:val="00AC72A7"/>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4B39"/>
    <w:rsid w:val="00AE5A82"/>
    <w:rsid w:val="00AE5D7E"/>
    <w:rsid w:val="00AE72F0"/>
    <w:rsid w:val="00AE7BB7"/>
    <w:rsid w:val="00AF1469"/>
    <w:rsid w:val="00AF1BF6"/>
    <w:rsid w:val="00AF2D05"/>
    <w:rsid w:val="00AF31F1"/>
    <w:rsid w:val="00AF364C"/>
    <w:rsid w:val="00AF3723"/>
    <w:rsid w:val="00AF425A"/>
    <w:rsid w:val="00AF464D"/>
    <w:rsid w:val="00AF4E85"/>
    <w:rsid w:val="00AF633C"/>
    <w:rsid w:val="00AF6474"/>
    <w:rsid w:val="00AF703C"/>
    <w:rsid w:val="00AF728F"/>
    <w:rsid w:val="00AF7FD0"/>
    <w:rsid w:val="00B01491"/>
    <w:rsid w:val="00B01AFC"/>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C55"/>
    <w:rsid w:val="00B423DA"/>
    <w:rsid w:val="00B4316B"/>
    <w:rsid w:val="00B45720"/>
    <w:rsid w:val="00B45CC1"/>
    <w:rsid w:val="00B460C2"/>
    <w:rsid w:val="00B5061B"/>
    <w:rsid w:val="00B51848"/>
    <w:rsid w:val="00B52010"/>
    <w:rsid w:val="00B520AB"/>
    <w:rsid w:val="00B520EA"/>
    <w:rsid w:val="00B53784"/>
    <w:rsid w:val="00B5388C"/>
    <w:rsid w:val="00B539CC"/>
    <w:rsid w:val="00B54FE4"/>
    <w:rsid w:val="00B5703B"/>
    <w:rsid w:val="00B5773A"/>
    <w:rsid w:val="00B60AB0"/>
    <w:rsid w:val="00B60C22"/>
    <w:rsid w:val="00B6256F"/>
    <w:rsid w:val="00B63566"/>
    <w:rsid w:val="00B63CBD"/>
    <w:rsid w:val="00B64B07"/>
    <w:rsid w:val="00B651EF"/>
    <w:rsid w:val="00B65DB7"/>
    <w:rsid w:val="00B6612C"/>
    <w:rsid w:val="00B66E96"/>
    <w:rsid w:val="00B7152D"/>
    <w:rsid w:val="00B71EA4"/>
    <w:rsid w:val="00B72481"/>
    <w:rsid w:val="00B72A3C"/>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60F4"/>
    <w:rsid w:val="00B86444"/>
    <w:rsid w:val="00B8772A"/>
    <w:rsid w:val="00B904A0"/>
    <w:rsid w:val="00B90535"/>
    <w:rsid w:val="00B90956"/>
    <w:rsid w:val="00B90BCA"/>
    <w:rsid w:val="00B91E24"/>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381"/>
    <w:rsid w:val="00BB20D7"/>
    <w:rsid w:val="00BB225F"/>
    <w:rsid w:val="00BB27A6"/>
    <w:rsid w:val="00BB2839"/>
    <w:rsid w:val="00BB31CE"/>
    <w:rsid w:val="00BB5E32"/>
    <w:rsid w:val="00BC0188"/>
    <w:rsid w:val="00BC01B1"/>
    <w:rsid w:val="00BC0A7A"/>
    <w:rsid w:val="00BC179D"/>
    <w:rsid w:val="00BC1B57"/>
    <w:rsid w:val="00BC2130"/>
    <w:rsid w:val="00BC2EB5"/>
    <w:rsid w:val="00BC3751"/>
    <w:rsid w:val="00BC3C72"/>
    <w:rsid w:val="00BC3FE1"/>
    <w:rsid w:val="00BC47CB"/>
    <w:rsid w:val="00BC5D7E"/>
    <w:rsid w:val="00BC6FB7"/>
    <w:rsid w:val="00BC79B8"/>
    <w:rsid w:val="00BC7DC5"/>
    <w:rsid w:val="00BD027D"/>
    <w:rsid w:val="00BD18A4"/>
    <w:rsid w:val="00BD1CC3"/>
    <w:rsid w:val="00BD257E"/>
    <w:rsid w:val="00BD27F2"/>
    <w:rsid w:val="00BD33DA"/>
    <w:rsid w:val="00BD73DE"/>
    <w:rsid w:val="00BE04C1"/>
    <w:rsid w:val="00BE1128"/>
    <w:rsid w:val="00BE1815"/>
    <w:rsid w:val="00BE1D42"/>
    <w:rsid w:val="00BE1DEC"/>
    <w:rsid w:val="00BE2F82"/>
    <w:rsid w:val="00BE436B"/>
    <w:rsid w:val="00BE57DA"/>
    <w:rsid w:val="00BE64B3"/>
    <w:rsid w:val="00BE6D32"/>
    <w:rsid w:val="00BE718E"/>
    <w:rsid w:val="00BE77C3"/>
    <w:rsid w:val="00BF04D1"/>
    <w:rsid w:val="00BF0838"/>
    <w:rsid w:val="00BF0AFB"/>
    <w:rsid w:val="00BF135E"/>
    <w:rsid w:val="00BF14A4"/>
    <w:rsid w:val="00BF259B"/>
    <w:rsid w:val="00BF3262"/>
    <w:rsid w:val="00BF36FE"/>
    <w:rsid w:val="00BF421F"/>
    <w:rsid w:val="00BF4BC9"/>
    <w:rsid w:val="00BF4FA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EA8"/>
    <w:rsid w:val="00C12675"/>
    <w:rsid w:val="00C131F4"/>
    <w:rsid w:val="00C13299"/>
    <w:rsid w:val="00C1355F"/>
    <w:rsid w:val="00C14311"/>
    <w:rsid w:val="00C14F13"/>
    <w:rsid w:val="00C15190"/>
    <w:rsid w:val="00C151BF"/>
    <w:rsid w:val="00C156E4"/>
    <w:rsid w:val="00C15EBE"/>
    <w:rsid w:val="00C164B8"/>
    <w:rsid w:val="00C167E7"/>
    <w:rsid w:val="00C201EB"/>
    <w:rsid w:val="00C22226"/>
    <w:rsid w:val="00C22561"/>
    <w:rsid w:val="00C24239"/>
    <w:rsid w:val="00C257FE"/>
    <w:rsid w:val="00C25D01"/>
    <w:rsid w:val="00C25E06"/>
    <w:rsid w:val="00C25FAA"/>
    <w:rsid w:val="00C27009"/>
    <w:rsid w:val="00C277EE"/>
    <w:rsid w:val="00C27B38"/>
    <w:rsid w:val="00C27EAA"/>
    <w:rsid w:val="00C3066F"/>
    <w:rsid w:val="00C30E34"/>
    <w:rsid w:val="00C31D06"/>
    <w:rsid w:val="00C32027"/>
    <w:rsid w:val="00C32BD8"/>
    <w:rsid w:val="00C33308"/>
    <w:rsid w:val="00C35005"/>
    <w:rsid w:val="00C350BE"/>
    <w:rsid w:val="00C35368"/>
    <w:rsid w:val="00C35F3E"/>
    <w:rsid w:val="00C36324"/>
    <w:rsid w:val="00C37F8F"/>
    <w:rsid w:val="00C403F5"/>
    <w:rsid w:val="00C40480"/>
    <w:rsid w:val="00C40D6B"/>
    <w:rsid w:val="00C41422"/>
    <w:rsid w:val="00C41B10"/>
    <w:rsid w:val="00C43AE2"/>
    <w:rsid w:val="00C44DF0"/>
    <w:rsid w:val="00C45865"/>
    <w:rsid w:val="00C46D3F"/>
    <w:rsid w:val="00C47558"/>
    <w:rsid w:val="00C50600"/>
    <w:rsid w:val="00C50DAB"/>
    <w:rsid w:val="00C5204D"/>
    <w:rsid w:val="00C520C4"/>
    <w:rsid w:val="00C54080"/>
    <w:rsid w:val="00C560C0"/>
    <w:rsid w:val="00C56317"/>
    <w:rsid w:val="00C56D97"/>
    <w:rsid w:val="00C62BA6"/>
    <w:rsid w:val="00C62C85"/>
    <w:rsid w:val="00C6501A"/>
    <w:rsid w:val="00C6551B"/>
    <w:rsid w:val="00C66AE7"/>
    <w:rsid w:val="00C674C8"/>
    <w:rsid w:val="00C678A5"/>
    <w:rsid w:val="00C706E1"/>
    <w:rsid w:val="00C70AC2"/>
    <w:rsid w:val="00C711AA"/>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4E15"/>
    <w:rsid w:val="00C86328"/>
    <w:rsid w:val="00C86371"/>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676C"/>
    <w:rsid w:val="00CA715F"/>
    <w:rsid w:val="00CA7491"/>
    <w:rsid w:val="00CB0DF0"/>
    <w:rsid w:val="00CB11C7"/>
    <w:rsid w:val="00CB20BF"/>
    <w:rsid w:val="00CB215E"/>
    <w:rsid w:val="00CB34D1"/>
    <w:rsid w:val="00CB3533"/>
    <w:rsid w:val="00CB3C24"/>
    <w:rsid w:val="00CB3E99"/>
    <w:rsid w:val="00CB40A6"/>
    <w:rsid w:val="00CB55EE"/>
    <w:rsid w:val="00CB632B"/>
    <w:rsid w:val="00CB6881"/>
    <w:rsid w:val="00CB6E4D"/>
    <w:rsid w:val="00CB7600"/>
    <w:rsid w:val="00CB7AB2"/>
    <w:rsid w:val="00CC1F4D"/>
    <w:rsid w:val="00CC34F1"/>
    <w:rsid w:val="00CC4578"/>
    <w:rsid w:val="00CC53D9"/>
    <w:rsid w:val="00CC5A21"/>
    <w:rsid w:val="00CC689E"/>
    <w:rsid w:val="00CC6928"/>
    <w:rsid w:val="00CC75AE"/>
    <w:rsid w:val="00CC7883"/>
    <w:rsid w:val="00CC7AED"/>
    <w:rsid w:val="00CD1A02"/>
    <w:rsid w:val="00CD2861"/>
    <w:rsid w:val="00CD3F1F"/>
    <w:rsid w:val="00CD3F5B"/>
    <w:rsid w:val="00CD427E"/>
    <w:rsid w:val="00CD6B84"/>
    <w:rsid w:val="00CE0886"/>
    <w:rsid w:val="00CE1623"/>
    <w:rsid w:val="00CE2BA6"/>
    <w:rsid w:val="00CE2BEE"/>
    <w:rsid w:val="00CE421B"/>
    <w:rsid w:val="00CE436F"/>
    <w:rsid w:val="00CE4BCC"/>
    <w:rsid w:val="00CE4F06"/>
    <w:rsid w:val="00CE5D63"/>
    <w:rsid w:val="00CE5E89"/>
    <w:rsid w:val="00CE71E4"/>
    <w:rsid w:val="00CE7D41"/>
    <w:rsid w:val="00CF067D"/>
    <w:rsid w:val="00CF122F"/>
    <w:rsid w:val="00CF1824"/>
    <w:rsid w:val="00CF2197"/>
    <w:rsid w:val="00CF41F4"/>
    <w:rsid w:val="00CF4ED3"/>
    <w:rsid w:val="00CF799A"/>
    <w:rsid w:val="00CF7FD0"/>
    <w:rsid w:val="00D02065"/>
    <w:rsid w:val="00D02138"/>
    <w:rsid w:val="00D023A0"/>
    <w:rsid w:val="00D02BEC"/>
    <w:rsid w:val="00D02EAA"/>
    <w:rsid w:val="00D035B3"/>
    <w:rsid w:val="00D0422B"/>
    <w:rsid w:val="00D04CB4"/>
    <w:rsid w:val="00D04EB4"/>
    <w:rsid w:val="00D05E92"/>
    <w:rsid w:val="00D06C80"/>
    <w:rsid w:val="00D06DCA"/>
    <w:rsid w:val="00D07492"/>
    <w:rsid w:val="00D112D0"/>
    <w:rsid w:val="00D11587"/>
    <w:rsid w:val="00D11A2F"/>
    <w:rsid w:val="00D11AD5"/>
    <w:rsid w:val="00D12033"/>
    <w:rsid w:val="00D12FF4"/>
    <w:rsid w:val="00D13EE5"/>
    <w:rsid w:val="00D14562"/>
    <w:rsid w:val="00D15BD9"/>
    <w:rsid w:val="00D16D6C"/>
    <w:rsid w:val="00D16F40"/>
    <w:rsid w:val="00D1723A"/>
    <w:rsid w:val="00D17545"/>
    <w:rsid w:val="00D2043E"/>
    <w:rsid w:val="00D204E2"/>
    <w:rsid w:val="00D21D5C"/>
    <w:rsid w:val="00D21D60"/>
    <w:rsid w:val="00D2219D"/>
    <w:rsid w:val="00D2226C"/>
    <w:rsid w:val="00D22624"/>
    <w:rsid w:val="00D25430"/>
    <w:rsid w:val="00D25696"/>
    <w:rsid w:val="00D25835"/>
    <w:rsid w:val="00D27D0E"/>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7AD0"/>
    <w:rsid w:val="00D47C42"/>
    <w:rsid w:val="00D50909"/>
    <w:rsid w:val="00D51E44"/>
    <w:rsid w:val="00D51F15"/>
    <w:rsid w:val="00D520E9"/>
    <w:rsid w:val="00D52857"/>
    <w:rsid w:val="00D52B70"/>
    <w:rsid w:val="00D52C68"/>
    <w:rsid w:val="00D5327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9EE"/>
    <w:rsid w:val="00D65BC3"/>
    <w:rsid w:val="00D65EFE"/>
    <w:rsid w:val="00D67AB5"/>
    <w:rsid w:val="00D70314"/>
    <w:rsid w:val="00D71C80"/>
    <w:rsid w:val="00D7238E"/>
    <w:rsid w:val="00D7283E"/>
    <w:rsid w:val="00D72AC7"/>
    <w:rsid w:val="00D73003"/>
    <w:rsid w:val="00D73019"/>
    <w:rsid w:val="00D73287"/>
    <w:rsid w:val="00D73C03"/>
    <w:rsid w:val="00D74A1C"/>
    <w:rsid w:val="00D75131"/>
    <w:rsid w:val="00D754B2"/>
    <w:rsid w:val="00D7625B"/>
    <w:rsid w:val="00D76572"/>
    <w:rsid w:val="00D773DE"/>
    <w:rsid w:val="00D774B9"/>
    <w:rsid w:val="00D831E5"/>
    <w:rsid w:val="00D83373"/>
    <w:rsid w:val="00D83E66"/>
    <w:rsid w:val="00D84288"/>
    <w:rsid w:val="00D84A27"/>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5D55"/>
    <w:rsid w:val="00D963F6"/>
    <w:rsid w:val="00D96B54"/>
    <w:rsid w:val="00D96B73"/>
    <w:rsid w:val="00DA124B"/>
    <w:rsid w:val="00DA1914"/>
    <w:rsid w:val="00DA1B2C"/>
    <w:rsid w:val="00DA3FAB"/>
    <w:rsid w:val="00DA7436"/>
    <w:rsid w:val="00DA7A62"/>
    <w:rsid w:val="00DB062B"/>
    <w:rsid w:val="00DB1C7A"/>
    <w:rsid w:val="00DB2E16"/>
    <w:rsid w:val="00DB3B45"/>
    <w:rsid w:val="00DB4EC7"/>
    <w:rsid w:val="00DB6583"/>
    <w:rsid w:val="00DB6601"/>
    <w:rsid w:val="00DB7F76"/>
    <w:rsid w:val="00DC012C"/>
    <w:rsid w:val="00DC12E0"/>
    <w:rsid w:val="00DC2C0B"/>
    <w:rsid w:val="00DC2D7F"/>
    <w:rsid w:val="00DC2F99"/>
    <w:rsid w:val="00DC3A9E"/>
    <w:rsid w:val="00DC3DF2"/>
    <w:rsid w:val="00DC42B1"/>
    <w:rsid w:val="00DC435B"/>
    <w:rsid w:val="00DC4713"/>
    <w:rsid w:val="00DC489D"/>
    <w:rsid w:val="00DC4921"/>
    <w:rsid w:val="00DC4B6A"/>
    <w:rsid w:val="00DC5A65"/>
    <w:rsid w:val="00DC6308"/>
    <w:rsid w:val="00DC670E"/>
    <w:rsid w:val="00DC7094"/>
    <w:rsid w:val="00DD1B96"/>
    <w:rsid w:val="00DD2013"/>
    <w:rsid w:val="00DD2123"/>
    <w:rsid w:val="00DD3A30"/>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5067"/>
    <w:rsid w:val="00DE50BA"/>
    <w:rsid w:val="00DE5EA2"/>
    <w:rsid w:val="00DE729C"/>
    <w:rsid w:val="00DF04D3"/>
    <w:rsid w:val="00DF0699"/>
    <w:rsid w:val="00DF1293"/>
    <w:rsid w:val="00DF208B"/>
    <w:rsid w:val="00DF266B"/>
    <w:rsid w:val="00DF2A1F"/>
    <w:rsid w:val="00DF2AC9"/>
    <w:rsid w:val="00DF390F"/>
    <w:rsid w:val="00DF3F38"/>
    <w:rsid w:val="00DF4B5B"/>
    <w:rsid w:val="00DF5FCE"/>
    <w:rsid w:val="00DF64EF"/>
    <w:rsid w:val="00DF69CE"/>
    <w:rsid w:val="00DF6FAB"/>
    <w:rsid w:val="00DF7181"/>
    <w:rsid w:val="00DF79B7"/>
    <w:rsid w:val="00DF7E8C"/>
    <w:rsid w:val="00E00246"/>
    <w:rsid w:val="00E00813"/>
    <w:rsid w:val="00E011CD"/>
    <w:rsid w:val="00E01792"/>
    <w:rsid w:val="00E022CA"/>
    <w:rsid w:val="00E02580"/>
    <w:rsid w:val="00E02A54"/>
    <w:rsid w:val="00E02CE5"/>
    <w:rsid w:val="00E031D1"/>
    <w:rsid w:val="00E03480"/>
    <w:rsid w:val="00E038EE"/>
    <w:rsid w:val="00E0474B"/>
    <w:rsid w:val="00E052FB"/>
    <w:rsid w:val="00E05BA5"/>
    <w:rsid w:val="00E06D69"/>
    <w:rsid w:val="00E06F86"/>
    <w:rsid w:val="00E07180"/>
    <w:rsid w:val="00E0737C"/>
    <w:rsid w:val="00E07762"/>
    <w:rsid w:val="00E100CC"/>
    <w:rsid w:val="00E109E1"/>
    <w:rsid w:val="00E12388"/>
    <w:rsid w:val="00E12935"/>
    <w:rsid w:val="00E14159"/>
    <w:rsid w:val="00E15054"/>
    <w:rsid w:val="00E1661B"/>
    <w:rsid w:val="00E16FDF"/>
    <w:rsid w:val="00E1717D"/>
    <w:rsid w:val="00E17DF1"/>
    <w:rsid w:val="00E20224"/>
    <w:rsid w:val="00E2109E"/>
    <w:rsid w:val="00E222AD"/>
    <w:rsid w:val="00E223E5"/>
    <w:rsid w:val="00E233B2"/>
    <w:rsid w:val="00E23F80"/>
    <w:rsid w:val="00E24004"/>
    <w:rsid w:val="00E24503"/>
    <w:rsid w:val="00E2785B"/>
    <w:rsid w:val="00E309FC"/>
    <w:rsid w:val="00E31AFD"/>
    <w:rsid w:val="00E36B37"/>
    <w:rsid w:val="00E3748E"/>
    <w:rsid w:val="00E4104A"/>
    <w:rsid w:val="00E411B6"/>
    <w:rsid w:val="00E414C3"/>
    <w:rsid w:val="00E41631"/>
    <w:rsid w:val="00E41C4B"/>
    <w:rsid w:val="00E42D52"/>
    <w:rsid w:val="00E42E0D"/>
    <w:rsid w:val="00E430F3"/>
    <w:rsid w:val="00E43471"/>
    <w:rsid w:val="00E436C9"/>
    <w:rsid w:val="00E43BC8"/>
    <w:rsid w:val="00E46174"/>
    <w:rsid w:val="00E46BA0"/>
    <w:rsid w:val="00E46EB1"/>
    <w:rsid w:val="00E479C0"/>
    <w:rsid w:val="00E47E08"/>
    <w:rsid w:val="00E51518"/>
    <w:rsid w:val="00E52DC0"/>
    <w:rsid w:val="00E55184"/>
    <w:rsid w:val="00E552B9"/>
    <w:rsid w:val="00E55AFF"/>
    <w:rsid w:val="00E5634E"/>
    <w:rsid w:val="00E56EFE"/>
    <w:rsid w:val="00E600F4"/>
    <w:rsid w:val="00E601A8"/>
    <w:rsid w:val="00E609D6"/>
    <w:rsid w:val="00E60CD0"/>
    <w:rsid w:val="00E6140C"/>
    <w:rsid w:val="00E61F95"/>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C2C"/>
    <w:rsid w:val="00E7620E"/>
    <w:rsid w:val="00E7647E"/>
    <w:rsid w:val="00E773FB"/>
    <w:rsid w:val="00E77FD5"/>
    <w:rsid w:val="00E80B3D"/>
    <w:rsid w:val="00E80D0D"/>
    <w:rsid w:val="00E8255D"/>
    <w:rsid w:val="00E83256"/>
    <w:rsid w:val="00E8425F"/>
    <w:rsid w:val="00E8534F"/>
    <w:rsid w:val="00E85D39"/>
    <w:rsid w:val="00E85E76"/>
    <w:rsid w:val="00E87EA5"/>
    <w:rsid w:val="00E92D5C"/>
    <w:rsid w:val="00E92DAB"/>
    <w:rsid w:val="00E9345B"/>
    <w:rsid w:val="00E93FCF"/>
    <w:rsid w:val="00E94EFB"/>
    <w:rsid w:val="00E94F85"/>
    <w:rsid w:val="00E950D5"/>
    <w:rsid w:val="00E962AE"/>
    <w:rsid w:val="00E96BF0"/>
    <w:rsid w:val="00E96E80"/>
    <w:rsid w:val="00EA0300"/>
    <w:rsid w:val="00EA03BF"/>
    <w:rsid w:val="00EA0B66"/>
    <w:rsid w:val="00EA1D3D"/>
    <w:rsid w:val="00EA2B71"/>
    <w:rsid w:val="00EA3301"/>
    <w:rsid w:val="00EA4411"/>
    <w:rsid w:val="00EA44B8"/>
    <w:rsid w:val="00EA58E0"/>
    <w:rsid w:val="00EA5D87"/>
    <w:rsid w:val="00EA631F"/>
    <w:rsid w:val="00EA641C"/>
    <w:rsid w:val="00EA6B3F"/>
    <w:rsid w:val="00EA7645"/>
    <w:rsid w:val="00EA7F9F"/>
    <w:rsid w:val="00EB088C"/>
    <w:rsid w:val="00EB1BEB"/>
    <w:rsid w:val="00EB35BD"/>
    <w:rsid w:val="00EB3D0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9D0"/>
    <w:rsid w:val="00EC72BE"/>
    <w:rsid w:val="00EC74C0"/>
    <w:rsid w:val="00ED02A1"/>
    <w:rsid w:val="00ED02BB"/>
    <w:rsid w:val="00ED0A92"/>
    <w:rsid w:val="00ED1023"/>
    <w:rsid w:val="00ED1288"/>
    <w:rsid w:val="00ED14DB"/>
    <w:rsid w:val="00ED1E17"/>
    <w:rsid w:val="00ED2A83"/>
    <w:rsid w:val="00ED3102"/>
    <w:rsid w:val="00ED3FC7"/>
    <w:rsid w:val="00ED5CA3"/>
    <w:rsid w:val="00EE08A5"/>
    <w:rsid w:val="00EE14D8"/>
    <w:rsid w:val="00EE1F1F"/>
    <w:rsid w:val="00EE25D1"/>
    <w:rsid w:val="00EE3215"/>
    <w:rsid w:val="00EE50B7"/>
    <w:rsid w:val="00EE552C"/>
    <w:rsid w:val="00EE588C"/>
    <w:rsid w:val="00EE5D77"/>
    <w:rsid w:val="00EE6568"/>
    <w:rsid w:val="00EE66F9"/>
    <w:rsid w:val="00EE7A1D"/>
    <w:rsid w:val="00EF0E75"/>
    <w:rsid w:val="00EF40BA"/>
    <w:rsid w:val="00EF5831"/>
    <w:rsid w:val="00EF5944"/>
    <w:rsid w:val="00EF6E3B"/>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DA2"/>
    <w:rsid w:val="00F16B2B"/>
    <w:rsid w:val="00F16EDB"/>
    <w:rsid w:val="00F2022D"/>
    <w:rsid w:val="00F208DC"/>
    <w:rsid w:val="00F21069"/>
    <w:rsid w:val="00F21717"/>
    <w:rsid w:val="00F21B7C"/>
    <w:rsid w:val="00F21FD1"/>
    <w:rsid w:val="00F22CB3"/>
    <w:rsid w:val="00F23A7B"/>
    <w:rsid w:val="00F24136"/>
    <w:rsid w:val="00F24B42"/>
    <w:rsid w:val="00F24D26"/>
    <w:rsid w:val="00F30509"/>
    <w:rsid w:val="00F31821"/>
    <w:rsid w:val="00F319B9"/>
    <w:rsid w:val="00F31B4D"/>
    <w:rsid w:val="00F335EE"/>
    <w:rsid w:val="00F34EA1"/>
    <w:rsid w:val="00F353B3"/>
    <w:rsid w:val="00F359AE"/>
    <w:rsid w:val="00F36E1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E8B"/>
    <w:rsid w:val="00F564F9"/>
    <w:rsid w:val="00F576D6"/>
    <w:rsid w:val="00F61FE1"/>
    <w:rsid w:val="00F62295"/>
    <w:rsid w:val="00F624B5"/>
    <w:rsid w:val="00F62FAC"/>
    <w:rsid w:val="00F63A69"/>
    <w:rsid w:val="00F64275"/>
    <w:rsid w:val="00F64C01"/>
    <w:rsid w:val="00F6599C"/>
    <w:rsid w:val="00F66A92"/>
    <w:rsid w:val="00F673B9"/>
    <w:rsid w:val="00F675F0"/>
    <w:rsid w:val="00F700FF"/>
    <w:rsid w:val="00F70B93"/>
    <w:rsid w:val="00F731A8"/>
    <w:rsid w:val="00F7371D"/>
    <w:rsid w:val="00F76B12"/>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7C62"/>
    <w:rsid w:val="00FA1C0F"/>
    <w:rsid w:val="00FA1E9A"/>
    <w:rsid w:val="00FA2874"/>
    <w:rsid w:val="00FA62C6"/>
    <w:rsid w:val="00FA6BC0"/>
    <w:rsid w:val="00FA7504"/>
    <w:rsid w:val="00FA7F05"/>
    <w:rsid w:val="00FB14B8"/>
    <w:rsid w:val="00FB1774"/>
    <w:rsid w:val="00FB2419"/>
    <w:rsid w:val="00FB337A"/>
    <w:rsid w:val="00FB51B3"/>
    <w:rsid w:val="00FB5EFA"/>
    <w:rsid w:val="00FC1B1D"/>
    <w:rsid w:val="00FC1E52"/>
    <w:rsid w:val="00FC3A7E"/>
    <w:rsid w:val="00FC3BD9"/>
    <w:rsid w:val="00FC3CD5"/>
    <w:rsid w:val="00FC3D95"/>
    <w:rsid w:val="00FC5014"/>
    <w:rsid w:val="00FC6736"/>
    <w:rsid w:val="00FC6C73"/>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42CF"/>
    <w:rsid w:val="00FE5946"/>
    <w:rsid w:val="00FE5DFB"/>
    <w:rsid w:val="00FE6A1F"/>
    <w:rsid w:val="00FE72C3"/>
    <w:rsid w:val="00FE78ED"/>
    <w:rsid w:val="00FE7C84"/>
    <w:rsid w:val="00FF063C"/>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png@01D913A1.ACBC3C20" TargetMode="External"/><Relationship Id="rId18" Type="http://schemas.openxmlformats.org/officeDocument/2006/relationships/hyperlink" Target="https://worldline.com/blog" TargetMode="External"/><Relationship Id="rId26"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mailto:laurent.marie@worldline.com"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mailto:helene.carlander@worldline.com" TargetMode="External"/><Relationship Id="rId20" Type="http://schemas.openxmlformats.org/officeDocument/2006/relationships/hyperlink" Target="https://worldline.com/twitter"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orldline.com/faceboo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aymark.co.nz" TargetMode="External"/><Relationship Id="rId23" Type="http://schemas.openxmlformats.org/officeDocument/2006/relationships/image" Target="media/image5.emf"/><Relationship Id="rId28" Type="http://schemas.openxmlformats.org/officeDocument/2006/relationships/hyperlink" Target="https://worldline.com/instagram" TargetMode="Externa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ndan.boughen@paymark.co.nz" TargetMode="External"/><Relationship Id="rId22" Type="http://schemas.openxmlformats.org/officeDocument/2006/relationships/hyperlink" Target="https://worldline.com/linkedin" TargetMode="External"/><Relationship Id="rId27" Type="http://schemas.openxmlformats.org/officeDocument/2006/relationships/image" Target="media/image7.e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3</TotalTime>
  <Pages>4</Pages>
  <Words>1152</Words>
  <Characters>6567</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2022-12-19T01:44:00Z</dcterms:created>
  <dcterms:modified xsi:type="dcterms:W3CDTF">2022-12-19T01:45:00Z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