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ource Sans Pro" w:cs="Source Sans Pro" w:eastAsia="Source Sans Pro" w:hAnsi="Source Sans Pro"/>
          <w:color w:val="13b5ea"/>
          <w:sz w:val="24"/>
          <w:szCs w:val="24"/>
        </w:rPr>
      </w:pPr>
      <w:r w:rsidDel="00000000" w:rsidR="00000000" w:rsidRPr="00000000">
        <w:rPr>
          <w:rtl w:val="0"/>
        </w:rPr>
      </w:r>
    </w:p>
    <w:p w:rsidR="00000000" w:rsidDel="00000000" w:rsidP="00000000" w:rsidRDefault="00000000" w:rsidRPr="00000000" w14:paraId="00000002">
      <w:pPr>
        <w:spacing w:line="240" w:lineRule="auto"/>
        <w:rPr>
          <w:rFonts w:ascii="Source Sans Pro" w:cs="Source Sans Pro" w:eastAsia="Source Sans Pro" w:hAnsi="Source Sans Pro"/>
          <w:b w:val="1"/>
          <w:color w:val="ff0000"/>
          <w:sz w:val="24"/>
          <w:szCs w:val="24"/>
        </w:rPr>
      </w:pPr>
      <w:r w:rsidDel="00000000" w:rsidR="00000000" w:rsidRPr="00000000">
        <w:rPr>
          <w:rFonts w:ascii="Source Sans Pro" w:cs="Source Sans Pro" w:eastAsia="Source Sans Pro" w:hAnsi="Source Sans Pro"/>
          <w:color w:val="13b5ea"/>
          <w:sz w:val="24"/>
          <w:szCs w:val="24"/>
          <w:rtl w:val="0"/>
        </w:rPr>
        <w:t xml:space="preserve">MED</w:t>
      </w:r>
      <w:r w:rsidDel="00000000" w:rsidR="00000000" w:rsidRPr="00000000">
        <w:rPr>
          <w:rFonts w:ascii="Source Sans Pro" w:cs="Source Sans Pro" w:eastAsia="Source Sans Pro" w:hAnsi="Source Sans Pro"/>
          <w:color w:val="13b5ea"/>
          <w:sz w:val="24"/>
          <w:szCs w:val="24"/>
          <w:rtl w:val="0"/>
        </w:rPr>
        <w:t xml:space="preserve">IA RELEASE</w:t>
      </w:r>
      <w:r w:rsidDel="00000000" w:rsidR="00000000" w:rsidRPr="00000000">
        <w:rPr>
          <w:rtl w:val="0"/>
        </w:rPr>
      </w:r>
    </w:p>
    <w:p w:rsidR="00000000" w:rsidDel="00000000" w:rsidP="00000000" w:rsidRDefault="00000000" w:rsidRPr="00000000" w14:paraId="00000003">
      <w:pPr>
        <w:spacing w:line="240" w:lineRule="auto"/>
        <w:rPr>
          <w:rFonts w:ascii="Source Sans Pro" w:cs="Source Sans Pro" w:eastAsia="Source Sans Pro" w:hAnsi="Source Sans Pro"/>
          <w:b w:val="1"/>
          <w:sz w:val="28"/>
          <w:szCs w:val="28"/>
          <w:highlight w:val="white"/>
        </w:rPr>
      </w:pPr>
      <w:r w:rsidDel="00000000" w:rsidR="00000000" w:rsidRPr="00000000">
        <w:rPr>
          <w:rtl w:val="0"/>
        </w:rPr>
      </w:r>
    </w:p>
    <w:p w:rsidR="00000000" w:rsidDel="00000000" w:rsidP="00000000" w:rsidRDefault="00000000" w:rsidRPr="00000000" w14:paraId="00000004">
      <w:pPr>
        <w:spacing w:after="0" w:line="240" w:lineRule="auto"/>
        <w:jc w:val="center"/>
        <w:rPr>
          <w:rFonts w:ascii="Source Sans Pro" w:cs="Source Sans Pro" w:eastAsia="Source Sans Pro" w:hAnsi="Source Sans Pro"/>
          <w:b w:val="1"/>
          <w:sz w:val="28"/>
          <w:szCs w:val="28"/>
          <w:highlight w:val="white"/>
        </w:rPr>
      </w:pPr>
      <w:r w:rsidDel="00000000" w:rsidR="00000000" w:rsidRPr="00000000">
        <w:rPr>
          <w:rFonts w:ascii="Source Sans Pro" w:cs="Source Sans Pro" w:eastAsia="Source Sans Pro" w:hAnsi="Source Sans Pro"/>
          <w:b w:val="1"/>
          <w:sz w:val="28"/>
          <w:szCs w:val="28"/>
          <w:highlight w:val="white"/>
          <w:rtl w:val="0"/>
        </w:rPr>
        <w:t xml:space="preserve">New Zealand small business sales </w:t>
      </w:r>
      <w:r w:rsidDel="00000000" w:rsidR="00000000" w:rsidRPr="00000000">
        <w:rPr>
          <w:rFonts w:ascii="Source Sans Pro" w:cs="Source Sans Pro" w:eastAsia="Source Sans Pro" w:hAnsi="Source Sans Pro"/>
          <w:b w:val="1"/>
          <w:sz w:val="28"/>
          <w:szCs w:val="28"/>
          <w:highlight w:val="white"/>
          <w:rtl w:val="0"/>
        </w:rPr>
        <w:t xml:space="preserve">growth </w:t>
      </w:r>
      <w:r w:rsidDel="00000000" w:rsidR="00000000" w:rsidRPr="00000000">
        <w:rPr>
          <w:rFonts w:ascii="Source Sans Pro" w:cs="Source Sans Pro" w:eastAsia="Source Sans Pro" w:hAnsi="Source Sans Pro"/>
          <w:b w:val="1"/>
          <w:sz w:val="28"/>
          <w:szCs w:val="28"/>
          <w:highlight w:val="white"/>
          <w:rtl w:val="0"/>
        </w:rPr>
        <w:t xml:space="preserve">slows, wages up</w:t>
      </w:r>
    </w:p>
    <w:p w:rsidR="00000000" w:rsidDel="00000000" w:rsidP="00000000" w:rsidRDefault="00000000" w:rsidRPr="00000000" w14:paraId="00000005">
      <w:pPr>
        <w:spacing w:after="0" w:line="240" w:lineRule="auto"/>
        <w:jc w:val="center"/>
        <w:rPr>
          <w:rFonts w:ascii="Source Sans Pro" w:cs="Source Sans Pro" w:eastAsia="Source Sans Pro" w:hAnsi="Source Sans Pro"/>
          <w:i w:val="1"/>
          <w:sz w:val="24"/>
          <w:szCs w:val="24"/>
          <w:highlight w:val="white"/>
        </w:rPr>
      </w:pPr>
      <w:r w:rsidDel="00000000" w:rsidR="00000000" w:rsidRPr="00000000">
        <w:rPr>
          <w:rFonts w:ascii="Source Sans Pro" w:cs="Source Sans Pro" w:eastAsia="Source Sans Pro" w:hAnsi="Source Sans Pro"/>
          <w:i w:val="1"/>
          <w:sz w:val="24"/>
          <w:szCs w:val="24"/>
          <w:highlight w:val="white"/>
          <w:rtl w:val="0"/>
        </w:rPr>
        <w:t xml:space="preserve">Data reveals November small business w</w:t>
      </w:r>
      <w:r w:rsidDel="00000000" w:rsidR="00000000" w:rsidRPr="00000000">
        <w:rPr>
          <w:rFonts w:ascii="Source Sans Pro" w:cs="Source Sans Pro" w:eastAsia="Source Sans Pro" w:hAnsi="Source Sans Pro"/>
          <w:i w:val="1"/>
          <w:sz w:val="24"/>
          <w:szCs w:val="24"/>
          <w:highlight w:val="white"/>
          <w:rtl w:val="0"/>
        </w:rPr>
        <w:t xml:space="preserve">ages growth close to all-time high</w:t>
      </w:r>
      <w:r w:rsidDel="00000000" w:rsidR="00000000" w:rsidRPr="00000000">
        <w:rPr>
          <w:rtl w:val="0"/>
        </w:rPr>
      </w:r>
    </w:p>
    <w:p w:rsidR="00000000" w:rsidDel="00000000" w:rsidP="00000000" w:rsidRDefault="00000000" w:rsidRPr="00000000" w14:paraId="00000006">
      <w:pPr>
        <w:spacing w:after="0" w:line="240" w:lineRule="auto"/>
        <w:rPr>
          <w:rFonts w:ascii="Source Sans Pro" w:cs="Source Sans Pro" w:eastAsia="Source Sans Pro" w:hAnsi="Source Sans Pro"/>
          <w:b w:val="1"/>
          <w:sz w:val="24"/>
          <w:szCs w:val="24"/>
          <w:highlight w:val="white"/>
        </w:rPr>
      </w:pPr>
      <w:r w:rsidDel="00000000" w:rsidR="00000000" w:rsidRPr="00000000">
        <w:rPr>
          <w:rtl w:val="0"/>
        </w:rPr>
      </w:r>
    </w:p>
    <w:p w:rsidR="00000000" w:rsidDel="00000000" w:rsidP="00000000" w:rsidRDefault="00000000" w:rsidRPr="00000000" w14:paraId="00000007">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b w:val="1"/>
          <w:highlight w:val="white"/>
          <w:rtl w:val="0"/>
        </w:rPr>
        <w:t xml:space="preserve">Wellington — 15 December, 2022 —</w:t>
      </w:r>
      <w:r w:rsidDel="00000000" w:rsidR="00000000" w:rsidRPr="00000000">
        <w:rPr>
          <w:rFonts w:ascii="Source Sans Pro" w:cs="Source Sans Pro" w:eastAsia="Source Sans Pro" w:hAnsi="Source Sans Pro"/>
          <w:highlight w:val="white"/>
          <w:rtl w:val="0"/>
        </w:rPr>
        <w:t xml:space="preserve"> </w:t>
      </w:r>
      <w:hyperlink r:id="rId6">
        <w:r w:rsidDel="00000000" w:rsidR="00000000" w:rsidRPr="00000000">
          <w:rPr>
            <w:rFonts w:ascii="Source Sans Pro" w:cs="Source Sans Pro" w:eastAsia="Source Sans Pro" w:hAnsi="Source Sans Pro"/>
            <w:color w:val="1155cc"/>
            <w:highlight w:val="white"/>
            <w:u w:val="single"/>
            <w:rtl w:val="0"/>
          </w:rPr>
          <w:t xml:space="preserve">Xero</w:t>
        </w:r>
      </w:hyperlink>
      <w:r w:rsidDel="00000000" w:rsidR="00000000" w:rsidRPr="00000000">
        <w:rPr>
          <w:rFonts w:ascii="Source Sans Pro" w:cs="Source Sans Pro" w:eastAsia="Source Sans Pro" w:hAnsi="Source Sans Pro"/>
          <w:highlight w:val="white"/>
          <w:rtl w:val="0"/>
        </w:rPr>
        <w:t xml:space="preserve">, the global small business platform, today released its </w:t>
      </w:r>
      <w:hyperlink r:id="rId7">
        <w:r w:rsidDel="00000000" w:rsidR="00000000" w:rsidRPr="00000000">
          <w:rPr>
            <w:rFonts w:ascii="Source Sans Pro" w:cs="Source Sans Pro" w:eastAsia="Source Sans Pro" w:hAnsi="Source Sans Pro"/>
            <w:color w:val="1155cc"/>
            <w:highlight w:val="white"/>
            <w:u w:val="single"/>
            <w:rtl w:val="0"/>
          </w:rPr>
          <w:t xml:space="preserve">Xero Small Business Index</w:t>
        </w:r>
      </w:hyperlink>
      <w:r w:rsidDel="00000000" w:rsidR="00000000" w:rsidRPr="00000000">
        <w:rPr>
          <w:rFonts w:ascii="Source Sans Pro" w:cs="Source Sans Pro" w:eastAsia="Source Sans Pro" w:hAnsi="Source Sans Pro"/>
          <w:highlight w:val="white"/>
          <w:rtl w:val="0"/>
        </w:rPr>
        <w:t xml:space="preserve"> </w:t>
      </w:r>
      <w:r w:rsidDel="00000000" w:rsidR="00000000" w:rsidRPr="00000000">
        <w:rPr>
          <w:rFonts w:ascii="Source Sans Pro" w:cs="Source Sans Pro" w:eastAsia="Source Sans Pro" w:hAnsi="Source Sans Pro"/>
          <w:highlight w:val="white"/>
          <w:rtl w:val="0"/>
        </w:rPr>
        <w:t xml:space="preserve">for November 2022, revealing weakening annual sales growth for New Zealand’s small business sector. </w:t>
      </w:r>
    </w:p>
    <w:p w:rsidR="00000000" w:rsidDel="00000000" w:rsidP="00000000" w:rsidRDefault="00000000" w:rsidRPr="00000000" w14:paraId="00000008">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Sales grew 2.3 percent year-on-year (y/y)</w:t>
      </w:r>
      <w:r w:rsidDel="00000000" w:rsidR="00000000" w:rsidRPr="00000000">
        <w:rPr>
          <w:rFonts w:ascii="Source Sans Pro" w:cs="Source Sans Pro" w:eastAsia="Source Sans Pro" w:hAnsi="Source Sans Pro"/>
          <w:highlight w:val="white"/>
          <w:rtl w:val="0"/>
        </w:rPr>
        <w:t xml:space="preserve">, down from 10.0 percent y/y in October and the lowest since </w:t>
      </w:r>
      <w:r w:rsidDel="00000000" w:rsidR="00000000" w:rsidRPr="00000000">
        <w:rPr>
          <w:rFonts w:ascii="Source Sans Pro" w:cs="Source Sans Pro" w:eastAsia="Source Sans Pro" w:hAnsi="Source Sans Pro"/>
          <w:highlight w:val="white"/>
          <w:rtl w:val="0"/>
        </w:rPr>
        <w:t xml:space="preserve">September </w:t>
      </w:r>
      <w:r w:rsidDel="00000000" w:rsidR="00000000" w:rsidRPr="00000000">
        <w:rPr>
          <w:rFonts w:ascii="Source Sans Pro" w:cs="Source Sans Pro" w:eastAsia="Source Sans Pro" w:hAnsi="Source Sans Pro"/>
          <w:highlight w:val="white"/>
          <w:rtl w:val="0"/>
        </w:rPr>
        <w:t xml:space="preserve">2021. </w:t>
      </w:r>
    </w:p>
    <w:p w:rsidR="00000000" w:rsidDel="00000000" w:rsidP="00000000" w:rsidRDefault="00000000" w:rsidRPr="00000000" w14:paraId="00000009">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Xero Country Manager, Bridget Snelling, says this slowdown in sales is consistent with the Reserve Bank’s recent comments about slowing growth. </w:t>
      </w:r>
    </w:p>
    <w:p w:rsidR="00000000" w:rsidDel="00000000" w:rsidP="00000000" w:rsidRDefault="00000000" w:rsidRPr="00000000" w14:paraId="0000000A">
      <w:pPr>
        <w:spacing w:after="200" w:line="240" w:lineRule="auto"/>
        <w:jc w:val="center"/>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Pr>
        <w:drawing>
          <wp:inline distB="114300" distT="114300" distL="114300" distR="114300">
            <wp:extent cx="4262438" cy="419871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262438" cy="4198713"/>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“The rising official cash rate and subsequent changes to interest rates are seeing households become understandably more financially conscious,” says Snelling. </w:t>
      </w:r>
    </w:p>
    <w:p w:rsidR="00000000" w:rsidDel="00000000" w:rsidP="00000000" w:rsidRDefault="00000000" w:rsidRPr="00000000" w14:paraId="0000000C">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“Unfortunately, this directly impacts the small business economy, which is seeing a downturn in sales. This is particularly challenging as we enter summer as now is the time where many businesses bolster their accounts to survive the quieter holiday months.”</w:t>
      </w:r>
    </w:p>
    <w:p w:rsidR="00000000" w:rsidDel="00000000" w:rsidP="00000000" w:rsidRDefault="00000000" w:rsidRPr="00000000" w14:paraId="0000000D">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Across industries, hospitality sales were up 38.1 percent y/y in November 2021. This is heavily impacted by the low 2021 November result due to Auckland still having some  trading restrictions in place on this sector. </w:t>
      </w:r>
    </w:p>
    <w:p w:rsidR="00000000" w:rsidDel="00000000" w:rsidP="00000000" w:rsidRDefault="00000000" w:rsidRPr="00000000" w14:paraId="0000000E">
      <w:pPr>
        <w:spacing w:after="20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Manufacturing (+2.2% y/y) and construction (+2.0% y/y) also rose, while retail trade (-4.2% y/y), professional services (-2.2% y/y), rental, hiring and real estate (-1.6% y/y), and agriculture (-1.3% y/y) saw sales fall. </w:t>
      </w:r>
    </w:p>
    <w:p w:rsidR="00000000" w:rsidDel="00000000" w:rsidP="00000000" w:rsidRDefault="00000000" w:rsidRPr="00000000" w14:paraId="0000000F">
      <w:pPr>
        <w:spacing w:after="200" w:line="240" w:lineRule="auto"/>
        <w:rPr>
          <w:rFonts w:ascii="Source Sans Pro" w:cs="Source Sans Pro" w:eastAsia="Source Sans Pro" w:hAnsi="Source Sans Pro"/>
          <w:b w:val="1"/>
          <w:highlight w:val="white"/>
        </w:rPr>
      </w:pPr>
      <w:r w:rsidDel="00000000" w:rsidR="00000000" w:rsidRPr="00000000">
        <w:rPr>
          <w:rFonts w:ascii="Source Sans Pro" w:cs="Source Sans Pro" w:eastAsia="Source Sans Pro" w:hAnsi="Source Sans Pro"/>
          <w:b w:val="1"/>
          <w:highlight w:val="white"/>
          <w:rtl w:val="0"/>
        </w:rPr>
        <w:t xml:space="preserve">Growing wages put pressure on small businesses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While sales weakened, wages grew 6.6 percent y/y in November 2022, the second consecutive month of acceleration as wage growth nears the previous record high of 6.7 percent y/y (June 2022).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The return to faster wages growth is evident across all regions and industries, with industry results ranging from +5.9 percent y/y in retail trade to +7.4 percent y/y in construction. By region, the range was +6.3 percent y/y in Auckland up to +6.9 percent y/y in Otago and Canterbury.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“While it’s true we want to see growing wages for small business employees, the current pace of wage rises is putting pressure on small business owners,” says Snelling.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b w:val="1"/>
          <w:highlight w:val="white"/>
          <w:rtl w:val="0"/>
        </w:rPr>
        <w:t xml:space="preserve">Strong small business job growth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Furthermore, the increase in wages growth reflects the very tight state of the labour market, with the official Aotearoa unemployment rate at 3.3 percent in the September quarter.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Small business jobs rose 5.4 percent y/y in November, with the biggest gains in professional services (+8.4% y/y), hospitality (+6.7% y/y), manufa</w:t>
      </w:r>
      <w:r w:rsidDel="00000000" w:rsidR="00000000" w:rsidRPr="00000000">
        <w:rPr>
          <w:rFonts w:ascii="Source Sans Pro" w:cs="Source Sans Pro" w:eastAsia="Source Sans Pro" w:hAnsi="Source Sans Pro"/>
          <w:highlight w:val="white"/>
          <w:rtl w:val="0"/>
        </w:rPr>
        <w:t xml:space="preserve">cturing (+6.4% y/y</w:t>
      </w:r>
      <w:r w:rsidDel="00000000" w:rsidR="00000000" w:rsidRPr="00000000">
        <w:rPr>
          <w:rFonts w:ascii="Source Sans Pro" w:cs="Source Sans Pro" w:eastAsia="Source Sans Pro" w:hAnsi="Source Sans Pro"/>
          <w:highlight w:val="white"/>
          <w:rtl w:val="0"/>
        </w:rPr>
        <w:t xml:space="preserve">) and rental, hiring and real estate (+6.3% y/y).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“While slower than the 8.1 percent y/y growth recorded in the previous two months, this result highlights small businesses are continuing to attract staff, often from larger businesses. Having the right talent will help small businesses in the challenging months ahead,” says Snelling.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b w:val="1"/>
          <w:highlight w:val="white"/>
          <w:rtl w:val="0"/>
        </w:rPr>
        <w:t xml:space="preserve">Index up in November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The New Zealand Small Business Index, part of Xero Small Business Insights, rose three points in November to 139 points.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“While the Small Business Index is currently around record highs, this is largely due to strong jobs and wages results rather than a strong sales performance,” says Snelling.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“The environment remains challenging for small businesses as they try to retain scarce staff in a macro-environment of slowing growth, persistent wages pressure and market expectations for further rises in interest rates.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“As we head into the Christmas and summer season, our message to Kiwis is this: </w:t>
      </w:r>
      <w:r w:rsidDel="00000000" w:rsidR="00000000" w:rsidRPr="00000000">
        <w:rPr>
          <w:rFonts w:ascii="Source Sans Pro" w:cs="Source Sans Pro" w:eastAsia="Source Sans Pro" w:hAnsi="Source Sans Pro"/>
          <w:highlight w:val="white"/>
          <w:rtl w:val="0"/>
        </w:rPr>
        <w:t xml:space="preserve">shop local where you can.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highlight w:val="white"/>
          <w:rtl w:val="0"/>
        </w:rPr>
        <w:t xml:space="preserve">“For businesses, now could be the time to review your suppliers and see if there's a local Kiwi business to consider in the New Year. And as always, be sure to pay invoices on time and be diligent to follow up when your invoices aren't paid.” </w:t>
      </w:r>
      <w:r w:rsidDel="00000000" w:rsidR="00000000" w:rsidRPr="00000000">
        <w:rPr>
          <w:rtl w:val="0"/>
        </w:rPr>
      </w:r>
    </w:p>
    <w:p w:rsidR="00000000" w:rsidDel="00000000" w:rsidP="00000000" w:rsidRDefault="00000000" w:rsidRPr="00000000" w14:paraId="0000001D">
      <w:pPr>
        <w:spacing w:after="20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For further information on the Xero Small Business Insights November 2022 metrics, please refer to the</w:t>
      </w:r>
      <w:r w:rsidDel="00000000" w:rsidR="00000000" w:rsidRPr="00000000">
        <w:rPr>
          <w:rFonts w:ascii="Source Sans Pro" w:cs="Source Sans Pro" w:eastAsia="Source Sans Pro" w:hAnsi="Source Sans Pro"/>
          <w:b w:val="1"/>
          <w:rtl w:val="0"/>
        </w:rPr>
        <w:t xml:space="preserve"> </w:t>
      </w:r>
      <w:hyperlink r:id="rId9">
        <w:r w:rsidDel="00000000" w:rsidR="00000000" w:rsidRPr="00000000">
          <w:rPr>
            <w:rFonts w:ascii="Source Sans Pro" w:cs="Source Sans Pro" w:eastAsia="Source Sans Pro" w:hAnsi="Source Sans Pro"/>
            <w:color w:val="1155cc"/>
            <w:u w:val="single"/>
            <w:rtl w:val="0"/>
          </w:rPr>
          <w:t xml:space="preserve">XSBI New Zealand</w:t>
        </w:r>
      </w:hyperlink>
      <w:hyperlink r:id="rId10">
        <w:r w:rsidDel="00000000" w:rsidR="00000000" w:rsidRPr="00000000">
          <w:rPr>
            <w:rFonts w:ascii="Source Sans Pro" w:cs="Source Sans Pro" w:eastAsia="Source Sans Pro" w:hAnsi="Source Sans Pro"/>
            <w:color w:val="1155cc"/>
            <w:u w:val="single"/>
            <w:rtl w:val="0"/>
          </w:rPr>
          <w:t xml:space="preserve"> updat</w:t>
        </w:r>
      </w:hyperlink>
      <w:hyperlink r:id="rId11">
        <w:r w:rsidDel="00000000" w:rsidR="00000000" w:rsidRPr="00000000">
          <w:rPr>
            <w:rFonts w:ascii="Source Sans Pro" w:cs="Source Sans Pro" w:eastAsia="Source Sans Pro" w:hAnsi="Source Sans Pro"/>
            <w:color w:val="1155cc"/>
            <w:u w:val="single"/>
            <w:rtl w:val="0"/>
          </w:rPr>
          <w:t xml:space="preserve">e</w:t>
        </w:r>
      </w:hyperlink>
      <w:r w:rsidDel="00000000" w:rsidR="00000000" w:rsidRPr="00000000">
        <w:rPr>
          <w:rFonts w:ascii="Source Sans Pro" w:cs="Source Sans Pro" w:eastAsia="Source Sans Pro" w:hAnsi="Source Sans Pro"/>
          <w:rtl w:val="0"/>
        </w:rPr>
        <w:t xml:space="preserve">. To find out more about how the Xero Small Business Index is constructed, see the </w:t>
      </w:r>
      <w:hyperlink r:id="rId12">
        <w:r w:rsidDel="00000000" w:rsidR="00000000" w:rsidRPr="00000000">
          <w:rPr>
            <w:rFonts w:ascii="Source Sans Pro" w:cs="Source Sans Pro" w:eastAsia="Source Sans Pro" w:hAnsi="Source Sans Pro"/>
            <w:color w:val="1155cc"/>
            <w:u w:val="single"/>
            <w:rtl w:val="0"/>
          </w:rPr>
          <w:t xml:space="preserve">methodology</w:t>
        </w:r>
      </w:hyperlink>
      <w:r w:rsidDel="00000000" w:rsidR="00000000" w:rsidRPr="00000000">
        <w:rPr>
          <w:rFonts w:ascii="Source Sans Pro" w:cs="Source Sans Pro" w:eastAsia="Source Sans Pro" w:hAnsi="Source Sans Pro"/>
          <w:rtl w:val="0"/>
        </w:rPr>
        <w:t xml:space="preserve">. </w:t>
      </w:r>
      <w:r w:rsidDel="00000000" w:rsidR="00000000" w:rsidRPr="00000000">
        <w:rPr>
          <w:rtl w:val="0"/>
        </w:rPr>
      </w:r>
    </w:p>
    <w:p w:rsidR="00000000" w:rsidDel="00000000" w:rsidP="00000000" w:rsidRDefault="00000000" w:rsidRPr="00000000" w14:paraId="0000001E">
      <w:pPr>
        <w:spacing w:after="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F">
      <w:pPr>
        <w:widowControl w:val="1"/>
        <w:spacing w:after="0" w:line="240" w:lineRule="auto"/>
        <w:jc w:val="center"/>
        <w:rPr>
          <w:rFonts w:ascii="Source Sans Pro" w:cs="Source Sans Pro" w:eastAsia="Source Sans Pro" w:hAnsi="Source Sans Pro"/>
          <w:b w:val="1"/>
          <w:highlight w:val="white"/>
        </w:rPr>
      </w:pPr>
      <w:r w:rsidDel="00000000" w:rsidR="00000000" w:rsidRPr="00000000">
        <w:rPr>
          <w:rFonts w:ascii="Source Sans Pro" w:cs="Source Sans Pro" w:eastAsia="Source Sans Pro" w:hAnsi="Source Sans Pro"/>
          <w:b w:val="1"/>
          <w:rtl w:val="0"/>
        </w:rPr>
        <w:t xml:space="preserve">E</w:t>
      </w:r>
      <w:r w:rsidDel="00000000" w:rsidR="00000000" w:rsidRPr="00000000">
        <w:rPr>
          <w:rFonts w:ascii="Source Sans Pro" w:cs="Source Sans Pro" w:eastAsia="Source Sans Pro" w:hAnsi="Source Sans Pro"/>
          <w:b w:val="1"/>
          <w:highlight w:val="white"/>
          <w:rtl w:val="0"/>
        </w:rPr>
        <w:t xml:space="preserve">NDS</w:t>
      </w:r>
    </w:p>
    <w:p w:rsidR="00000000" w:rsidDel="00000000" w:rsidP="00000000" w:rsidRDefault="00000000" w:rsidRPr="00000000" w14:paraId="00000020">
      <w:pPr>
        <w:widowControl w:val="1"/>
        <w:spacing w:after="0" w:line="240" w:lineRule="auto"/>
        <w:jc w:val="center"/>
        <w:rPr>
          <w:rFonts w:ascii="Source Sans Pro" w:cs="Source Sans Pro" w:eastAsia="Source Sans Pro" w:hAnsi="Source Sans Pro"/>
          <w:b w:val="1"/>
          <w:highlight w:val="white"/>
        </w:rPr>
      </w:pPr>
      <w:r w:rsidDel="00000000" w:rsidR="00000000" w:rsidRPr="00000000">
        <w:rPr>
          <w:rtl w:val="0"/>
        </w:rPr>
      </w:r>
    </w:p>
    <w:p w:rsidR="00000000" w:rsidDel="00000000" w:rsidP="00000000" w:rsidRDefault="00000000" w:rsidRPr="00000000" w14:paraId="00000021">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Media Contact</w:t>
      </w:r>
      <w:r w:rsidDel="00000000" w:rsidR="00000000" w:rsidRPr="00000000">
        <w:rPr>
          <w:rFonts w:ascii="Source Sans Pro" w:cs="Source Sans Pro" w:eastAsia="Source Sans Pro" w:hAnsi="Source Sans Pro"/>
          <w:b w:val="1"/>
          <w:u w:val="single"/>
          <w:rtl w:val="0"/>
        </w:rPr>
        <w:br w:type="textWrapping"/>
      </w:r>
      <w:r w:rsidDel="00000000" w:rsidR="00000000" w:rsidRPr="00000000">
        <w:rPr>
          <w:rFonts w:ascii="Source Sans Pro" w:cs="Source Sans Pro" w:eastAsia="Source Sans Pro" w:hAnsi="Source Sans Pro"/>
          <w:rtl w:val="0"/>
        </w:rPr>
        <w:t xml:space="preserve">Amelia Lewis</w:t>
      </w: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2">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Xero Communications</w:t>
      </w:r>
    </w:p>
    <w:p w:rsidR="00000000" w:rsidDel="00000000" w:rsidP="00000000" w:rsidRDefault="00000000" w:rsidRPr="00000000" w14:paraId="00000023">
      <w:pPr>
        <w:spacing w:after="0" w:line="240" w:lineRule="auto"/>
        <w:rPr>
          <w:rFonts w:ascii="Source Sans Pro" w:cs="Source Sans Pro" w:eastAsia="Source Sans Pro" w:hAnsi="Source Sans Pro"/>
        </w:rPr>
      </w:pPr>
      <w:hyperlink r:id="rId13">
        <w:r w:rsidDel="00000000" w:rsidR="00000000" w:rsidRPr="00000000">
          <w:rPr>
            <w:rFonts w:ascii="Source Sans Pro" w:cs="Source Sans Pro" w:eastAsia="Source Sans Pro" w:hAnsi="Source Sans Pro"/>
            <w:color w:val="1155cc"/>
            <w:u w:val="single"/>
            <w:rtl w:val="0"/>
          </w:rPr>
          <w:t xml:space="preserve">amelia.lewis@xero.com</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24">
      <w:pPr>
        <w:spacing w:after="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5">
      <w:pPr>
        <w:spacing w:after="0" w:line="240" w:lineRule="auto"/>
        <w:ind w:right="-450"/>
        <w:rPr>
          <w:rFonts w:ascii="Source Sans Pro" w:cs="Source Sans Pro" w:eastAsia="Source Sans Pro" w:hAnsi="Source Sans Pro"/>
          <w:b w:val="1"/>
          <w:highlight w:val="white"/>
        </w:rPr>
      </w:pPr>
      <w:r w:rsidDel="00000000" w:rsidR="00000000" w:rsidRPr="00000000">
        <w:rPr>
          <w:rFonts w:ascii="Source Sans Pro" w:cs="Source Sans Pro" w:eastAsia="Source Sans Pro" w:hAnsi="Source Sans Pro"/>
          <w:b w:val="1"/>
          <w:highlight w:val="white"/>
          <w:rtl w:val="0"/>
        </w:rPr>
        <w:t xml:space="preserve">About Xero</w:t>
      </w:r>
    </w:p>
    <w:p w:rsidR="00000000" w:rsidDel="00000000" w:rsidP="00000000" w:rsidRDefault="00000000" w:rsidRPr="00000000" w14:paraId="00000026">
      <w:pPr>
        <w:spacing w:after="0" w:line="240" w:lineRule="auto"/>
        <w:ind w:right="-450"/>
        <w:rPr>
          <w:rFonts w:ascii="Source Sans Pro" w:cs="Source Sans Pro" w:eastAsia="Source Sans Pro" w:hAnsi="Source Sans Pro"/>
          <w:highlight w:val="white"/>
        </w:rPr>
      </w:pPr>
      <w:hyperlink r:id="rId14">
        <w:r w:rsidDel="00000000" w:rsidR="00000000" w:rsidRPr="00000000">
          <w:rPr>
            <w:rFonts w:ascii="Source Sans Pro" w:cs="Source Sans Pro" w:eastAsia="Source Sans Pro" w:hAnsi="Source Sans Pro"/>
            <w:color w:val="1155cc"/>
            <w:highlight w:val="white"/>
            <w:u w:val="single"/>
            <w:rtl w:val="0"/>
          </w:rPr>
          <w:t xml:space="preserve">Xero</w:t>
        </w:r>
      </w:hyperlink>
      <w:r w:rsidDel="00000000" w:rsidR="00000000" w:rsidRPr="00000000">
        <w:rPr>
          <w:rFonts w:ascii="Source Sans Pro" w:cs="Source Sans Pro" w:eastAsia="Source Sans Pro" w:hAnsi="Source Sans Pro"/>
          <w:highlight w:val="white"/>
          <w:rtl w:val="0"/>
        </w:rPr>
        <w:t xml:space="preserve"> is a global small business platform with 3.5 million subscribers which includes a core accounting solution, payroll, workforce management, expenses and projects. Xero also has an extensive ecosystem of connected apps and connections to banks and other financial institutions helping small businesses access a range of solutions from within Xero’s open platform to help them run their business and manage their finances. For three consecutive years (2020-2022) Xero was included in the Bloomberg Gender-Equality Index. In 2021, Xero was included in the Dow Jones Sustainability Index (DJSI), powered by the S&amp;P Global Corporate Sustainability Assessment. Xero is a </w:t>
      </w:r>
      <w:hyperlink r:id="rId15">
        <w:r w:rsidDel="00000000" w:rsidR="00000000" w:rsidRPr="00000000">
          <w:rPr>
            <w:rFonts w:ascii="Source Sans Pro" w:cs="Source Sans Pro" w:eastAsia="Source Sans Pro" w:hAnsi="Source Sans Pro"/>
            <w:color w:val="1155cc"/>
            <w:highlight w:val="white"/>
            <w:u w:val="single"/>
            <w:rtl w:val="0"/>
          </w:rPr>
          <w:t xml:space="preserve">FIFA Women’s Football partner</w:t>
        </w:r>
      </w:hyperlink>
      <w:r w:rsidDel="00000000" w:rsidR="00000000" w:rsidRPr="00000000">
        <w:rPr>
          <w:rFonts w:ascii="Source Sans Pro" w:cs="Source Sans Pro" w:eastAsia="Source Sans Pro" w:hAnsi="Source Sans Pro"/>
          <w:highlight w:val="white"/>
          <w:rtl w:val="0"/>
        </w:rPr>
        <w:t xml:space="preserve"> under FIFA’s new commercial structure.</w:t>
      </w:r>
      <w:r w:rsidDel="00000000" w:rsidR="00000000" w:rsidRPr="00000000">
        <w:rPr>
          <w:rtl w:val="0"/>
        </w:rPr>
      </w:r>
    </w:p>
    <w:p w:rsidR="00000000" w:rsidDel="00000000" w:rsidP="00000000" w:rsidRDefault="00000000" w:rsidRPr="00000000" w14:paraId="00000027">
      <w:pPr>
        <w:spacing w:after="0" w:line="240" w:lineRule="auto"/>
        <w:ind w:right="-450"/>
        <w:rPr>
          <w:rFonts w:ascii="Source Sans Pro" w:cs="Source Sans Pro" w:eastAsia="Source Sans Pro" w:hAnsi="Source Sans Pro"/>
          <w:highlight w:val="white"/>
        </w:rPr>
      </w:pPr>
      <w:r w:rsidDel="00000000" w:rsidR="00000000" w:rsidRPr="00000000">
        <w:rPr>
          <w:rtl w:val="0"/>
        </w:rPr>
      </w:r>
    </w:p>
    <w:p w:rsidR="00000000" w:rsidDel="00000000" w:rsidP="00000000" w:rsidRDefault="00000000" w:rsidRPr="00000000" w14:paraId="00000028">
      <w:pPr>
        <w:spacing w:after="0"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b w:val="1"/>
          <w:highlight w:val="white"/>
          <w:rtl w:val="0"/>
        </w:rPr>
        <w:t xml:space="preserve">Note to the editor</w:t>
      </w: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Fonts w:ascii="Source Sans Pro" w:cs="Source Sans Pro" w:eastAsia="Source Sans Pro" w:hAnsi="Source Sans Pro"/>
          <w:highlight w:val="white"/>
          <w:rtl w:val="0"/>
        </w:rPr>
        <w:t xml:space="preserve">Previous iterations of the XSBI data have listed snapshots of data from the time it was captured. Some of these historical data points change as bookkeepers and accountants finalise their clients’ accounts, which can impact the specifics of the percentages. </w:t>
      </w:r>
      <w:r w:rsidDel="00000000" w:rsidR="00000000" w:rsidRPr="00000000">
        <w:rPr>
          <w:rtl w:val="0"/>
        </w:rPr>
      </w:r>
    </w:p>
    <w:sectPr>
      <w:head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376488" cy="827609"/>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6488" cy="82760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xero.com/content/dam/xero/pdfs/xsbi/nz-update-nov-2022.pdf" TargetMode="External"/><Relationship Id="rId10" Type="http://schemas.openxmlformats.org/officeDocument/2006/relationships/hyperlink" Target="https://www.xero.com/content/dam/xero/pdfs/xsbi/nz-update-nov-2022.pdf" TargetMode="External"/><Relationship Id="rId13" Type="http://schemas.openxmlformats.org/officeDocument/2006/relationships/hyperlink" Target="mailto:amelia.lewis@xero.com" TargetMode="External"/><Relationship Id="rId12" Type="http://schemas.openxmlformats.org/officeDocument/2006/relationships/hyperlink" Target="https://www.xero.com/content/dam/xero/images/xsbi/xsbi-methodology-doc.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xero.com/content/dam/xero/pdfs/xsbi/nz-update-nov-2022.pdf" TargetMode="External"/><Relationship Id="rId15" Type="http://schemas.openxmlformats.org/officeDocument/2006/relationships/hyperlink" Target="https://www.xero.com/nz/xero-fifa-womens-football/" TargetMode="External"/><Relationship Id="rId14" Type="http://schemas.openxmlformats.org/officeDocument/2006/relationships/hyperlink" Target="https://www.xero.com/"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xero.com/" TargetMode="External"/><Relationship Id="rId7" Type="http://schemas.openxmlformats.org/officeDocument/2006/relationships/hyperlink" Target="http://xero.com/xerosbi"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