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5DE" w:rsidRDefault="00133948">
      <w:pPr>
        <w:pBdr>
          <w:top w:val="nil"/>
          <w:left w:val="nil"/>
          <w:bottom w:val="nil"/>
          <w:right w:val="nil"/>
          <w:between w:val="nil"/>
        </w:pBdr>
        <w:ind w:left="-1080" w:firstLine="360"/>
        <w:rPr>
          <w:rFonts w:ascii="Open Sans" w:eastAsia="Open Sans" w:hAnsi="Open Sans" w:cs="Open Sans"/>
          <w:b/>
          <w:color w:val="000000"/>
          <w:sz w:val="18"/>
          <w:szCs w:val="18"/>
        </w:rPr>
      </w:pPr>
      <w:r>
        <w:rPr>
          <w:rFonts w:ascii="Open Sans" w:eastAsia="Open Sans" w:hAnsi="Open Sans" w:cs="Open Sans"/>
          <w:b/>
          <w:sz w:val="18"/>
          <w:szCs w:val="18"/>
        </w:rPr>
        <w:t>FOR IMMEDIATE RELEASE</w:t>
      </w:r>
    </w:p>
    <w:p w:rsidR="00EB75DE" w:rsidRDefault="00EB75DE">
      <w:pPr>
        <w:pBdr>
          <w:top w:val="nil"/>
          <w:left w:val="nil"/>
          <w:bottom w:val="nil"/>
          <w:right w:val="nil"/>
          <w:between w:val="nil"/>
        </w:pBdr>
        <w:jc w:val="center"/>
        <w:rPr>
          <w:rFonts w:ascii="Open Sans" w:eastAsia="Open Sans" w:hAnsi="Open Sans" w:cs="Open Sans"/>
          <w:color w:val="000000"/>
          <w:sz w:val="32"/>
          <w:szCs w:val="32"/>
        </w:rPr>
      </w:pPr>
    </w:p>
    <w:p w:rsidR="00EB75DE" w:rsidRDefault="00133948">
      <w:pPr>
        <w:pBdr>
          <w:top w:val="nil"/>
          <w:left w:val="nil"/>
          <w:bottom w:val="nil"/>
          <w:right w:val="nil"/>
          <w:between w:val="nil"/>
        </w:pBdr>
        <w:ind w:left="-720"/>
        <w:jc w:val="center"/>
        <w:rPr>
          <w:rFonts w:ascii="Open Sans" w:eastAsia="Open Sans" w:hAnsi="Open Sans" w:cs="Open Sans"/>
          <w:color w:val="000000"/>
          <w:sz w:val="32"/>
          <w:szCs w:val="32"/>
        </w:rPr>
      </w:pPr>
      <w:r>
        <w:rPr>
          <w:rFonts w:ascii="Open Sans" w:eastAsia="Open Sans" w:hAnsi="Open Sans" w:cs="Open Sans"/>
          <w:color w:val="000000"/>
          <w:sz w:val="32"/>
          <w:szCs w:val="32"/>
        </w:rPr>
        <w:t xml:space="preserve">Demand for personal loans and mortgages up, </w:t>
      </w:r>
    </w:p>
    <w:p w:rsidR="00EB75DE" w:rsidRDefault="00133948">
      <w:pPr>
        <w:pBdr>
          <w:top w:val="nil"/>
          <w:left w:val="nil"/>
          <w:bottom w:val="nil"/>
          <w:right w:val="nil"/>
          <w:between w:val="nil"/>
        </w:pBdr>
        <w:ind w:left="-720"/>
        <w:jc w:val="center"/>
        <w:rPr>
          <w:rFonts w:ascii="Open Sans" w:eastAsia="Open Sans" w:hAnsi="Open Sans" w:cs="Open Sans"/>
          <w:color w:val="000000"/>
          <w:sz w:val="32"/>
          <w:szCs w:val="32"/>
          <w:highlight w:val="yellow"/>
        </w:rPr>
      </w:pPr>
      <w:proofErr w:type="gramStart"/>
      <w:r>
        <w:rPr>
          <w:rFonts w:ascii="Open Sans" w:eastAsia="Open Sans" w:hAnsi="Open Sans" w:cs="Open Sans"/>
          <w:color w:val="000000"/>
          <w:sz w:val="32"/>
          <w:szCs w:val="32"/>
        </w:rPr>
        <w:t>but</w:t>
      </w:r>
      <w:proofErr w:type="gramEnd"/>
      <w:r>
        <w:rPr>
          <w:rFonts w:ascii="Open Sans" w:eastAsia="Open Sans" w:hAnsi="Open Sans" w:cs="Open Sans"/>
          <w:color w:val="000000"/>
          <w:sz w:val="32"/>
          <w:szCs w:val="32"/>
        </w:rPr>
        <w:t xml:space="preserve"> credit cards dip </w:t>
      </w:r>
    </w:p>
    <w:p w:rsidR="00EB75DE" w:rsidRDefault="00EB75DE">
      <w:pPr>
        <w:pBdr>
          <w:top w:val="nil"/>
          <w:left w:val="nil"/>
          <w:bottom w:val="nil"/>
          <w:right w:val="nil"/>
          <w:between w:val="nil"/>
        </w:pBdr>
        <w:ind w:left="641"/>
        <w:rPr>
          <w:rFonts w:ascii="Open Sans" w:eastAsia="Open Sans" w:hAnsi="Open Sans" w:cs="Open Sans"/>
          <w:color w:val="000000"/>
          <w:sz w:val="20"/>
          <w:szCs w:val="20"/>
        </w:rPr>
      </w:pPr>
    </w:p>
    <w:p w:rsidR="00EB75DE" w:rsidRDefault="00133948">
      <w:pPr>
        <w:pBdr>
          <w:top w:val="nil"/>
          <w:left w:val="nil"/>
          <w:bottom w:val="nil"/>
          <w:right w:val="nil"/>
          <w:between w:val="nil"/>
        </w:pBdr>
        <w:ind w:left="641"/>
        <w:rPr>
          <w:rFonts w:ascii="Open Sans" w:eastAsia="Open Sans" w:hAnsi="Open Sans" w:cs="Open Sans"/>
          <w:b/>
          <w:color w:val="000000"/>
          <w:sz w:val="16"/>
          <w:szCs w:val="16"/>
        </w:rPr>
      </w:pPr>
      <w:r>
        <w:rPr>
          <w:rFonts w:ascii="Open Sans" w:eastAsia="Open Sans" w:hAnsi="Open Sans" w:cs="Open Sans"/>
          <w:b/>
          <w:color w:val="000000"/>
          <w:sz w:val="20"/>
          <w:szCs w:val="20"/>
        </w:rPr>
        <w:t>Equifax New Zealand Quarterly Consumer Credit Demand Index: December 2023</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133948">
      <w:pPr>
        <w:numPr>
          <w:ilvl w:val="0"/>
          <w:numId w:val="1"/>
        </w:numPr>
        <w:pBdr>
          <w:top w:val="nil"/>
          <w:left w:val="nil"/>
          <w:bottom w:val="nil"/>
          <w:right w:val="nil"/>
          <w:between w:val="nil"/>
        </w:pBdr>
        <w:tabs>
          <w:tab w:val="left" w:pos="-540"/>
        </w:tabs>
        <w:jc w:val="both"/>
        <w:rPr>
          <w:rFonts w:ascii="Open Sans" w:eastAsia="Open Sans" w:hAnsi="Open Sans" w:cs="Open Sans"/>
          <w:color w:val="000000"/>
          <w:sz w:val="20"/>
          <w:szCs w:val="20"/>
        </w:rPr>
      </w:pPr>
      <w:r>
        <w:rPr>
          <w:rFonts w:ascii="Open Sans" w:eastAsia="Open Sans" w:hAnsi="Open Sans" w:cs="Open Sans"/>
          <w:color w:val="000000"/>
          <w:sz w:val="20"/>
          <w:szCs w:val="20"/>
        </w:rPr>
        <w:t>Overall consumer credit demand increased by +4.2% (</w:t>
      </w:r>
      <w:proofErr w:type="spellStart"/>
      <w:r>
        <w:rPr>
          <w:rFonts w:ascii="Open Sans" w:eastAsia="Open Sans" w:hAnsi="Open Sans" w:cs="Open Sans"/>
          <w:color w:val="000000"/>
          <w:sz w:val="20"/>
          <w:szCs w:val="20"/>
        </w:rPr>
        <w:t>vs</w:t>
      </w:r>
      <w:proofErr w:type="spellEnd"/>
      <w:r>
        <w:rPr>
          <w:rFonts w:ascii="Open Sans" w:eastAsia="Open Sans" w:hAnsi="Open Sans" w:cs="Open Sans"/>
          <w:color w:val="000000"/>
          <w:sz w:val="20"/>
          <w:szCs w:val="20"/>
        </w:rPr>
        <w:t xml:space="preserve"> December quarter 2022) </w:t>
      </w:r>
    </w:p>
    <w:p w:rsidR="00EB75DE" w:rsidRDefault="00133948">
      <w:pPr>
        <w:numPr>
          <w:ilvl w:val="1"/>
          <w:numId w:val="1"/>
        </w:numPr>
        <w:pBdr>
          <w:top w:val="nil"/>
          <w:left w:val="nil"/>
          <w:bottom w:val="nil"/>
          <w:right w:val="nil"/>
          <w:between w:val="nil"/>
        </w:pBdr>
        <w:tabs>
          <w:tab w:val="left" w:pos="-540"/>
        </w:tabs>
        <w:jc w:val="both"/>
        <w:rPr>
          <w:rFonts w:ascii="Open Sans" w:eastAsia="Open Sans" w:hAnsi="Open Sans" w:cs="Open Sans"/>
          <w:color w:val="000000"/>
          <w:sz w:val="20"/>
          <w:szCs w:val="20"/>
        </w:rPr>
      </w:pPr>
      <w:r>
        <w:rPr>
          <w:rFonts w:ascii="Open Sans" w:eastAsia="Open Sans" w:hAnsi="Open Sans" w:cs="Open Sans"/>
          <w:color w:val="000000"/>
          <w:sz w:val="20"/>
          <w:szCs w:val="20"/>
        </w:rPr>
        <w:t>Unsecured credit demand (comprising personal loans and credit cards) up +6.4% (</w:t>
      </w:r>
      <w:proofErr w:type="spellStart"/>
      <w:r>
        <w:rPr>
          <w:rFonts w:ascii="Open Sans" w:eastAsia="Open Sans" w:hAnsi="Open Sans" w:cs="Open Sans"/>
          <w:color w:val="000000"/>
          <w:sz w:val="20"/>
          <w:szCs w:val="20"/>
        </w:rPr>
        <w:t>vs</w:t>
      </w:r>
      <w:proofErr w:type="spellEnd"/>
      <w:r>
        <w:rPr>
          <w:rFonts w:ascii="Open Sans" w:eastAsia="Open Sans" w:hAnsi="Open Sans" w:cs="Open Sans"/>
          <w:color w:val="000000"/>
          <w:sz w:val="20"/>
          <w:szCs w:val="20"/>
        </w:rPr>
        <w:t xml:space="preserve"> December quarter 2022)</w:t>
      </w:r>
    </w:p>
    <w:p w:rsidR="00EB75DE" w:rsidRDefault="00133948">
      <w:pPr>
        <w:numPr>
          <w:ilvl w:val="1"/>
          <w:numId w:val="1"/>
        </w:numPr>
        <w:pBdr>
          <w:top w:val="nil"/>
          <w:left w:val="nil"/>
          <w:bottom w:val="nil"/>
          <w:right w:val="nil"/>
          <w:between w:val="nil"/>
        </w:pBdr>
        <w:tabs>
          <w:tab w:val="left" w:pos="-540"/>
        </w:tabs>
        <w:jc w:val="both"/>
        <w:rPr>
          <w:rFonts w:ascii="Open Sans" w:eastAsia="Open Sans" w:hAnsi="Open Sans" w:cs="Open Sans"/>
          <w:color w:val="000000"/>
          <w:sz w:val="20"/>
          <w:szCs w:val="20"/>
        </w:rPr>
      </w:pPr>
      <w:r>
        <w:rPr>
          <w:rFonts w:ascii="Open Sans" w:eastAsia="Open Sans" w:hAnsi="Open Sans" w:cs="Open Sans"/>
          <w:color w:val="000000"/>
          <w:sz w:val="20"/>
          <w:szCs w:val="20"/>
        </w:rPr>
        <w:t>Mortgage demand up by +3.8% (</w:t>
      </w:r>
      <w:proofErr w:type="spellStart"/>
      <w:r>
        <w:rPr>
          <w:rFonts w:ascii="Open Sans" w:eastAsia="Open Sans" w:hAnsi="Open Sans" w:cs="Open Sans"/>
          <w:color w:val="000000"/>
          <w:sz w:val="20"/>
          <w:szCs w:val="20"/>
        </w:rPr>
        <w:t>vs</w:t>
      </w:r>
      <w:proofErr w:type="spellEnd"/>
      <w:r>
        <w:rPr>
          <w:rFonts w:ascii="Open Sans" w:eastAsia="Open Sans" w:hAnsi="Open Sans" w:cs="Open Sans"/>
          <w:color w:val="000000"/>
          <w:sz w:val="20"/>
          <w:szCs w:val="20"/>
        </w:rPr>
        <w:t xml:space="preserve"> December quarter 2022)</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EE13CF">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b/>
          <w:color w:val="000000"/>
          <w:sz w:val="20"/>
          <w:szCs w:val="20"/>
        </w:rPr>
        <w:t xml:space="preserve">AUCKLAND – 26 </w:t>
      </w:r>
      <w:r w:rsidR="00133948">
        <w:rPr>
          <w:rFonts w:ascii="Open Sans" w:eastAsia="Open Sans" w:hAnsi="Open Sans" w:cs="Open Sans"/>
          <w:b/>
          <w:color w:val="000000"/>
          <w:sz w:val="20"/>
          <w:szCs w:val="20"/>
        </w:rPr>
        <w:t>February 2024:</w:t>
      </w:r>
      <w:r w:rsidR="00133948">
        <w:rPr>
          <w:rFonts w:ascii="Open Sans" w:eastAsia="Open Sans" w:hAnsi="Open Sans" w:cs="Open Sans"/>
          <w:color w:val="000000"/>
          <w:sz w:val="20"/>
          <w:szCs w:val="20"/>
        </w:rPr>
        <w:t xml:space="preserve"> Consumer credit demand rose again in the last quarter of 2023, according to the latest </w:t>
      </w:r>
      <w:r w:rsidR="00133948">
        <w:rPr>
          <w:rFonts w:ascii="Open Sans" w:eastAsia="Open Sans" w:hAnsi="Open Sans" w:cs="Open Sans"/>
          <w:i/>
          <w:color w:val="000000"/>
          <w:sz w:val="20"/>
          <w:szCs w:val="20"/>
        </w:rPr>
        <w:t>Equifax Quarterly Consumer Credit Demand Index (</w:t>
      </w:r>
      <w:r w:rsidR="00133948">
        <w:rPr>
          <w:rFonts w:ascii="Open Sans" w:eastAsia="Open Sans" w:hAnsi="Open Sans" w:cs="Open Sans"/>
          <w:i/>
          <w:sz w:val="20"/>
          <w:szCs w:val="20"/>
        </w:rPr>
        <w:t>December</w:t>
      </w:r>
      <w:r w:rsidR="00133948">
        <w:rPr>
          <w:rFonts w:ascii="Open Sans" w:eastAsia="Open Sans" w:hAnsi="Open Sans" w:cs="Open Sans"/>
          <w:i/>
          <w:color w:val="000000"/>
          <w:sz w:val="20"/>
          <w:szCs w:val="20"/>
        </w:rPr>
        <w:t xml:space="preserve"> 2023)</w:t>
      </w:r>
      <w:r w:rsidR="00133948">
        <w:rPr>
          <w:rFonts w:ascii="Open Sans" w:eastAsia="Open Sans" w:hAnsi="Open Sans" w:cs="Open Sans"/>
          <w:color w:val="000000"/>
          <w:sz w:val="20"/>
          <w:szCs w:val="20"/>
        </w:rPr>
        <w:t>, despite a decline pre-Christmas. October and November saw firm demand, which tailed off in December in l</w:t>
      </w:r>
      <w:r w:rsidR="00133948">
        <w:rPr>
          <w:rFonts w:ascii="Open Sans" w:eastAsia="Open Sans" w:hAnsi="Open Sans" w:cs="Open Sans"/>
          <w:color w:val="000000"/>
          <w:sz w:val="20"/>
          <w:szCs w:val="20"/>
        </w:rPr>
        <w:t>ine with previous years.</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Released today by Equifax New Zealand, the global data, analytics and technology company and leading provider of credit information and analysis, the index measures the volume of enquiries for retail credit products, including cre</w:t>
      </w:r>
      <w:r>
        <w:rPr>
          <w:rFonts w:ascii="Open Sans" w:eastAsia="Open Sans" w:hAnsi="Open Sans" w:cs="Open Sans"/>
          <w:color w:val="000000"/>
          <w:sz w:val="20"/>
          <w:szCs w:val="20"/>
        </w:rPr>
        <w:t>dit cards, personal loans, and home loans.</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Unsecured credit demand (personal loans and credit cards) was the biggest growth driver, up +6.4% </w:t>
      </w:r>
      <w:proofErr w:type="gramStart"/>
      <w:r>
        <w:rPr>
          <w:rFonts w:ascii="Open Sans" w:eastAsia="Open Sans" w:hAnsi="Open Sans" w:cs="Open Sans"/>
          <w:color w:val="000000"/>
          <w:sz w:val="20"/>
          <w:szCs w:val="20"/>
        </w:rPr>
        <w:t>year-on-year</w:t>
      </w:r>
      <w:proofErr w:type="gramEnd"/>
      <w:r>
        <w:rPr>
          <w:rFonts w:ascii="Open Sans" w:eastAsia="Open Sans" w:hAnsi="Open Sans" w:cs="Open Sans"/>
          <w:color w:val="000000"/>
          <w:sz w:val="20"/>
          <w:szCs w:val="20"/>
        </w:rPr>
        <w:t>, continuing the upward trend of previous quarters. The growth in unsecured credit was particularly dr</w:t>
      </w:r>
      <w:r>
        <w:rPr>
          <w:rFonts w:ascii="Open Sans" w:eastAsia="Open Sans" w:hAnsi="Open Sans" w:cs="Open Sans"/>
          <w:color w:val="000000"/>
          <w:sz w:val="20"/>
          <w:szCs w:val="20"/>
        </w:rPr>
        <w:t xml:space="preserve">iven by personal loan demand (up +16% </w:t>
      </w:r>
      <w:proofErr w:type="spellStart"/>
      <w:r>
        <w:rPr>
          <w:rFonts w:ascii="Open Sans" w:eastAsia="Open Sans" w:hAnsi="Open Sans" w:cs="Open Sans"/>
          <w:color w:val="000000"/>
          <w:sz w:val="20"/>
          <w:szCs w:val="20"/>
        </w:rPr>
        <w:t>vs</w:t>
      </w:r>
      <w:proofErr w:type="spellEnd"/>
      <w:r>
        <w:rPr>
          <w:rFonts w:ascii="Open Sans" w:eastAsia="Open Sans" w:hAnsi="Open Sans" w:cs="Open Sans"/>
          <w:color w:val="000000"/>
          <w:sz w:val="20"/>
          <w:szCs w:val="20"/>
        </w:rPr>
        <w:t xml:space="preserve"> the same period in 2022), while credit card demand was down -6.5% on the previous year.</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133948">
      <w:pPr>
        <w:pBdr>
          <w:top w:val="nil"/>
          <w:left w:val="nil"/>
          <w:bottom w:val="nil"/>
          <w:right w:val="nil"/>
          <w:between w:val="nil"/>
        </w:pBdr>
        <w:tabs>
          <w:tab w:val="left" w:pos="0"/>
        </w:tabs>
        <w:ind w:left="-720"/>
        <w:jc w:val="both"/>
        <w:rPr>
          <w:color w:val="000000"/>
          <w:sz w:val="27"/>
          <w:szCs w:val="27"/>
        </w:rPr>
      </w:pPr>
      <w:r>
        <w:rPr>
          <w:rFonts w:ascii="Open Sans" w:eastAsia="Open Sans" w:hAnsi="Open Sans" w:cs="Open Sans"/>
          <w:sz w:val="20"/>
          <w:szCs w:val="20"/>
        </w:rPr>
        <w:t>Mortgage demand</w:t>
      </w:r>
      <w:r>
        <w:rPr>
          <w:rFonts w:ascii="Open Sans" w:eastAsia="Open Sans" w:hAnsi="Open Sans" w:cs="Open Sans"/>
          <w:color w:val="000000"/>
          <w:sz w:val="20"/>
          <w:szCs w:val="20"/>
        </w:rPr>
        <w:t xml:space="preserve"> was up +3.8% in Q4 2023 compared to the same period the previous year. </w:t>
      </w:r>
      <w:r>
        <w:rPr>
          <w:rFonts w:ascii="Open Sans" w:eastAsia="Open Sans" w:hAnsi="Open Sans" w:cs="Open Sans"/>
          <w:sz w:val="20"/>
          <w:szCs w:val="20"/>
        </w:rPr>
        <w:t>Mortgages saw</w:t>
      </w:r>
      <w:r>
        <w:rPr>
          <w:rFonts w:ascii="Open Sans" w:eastAsia="Open Sans" w:hAnsi="Open Sans" w:cs="Open Sans"/>
          <w:color w:val="000000"/>
          <w:sz w:val="20"/>
          <w:szCs w:val="20"/>
        </w:rPr>
        <w:t xml:space="preserve"> month-on-month increases seen in October and November, before dropping -29% in December 2023 (</w:t>
      </w:r>
      <w:proofErr w:type="spellStart"/>
      <w:r>
        <w:rPr>
          <w:rFonts w:ascii="Open Sans" w:eastAsia="Open Sans" w:hAnsi="Open Sans" w:cs="Open Sans"/>
          <w:color w:val="000000"/>
          <w:sz w:val="20"/>
          <w:szCs w:val="20"/>
        </w:rPr>
        <w:t>vs</w:t>
      </w:r>
      <w:proofErr w:type="spellEnd"/>
      <w:r>
        <w:rPr>
          <w:rFonts w:ascii="Open Sans" w:eastAsia="Open Sans" w:hAnsi="Open Sans" w:cs="Open Sans"/>
          <w:color w:val="000000"/>
          <w:sz w:val="20"/>
          <w:szCs w:val="20"/>
        </w:rPr>
        <w:t xml:space="preserve"> Dec 2022), again reflecting the holiday season.  </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Regionally, overall consumer credit demand was strong in Marlborough (up +6.6%), while Auckland and Canterb</w:t>
      </w:r>
      <w:r>
        <w:rPr>
          <w:rFonts w:ascii="Open Sans" w:eastAsia="Open Sans" w:hAnsi="Open Sans" w:cs="Open Sans"/>
          <w:color w:val="000000"/>
          <w:sz w:val="20"/>
          <w:szCs w:val="20"/>
        </w:rPr>
        <w:t>ury</w:t>
      </w:r>
      <w:r>
        <w:rPr>
          <w:rFonts w:ascii="Open Sans" w:eastAsia="Open Sans" w:hAnsi="Open Sans" w:cs="Open Sans"/>
          <w:sz w:val="20"/>
          <w:szCs w:val="20"/>
        </w:rPr>
        <w:t xml:space="preserve"> </w:t>
      </w:r>
      <w:r>
        <w:rPr>
          <w:rFonts w:ascii="Open Sans" w:eastAsia="Open Sans" w:hAnsi="Open Sans" w:cs="Open Sans"/>
          <w:color w:val="000000"/>
          <w:sz w:val="20"/>
          <w:szCs w:val="20"/>
        </w:rPr>
        <w:t xml:space="preserve">were both up +5%. Decline in demand was seen in </w:t>
      </w:r>
      <w:proofErr w:type="spellStart"/>
      <w:r>
        <w:rPr>
          <w:rFonts w:ascii="Open Sans" w:eastAsia="Open Sans" w:hAnsi="Open Sans" w:cs="Open Sans"/>
          <w:color w:val="000000"/>
          <w:sz w:val="20"/>
          <w:szCs w:val="20"/>
        </w:rPr>
        <w:t>Manawatu</w:t>
      </w:r>
      <w:proofErr w:type="spellEnd"/>
      <w:r>
        <w:rPr>
          <w:rFonts w:ascii="Open Sans" w:eastAsia="Open Sans" w:hAnsi="Open Sans" w:cs="Open Sans"/>
          <w:color w:val="000000"/>
          <w:sz w:val="20"/>
          <w:szCs w:val="20"/>
        </w:rPr>
        <w:t xml:space="preserve">-Wanganui, Nelson, Tasman, and Southland, which had the largest decline (down -4.3%). </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Equifax spokesperson</w:t>
      </w:r>
      <w:r>
        <w:rPr>
          <w:rFonts w:ascii="Open Sans" w:eastAsia="Open Sans" w:hAnsi="Open Sans" w:cs="Open Sans"/>
          <w:sz w:val="20"/>
          <w:szCs w:val="20"/>
        </w:rPr>
        <w:t xml:space="preserve"> Nick Foster</w:t>
      </w:r>
      <w:r>
        <w:rPr>
          <w:rFonts w:ascii="Open Sans" w:eastAsia="Open Sans" w:hAnsi="Open Sans" w:cs="Open Sans"/>
          <w:b/>
          <w:i/>
          <w:color w:val="000000"/>
          <w:sz w:val="20"/>
          <w:szCs w:val="20"/>
        </w:rPr>
        <w:t xml:space="preserve"> </w:t>
      </w:r>
      <w:r>
        <w:rPr>
          <w:rFonts w:ascii="Open Sans" w:eastAsia="Open Sans" w:hAnsi="Open Sans" w:cs="Open Sans"/>
          <w:color w:val="000000"/>
          <w:sz w:val="20"/>
          <w:szCs w:val="20"/>
        </w:rPr>
        <w:t>says</w:t>
      </w:r>
      <w:r>
        <w:rPr>
          <w:rFonts w:ascii="Open Sans" w:eastAsia="Open Sans" w:hAnsi="Open Sans" w:cs="Open Sans"/>
          <w:sz w:val="20"/>
          <w:szCs w:val="20"/>
        </w:rPr>
        <w:t>: “Th</w:t>
      </w:r>
      <w:r>
        <w:rPr>
          <w:rFonts w:ascii="Open Sans" w:eastAsia="Open Sans" w:hAnsi="Open Sans" w:cs="Open Sans"/>
          <w:color w:val="000000"/>
          <w:sz w:val="20"/>
          <w:szCs w:val="20"/>
        </w:rPr>
        <w:t>e results showed cautious optimism amongst consumers, who tended to use personal loans for big ticket items, like cars and home appliances. “Conversely, the decline in credit card demand may reflect a pragmatic approach to reining in Christmas spending, pa</w:t>
      </w:r>
      <w:r>
        <w:rPr>
          <w:rFonts w:ascii="Open Sans" w:eastAsia="Open Sans" w:hAnsi="Open Sans" w:cs="Open Sans"/>
          <w:color w:val="000000"/>
          <w:sz w:val="20"/>
          <w:szCs w:val="20"/>
        </w:rPr>
        <w:t>rticularly at a time of high interest rates.</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“The increase in mortgage demand comes off the back of the election results, net migration figures, and the imminent return of thousands of international students this year. Demand for home lending increased in</w:t>
      </w:r>
      <w:r>
        <w:rPr>
          <w:rFonts w:ascii="Open Sans" w:eastAsia="Open Sans" w:hAnsi="Open Sans" w:cs="Open Sans"/>
          <w:color w:val="000000"/>
          <w:sz w:val="20"/>
          <w:szCs w:val="20"/>
        </w:rPr>
        <w:t xml:space="preserve"> most regions, although there were drops in Nelson, Tasman and </w:t>
      </w:r>
      <w:proofErr w:type="spellStart"/>
      <w:r>
        <w:rPr>
          <w:rFonts w:ascii="Open Sans" w:eastAsia="Open Sans" w:hAnsi="Open Sans" w:cs="Open Sans"/>
          <w:color w:val="000000"/>
          <w:sz w:val="20"/>
          <w:szCs w:val="20"/>
        </w:rPr>
        <w:t>Gisborne</w:t>
      </w:r>
      <w:proofErr w:type="spellEnd"/>
      <w:r>
        <w:rPr>
          <w:rFonts w:ascii="Open Sans" w:eastAsia="Open Sans" w:hAnsi="Open Sans" w:cs="Open Sans"/>
          <w:color w:val="000000"/>
          <w:sz w:val="20"/>
          <w:szCs w:val="20"/>
        </w:rPr>
        <w:t>.”</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highlight w:val="yellow"/>
        </w:rPr>
      </w:pP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highlight w:val="yellow"/>
        </w:rPr>
      </w:pPr>
    </w:p>
    <w:p w:rsidR="00EB75DE" w:rsidRDefault="00EB75DE">
      <w:pPr>
        <w:pBdr>
          <w:top w:val="nil"/>
          <w:left w:val="nil"/>
          <w:bottom w:val="nil"/>
          <w:right w:val="nil"/>
          <w:between w:val="nil"/>
        </w:pBdr>
        <w:tabs>
          <w:tab w:val="left" w:pos="0"/>
        </w:tabs>
        <w:ind w:left="-720"/>
        <w:jc w:val="center"/>
        <w:rPr>
          <w:rFonts w:ascii="Open Sans" w:eastAsia="Open Sans" w:hAnsi="Open Sans" w:cs="Open Sans"/>
          <w:b/>
          <w:sz w:val="20"/>
          <w:szCs w:val="20"/>
        </w:rPr>
      </w:pPr>
    </w:p>
    <w:p w:rsidR="00EB75DE" w:rsidRDefault="00133948">
      <w:pPr>
        <w:pBdr>
          <w:top w:val="nil"/>
          <w:left w:val="nil"/>
          <w:bottom w:val="nil"/>
          <w:right w:val="nil"/>
          <w:between w:val="nil"/>
        </w:pBdr>
        <w:tabs>
          <w:tab w:val="left" w:pos="0"/>
        </w:tabs>
        <w:ind w:left="-720"/>
        <w:jc w:val="center"/>
        <w:rPr>
          <w:rFonts w:ascii="Open Sans" w:eastAsia="Open Sans" w:hAnsi="Open Sans" w:cs="Open Sans"/>
          <w:b/>
          <w:color w:val="000000"/>
          <w:sz w:val="20"/>
          <w:szCs w:val="20"/>
        </w:rPr>
      </w:pPr>
      <w:r>
        <w:rPr>
          <w:rFonts w:ascii="Open Sans" w:eastAsia="Open Sans" w:hAnsi="Open Sans" w:cs="Open Sans"/>
          <w:b/>
          <w:color w:val="000000"/>
          <w:sz w:val="20"/>
          <w:szCs w:val="20"/>
        </w:rPr>
        <w:t>CHART: Consumer Credit Demand Index, Year-on-Year Changes (%)</w:t>
      </w:r>
    </w:p>
    <w:p w:rsidR="00EB75DE" w:rsidRDefault="00EB75DE">
      <w:pPr>
        <w:pBdr>
          <w:top w:val="nil"/>
          <w:left w:val="nil"/>
          <w:bottom w:val="nil"/>
          <w:right w:val="nil"/>
          <w:between w:val="nil"/>
        </w:pBdr>
        <w:tabs>
          <w:tab w:val="left" w:pos="0"/>
        </w:tabs>
        <w:ind w:left="-720"/>
        <w:jc w:val="center"/>
        <w:rPr>
          <w:rFonts w:ascii="Open Sans" w:eastAsia="Open Sans" w:hAnsi="Open Sans" w:cs="Open Sans"/>
          <w:b/>
          <w:color w:val="000000"/>
          <w:sz w:val="20"/>
          <w:szCs w:val="20"/>
        </w:rPr>
      </w:pPr>
    </w:p>
    <w:p w:rsidR="00EB75DE" w:rsidRDefault="00133948">
      <w:pPr>
        <w:spacing w:line="276" w:lineRule="auto"/>
        <w:rPr>
          <w:rFonts w:ascii="Open Sans" w:eastAsia="Open Sans" w:hAnsi="Open Sans" w:cs="Open Sans"/>
          <w:i/>
          <w:color w:val="000000"/>
          <w:sz w:val="20"/>
          <w:szCs w:val="20"/>
          <w:u w:val="single"/>
        </w:rPr>
      </w:pPr>
      <w:r>
        <w:rPr>
          <w:rFonts w:ascii="Arial" w:eastAsia="Arial" w:hAnsi="Arial" w:cs="Arial"/>
          <w:noProof/>
          <w:sz w:val="22"/>
          <w:szCs w:val="22"/>
          <w:lang w:val="en-NZ"/>
        </w:rPr>
        <w:drawing>
          <wp:inline distT="114300" distB="114300" distL="114300" distR="114300">
            <wp:extent cx="5829300" cy="23622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5829300" cy="2362200"/>
                    </a:xfrm>
                    <a:prstGeom prst="rect">
                      <a:avLst/>
                    </a:prstGeom>
                    <a:ln/>
                  </pic:spPr>
                </pic:pic>
              </a:graphicData>
            </a:graphic>
          </wp:inline>
        </w:drawing>
      </w:r>
    </w:p>
    <w:p w:rsidR="00EB75DE" w:rsidRDefault="00EB75DE">
      <w:pPr>
        <w:pBdr>
          <w:top w:val="nil"/>
          <w:left w:val="nil"/>
          <w:bottom w:val="nil"/>
          <w:right w:val="nil"/>
          <w:between w:val="nil"/>
        </w:pBdr>
        <w:spacing w:line="276" w:lineRule="auto"/>
        <w:rPr>
          <w:rFonts w:ascii="Open Sans" w:eastAsia="Open Sans" w:hAnsi="Open Sans" w:cs="Open Sans"/>
          <w:b/>
          <w:color w:val="000000"/>
          <w:sz w:val="20"/>
          <w:szCs w:val="20"/>
        </w:rPr>
      </w:pP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133948">
      <w:pPr>
        <w:pBdr>
          <w:top w:val="nil"/>
          <w:left w:val="nil"/>
          <w:bottom w:val="nil"/>
          <w:right w:val="nil"/>
          <w:between w:val="nil"/>
        </w:pBdr>
        <w:tabs>
          <w:tab w:val="left" w:pos="0"/>
        </w:tabs>
        <w:ind w:left="-720"/>
        <w:jc w:val="both"/>
        <w:rPr>
          <w:rFonts w:ascii="Open Sans" w:eastAsia="Open Sans" w:hAnsi="Open Sans" w:cs="Open Sans"/>
          <w:b/>
          <w:color w:val="EB0028"/>
          <w:sz w:val="20"/>
          <w:szCs w:val="20"/>
        </w:rPr>
      </w:pPr>
      <w:r>
        <w:rPr>
          <w:rFonts w:ascii="Open Sans" w:eastAsia="Open Sans" w:hAnsi="Open Sans" w:cs="Open Sans"/>
          <w:b/>
          <w:color w:val="EB0028"/>
          <w:sz w:val="20"/>
          <w:szCs w:val="20"/>
        </w:rPr>
        <w:t>ABOUT EQUIFAX</w:t>
      </w: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At Equifax (NYSE: EFX), we believe knowledge drives progress. As a global data, analytics, and technology company, we play an essential role in the global economy by helping financial institutions, companies, employers, and government agencies make critica</w:t>
      </w:r>
      <w:r>
        <w:rPr>
          <w:rFonts w:ascii="Open Sans" w:eastAsia="Open Sans" w:hAnsi="Open Sans" w:cs="Open Sans"/>
          <w:color w:val="000000"/>
          <w:sz w:val="20"/>
          <w:szCs w:val="20"/>
        </w:rPr>
        <w:t>l decisions with greater confidence. Our unique blend of differentiated data, analytics, and cloud technology drives insights to power decisions to move people forward. Headquartered in Atlanta and supported by more than 1</w:t>
      </w:r>
      <w:r>
        <w:rPr>
          <w:rFonts w:ascii="Open Sans" w:eastAsia="Open Sans" w:hAnsi="Open Sans" w:cs="Open Sans"/>
          <w:sz w:val="20"/>
          <w:szCs w:val="20"/>
        </w:rPr>
        <w:t>5</w:t>
      </w:r>
      <w:r>
        <w:rPr>
          <w:rFonts w:ascii="Open Sans" w:eastAsia="Open Sans" w:hAnsi="Open Sans" w:cs="Open Sans"/>
          <w:color w:val="000000"/>
          <w:sz w:val="20"/>
          <w:szCs w:val="20"/>
        </w:rPr>
        <w:t>,000 employees worldwide, Equifax</w:t>
      </w:r>
      <w:r>
        <w:rPr>
          <w:rFonts w:ascii="Open Sans" w:eastAsia="Open Sans" w:hAnsi="Open Sans" w:cs="Open Sans"/>
          <w:color w:val="000000"/>
          <w:sz w:val="20"/>
          <w:szCs w:val="20"/>
        </w:rPr>
        <w:t xml:space="preserve"> operates or has investments in 24 countries in North America, Central and South America, Europe, and the Asia Pacific region. For more information, visit </w:t>
      </w:r>
      <w:hyperlink r:id="rId9">
        <w:r>
          <w:rPr>
            <w:rFonts w:ascii="Open Sans" w:eastAsia="Open Sans" w:hAnsi="Open Sans" w:cs="Open Sans"/>
            <w:color w:val="1155CC"/>
            <w:sz w:val="20"/>
            <w:szCs w:val="20"/>
            <w:u w:val="single"/>
          </w:rPr>
          <w:t>www.equifax.co.nz</w:t>
        </w:r>
      </w:hyperlink>
      <w:r>
        <w:rPr>
          <w:rFonts w:ascii="Open Sans" w:eastAsia="Open Sans" w:hAnsi="Open Sans" w:cs="Open Sans"/>
          <w:color w:val="000000"/>
          <w:sz w:val="20"/>
          <w:szCs w:val="20"/>
        </w:rPr>
        <w:t xml:space="preserve"> or follow the company’s news on </w:t>
      </w:r>
      <w:hyperlink r:id="rId10">
        <w:r>
          <w:rPr>
            <w:rFonts w:ascii="Open Sans" w:eastAsia="Open Sans" w:hAnsi="Open Sans" w:cs="Open Sans"/>
            <w:color w:val="1155CC"/>
            <w:sz w:val="20"/>
            <w:szCs w:val="20"/>
            <w:u w:val="single"/>
          </w:rPr>
          <w:t>LinkedIn</w:t>
        </w:r>
      </w:hyperlink>
      <w:r>
        <w:rPr>
          <w:rFonts w:ascii="Open Sans" w:eastAsia="Open Sans" w:hAnsi="Open Sans" w:cs="Open Sans"/>
          <w:color w:val="000000"/>
          <w:sz w:val="20"/>
          <w:szCs w:val="20"/>
        </w:rPr>
        <w:t>.</w:t>
      </w:r>
    </w:p>
    <w:p w:rsidR="00EB75DE" w:rsidRDefault="00EB75DE">
      <w:pPr>
        <w:pBdr>
          <w:top w:val="nil"/>
          <w:left w:val="nil"/>
          <w:bottom w:val="nil"/>
          <w:right w:val="nil"/>
          <w:between w:val="nil"/>
        </w:pBdr>
        <w:tabs>
          <w:tab w:val="left" w:pos="0"/>
        </w:tabs>
        <w:ind w:left="-720"/>
        <w:jc w:val="both"/>
        <w:rPr>
          <w:rFonts w:ascii="Open Sans" w:eastAsia="Open Sans" w:hAnsi="Open Sans" w:cs="Open Sans"/>
          <w:b/>
          <w:color w:val="EB0028"/>
          <w:sz w:val="20"/>
          <w:szCs w:val="20"/>
        </w:rPr>
      </w:pPr>
    </w:p>
    <w:p w:rsidR="00EB75DE" w:rsidRDefault="00133948">
      <w:pPr>
        <w:pBdr>
          <w:top w:val="nil"/>
          <w:left w:val="nil"/>
          <w:bottom w:val="nil"/>
          <w:right w:val="nil"/>
          <w:between w:val="nil"/>
        </w:pBdr>
        <w:tabs>
          <w:tab w:val="left" w:pos="0"/>
        </w:tabs>
        <w:ind w:left="-720"/>
        <w:jc w:val="both"/>
        <w:rPr>
          <w:rFonts w:ascii="Open Sans" w:eastAsia="Open Sans" w:hAnsi="Open Sans" w:cs="Open Sans"/>
          <w:b/>
          <w:color w:val="EB0028"/>
          <w:sz w:val="20"/>
          <w:szCs w:val="20"/>
        </w:rPr>
      </w:pPr>
      <w:r>
        <w:rPr>
          <w:rFonts w:ascii="Open Sans" w:eastAsia="Open Sans" w:hAnsi="Open Sans" w:cs="Open Sans"/>
          <w:b/>
          <w:color w:val="EB0028"/>
          <w:sz w:val="20"/>
          <w:szCs w:val="20"/>
        </w:rPr>
        <w:t>FOR MORE INFORMATION</w:t>
      </w: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Annie Hogan | </w:t>
      </w:r>
      <w:proofErr w:type="spellStart"/>
      <w:r>
        <w:rPr>
          <w:rFonts w:ascii="Open Sans" w:eastAsia="Open Sans" w:hAnsi="Open Sans" w:cs="Open Sans"/>
          <w:color w:val="000000"/>
          <w:sz w:val="20"/>
          <w:szCs w:val="20"/>
        </w:rPr>
        <w:t>Dentsu</w:t>
      </w:r>
      <w:proofErr w:type="spellEnd"/>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021 725 259 </w:t>
      </w: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annie.hogan@dentsu.com</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b/>
          <w:color w:val="EB0028"/>
          <w:sz w:val="20"/>
          <w:szCs w:val="20"/>
        </w:rPr>
        <w:t>NOTE TO EDITORS</w:t>
      </w: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highlight w:val="yellow"/>
        </w:rPr>
      </w:pPr>
      <w:r>
        <w:rPr>
          <w:rFonts w:ascii="Open Sans" w:eastAsia="Open Sans" w:hAnsi="Open Sans" w:cs="Open Sans"/>
          <w:color w:val="000000"/>
          <w:sz w:val="20"/>
          <w:szCs w:val="20"/>
        </w:rPr>
        <w:t xml:space="preserve">The Quarterly Consumer Credit Demand Index by Equifax measures the volume of credit card, </w:t>
      </w:r>
      <w:r>
        <w:rPr>
          <w:rFonts w:ascii="Open Sans" w:eastAsia="Open Sans" w:hAnsi="Open Sans" w:cs="Open Sans"/>
          <w:color w:val="000000"/>
          <w:sz w:val="20"/>
          <w:szCs w:val="20"/>
        </w:rPr>
        <w:t>personal loan applications, and home loan applications that go through the Equifax Consumer Credit Bureau by financial services credit providers in New Zealand. Credit applications represent an intention by consumers to acquire credit and in turn spend; th</w:t>
      </w:r>
      <w:r>
        <w:rPr>
          <w:rFonts w:ascii="Open Sans" w:eastAsia="Open Sans" w:hAnsi="Open Sans" w:cs="Open Sans"/>
          <w:color w:val="000000"/>
          <w:sz w:val="20"/>
          <w:szCs w:val="20"/>
        </w:rPr>
        <w:t xml:space="preserve">erefore, the index is a lead indicator. </w:t>
      </w:r>
    </w:p>
    <w:p w:rsidR="00EB75DE" w:rsidRDefault="00EB75DE">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p>
    <w:p w:rsidR="00EB75DE" w:rsidRDefault="00133948">
      <w:pPr>
        <w:pBdr>
          <w:top w:val="nil"/>
          <w:left w:val="nil"/>
          <w:bottom w:val="nil"/>
          <w:right w:val="nil"/>
          <w:between w:val="nil"/>
        </w:pBdr>
        <w:tabs>
          <w:tab w:val="left" w:pos="0"/>
        </w:tabs>
        <w:ind w:left="-720"/>
        <w:jc w:val="both"/>
        <w:rPr>
          <w:rFonts w:ascii="Open Sans" w:eastAsia="Open Sans" w:hAnsi="Open Sans" w:cs="Open Sans"/>
          <w:b/>
          <w:color w:val="EB0028"/>
          <w:sz w:val="20"/>
          <w:szCs w:val="20"/>
        </w:rPr>
      </w:pPr>
      <w:r>
        <w:rPr>
          <w:rFonts w:ascii="Open Sans" w:eastAsia="Open Sans" w:hAnsi="Open Sans" w:cs="Open Sans"/>
          <w:b/>
          <w:color w:val="EB0028"/>
          <w:sz w:val="20"/>
          <w:szCs w:val="20"/>
        </w:rPr>
        <w:t>DISCLAIMER</w:t>
      </w: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Purpose of Equifax media releases:</w:t>
      </w:r>
    </w:p>
    <w:p w:rsidR="00EB75DE" w:rsidRDefault="00133948">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The information in this release does not constitute legal, accounting or other professional financial advice. The information may change, and Equifax does not guarantee</w:t>
      </w:r>
      <w:r>
        <w:rPr>
          <w:rFonts w:ascii="Open Sans" w:eastAsia="Open Sans" w:hAnsi="Open Sans" w:cs="Open Sans"/>
          <w:color w:val="000000"/>
          <w:sz w:val="20"/>
          <w:szCs w:val="20"/>
        </w:rPr>
        <w:t xml:space="preserve"> its currency or accuracy. To the extent permitted by law, Equifax specifically excludes all liability or responsibility for any loss or damage arising out of reliance on information in this release and the data in this report, including any consequential </w:t>
      </w:r>
      <w:r>
        <w:rPr>
          <w:rFonts w:ascii="Open Sans" w:eastAsia="Open Sans" w:hAnsi="Open Sans" w:cs="Open Sans"/>
          <w:color w:val="000000"/>
          <w:sz w:val="20"/>
          <w:szCs w:val="20"/>
        </w:rPr>
        <w:t xml:space="preserve">or indirect loss, loss of profit, loss of revenue or loss of business opportunity. </w:t>
      </w:r>
    </w:p>
    <w:p w:rsidR="00EB75DE" w:rsidRDefault="00EB75DE">
      <w:pPr>
        <w:pBdr>
          <w:top w:val="nil"/>
          <w:left w:val="nil"/>
          <w:bottom w:val="nil"/>
          <w:right w:val="nil"/>
          <w:between w:val="nil"/>
        </w:pBdr>
        <w:tabs>
          <w:tab w:val="left" w:pos="0"/>
        </w:tabs>
        <w:ind w:left="-720"/>
        <w:jc w:val="both"/>
        <w:rPr>
          <w:rFonts w:ascii="Open Sans" w:eastAsia="Open Sans" w:hAnsi="Open Sans" w:cs="Open Sans"/>
          <w:b/>
          <w:color w:val="EB0028"/>
          <w:sz w:val="20"/>
          <w:szCs w:val="20"/>
        </w:rPr>
      </w:pPr>
    </w:p>
    <w:p w:rsidR="00EB75DE" w:rsidRDefault="00EB75DE">
      <w:pPr>
        <w:pBdr>
          <w:top w:val="nil"/>
          <w:left w:val="nil"/>
          <w:bottom w:val="nil"/>
          <w:right w:val="nil"/>
          <w:between w:val="nil"/>
        </w:pBdr>
        <w:tabs>
          <w:tab w:val="left" w:pos="0"/>
        </w:tabs>
        <w:ind w:left="-720"/>
        <w:jc w:val="both"/>
        <w:rPr>
          <w:rFonts w:ascii="Open Sans" w:eastAsia="Open Sans" w:hAnsi="Open Sans" w:cs="Open Sans"/>
          <w:b/>
          <w:color w:val="EB0028"/>
          <w:sz w:val="16"/>
          <w:szCs w:val="16"/>
        </w:rPr>
      </w:pPr>
    </w:p>
    <w:p w:rsidR="00EB75DE" w:rsidRDefault="00EB75DE"/>
    <w:p w:rsidR="00EB75DE" w:rsidRDefault="00EB75DE"/>
    <w:sectPr w:rsidR="00EB75DE" w:rsidSect="00EB75DE">
      <w:headerReference w:type="default" r:id="rId11"/>
      <w:footerReference w:type="default" r:id="rId12"/>
      <w:headerReference w:type="first" r:id="rId13"/>
      <w:footerReference w:type="first" r:id="rId14"/>
      <w:pgSz w:w="12240" w:h="15840"/>
      <w:pgMar w:top="2250" w:right="1170" w:bottom="1080" w:left="1890" w:header="108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948" w:rsidRDefault="00133948" w:rsidP="00EB75DE">
      <w:r>
        <w:separator/>
      </w:r>
    </w:p>
  </w:endnote>
  <w:endnote w:type="continuationSeparator" w:id="0">
    <w:p w:rsidR="00133948" w:rsidRDefault="00133948" w:rsidP="00EB7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sig w:usb0="00000000" w:usb1="00000000" w:usb2="00000000" w:usb3="00000000" w:csb0="00000000" w:csb1="00000000"/>
  </w:font>
  <w:font w:name="Open Sans">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DE" w:rsidRDefault="00133948">
    <w:pPr>
      <w:pBdr>
        <w:top w:val="nil"/>
        <w:left w:val="nil"/>
        <w:bottom w:val="nil"/>
        <w:right w:val="nil"/>
        <w:between w:val="nil"/>
      </w:pBdr>
      <w:tabs>
        <w:tab w:val="center" w:pos="4320"/>
        <w:tab w:val="right" w:pos="8640"/>
      </w:tabs>
      <w:ind w:left="-1890"/>
      <w:rPr>
        <w:color w:val="000000"/>
      </w:rPr>
    </w:pPr>
    <w:r>
      <w:rPr>
        <w:noProof/>
        <w:lang w:val="en-NZ"/>
      </w:rPr>
      <w:drawing>
        <wp:anchor distT="0" distB="0" distL="114300" distR="114300" simplePos="0" relativeHeight="251660288" behindDoc="0" locked="0" layoutInCell="1" allowOverlap="1">
          <wp:simplePos x="0" y="0"/>
          <wp:positionH relativeFrom="column">
            <wp:posOffset>-1142998</wp:posOffset>
          </wp:positionH>
          <wp:positionV relativeFrom="paragraph">
            <wp:posOffset>5918200</wp:posOffset>
          </wp:positionV>
          <wp:extent cx="7800975" cy="989274"/>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0975" cy="989274"/>
                  </a:xfrm>
                  <a:prstGeom prst="rect">
                    <a:avLst/>
                  </a:prstGeom>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DE" w:rsidRDefault="00EB75DE">
    <w:pPr>
      <w:pBdr>
        <w:top w:val="nil"/>
        <w:left w:val="nil"/>
        <w:bottom w:val="nil"/>
        <w:right w:val="nil"/>
        <w:between w:val="nil"/>
      </w:pBdr>
      <w:tabs>
        <w:tab w:val="center" w:pos="4320"/>
        <w:tab w:val="right" w:pos="8640"/>
      </w:tabs>
      <w:ind w:left="-180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948" w:rsidRDefault="00133948" w:rsidP="00EB75DE">
      <w:r>
        <w:separator/>
      </w:r>
    </w:p>
  </w:footnote>
  <w:footnote w:type="continuationSeparator" w:id="0">
    <w:p w:rsidR="00133948" w:rsidRDefault="00133948" w:rsidP="00EB7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DE" w:rsidRDefault="00133948">
    <w:pPr>
      <w:pBdr>
        <w:top w:val="nil"/>
        <w:left w:val="nil"/>
        <w:bottom w:val="nil"/>
        <w:right w:val="nil"/>
        <w:between w:val="nil"/>
      </w:pBdr>
      <w:tabs>
        <w:tab w:val="left" w:pos="0"/>
      </w:tabs>
      <w:ind w:left="-720"/>
      <w:jc w:val="both"/>
      <w:rPr>
        <w:color w:val="000000"/>
      </w:rPr>
    </w:pPr>
    <w:r>
      <w:rPr>
        <w:noProof/>
        <w:lang w:val="en-NZ"/>
      </w:rPr>
      <w:drawing>
        <wp:anchor distT="0" distB="0" distL="114300" distR="114300" simplePos="0" relativeHeight="251658240" behindDoc="0" locked="0" layoutInCell="1" allowOverlap="1">
          <wp:simplePos x="0" y="0"/>
          <wp:positionH relativeFrom="column">
            <wp:posOffset>-1142998</wp:posOffset>
          </wp:positionH>
          <wp:positionV relativeFrom="paragraph">
            <wp:posOffset>-457197</wp:posOffset>
          </wp:positionV>
          <wp:extent cx="7800975" cy="82867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0975" cy="828675"/>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DE" w:rsidRDefault="00133948">
    <w:pPr>
      <w:pBdr>
        <w:top w:val="nil"/>
        <w:left w:val="nil"/>
        <w:bottom w:val="nil"/>
        <w:right w:val="nil"/>
        <w:between w:val="nil"/>
      </w:pBdr>
      <w:tabs>
        <w:tab w:val="center" w:pos="4320"/>
        <w:tab w:val="right" w:pos="8640"/>
      </w:tabs>
      <w:ind w:left="-990"/>
      <w:rPr>
        <w:color w:val="000000"/>
      </w:rPr>
    </w:pPr>
    <w:r>
      <w:rPr>
        <w:noProof/>
        <w:lang w:val="en-NZ"/>
      </w:rPr>
      <w:drawing>
        <wp:anchor distT="0" distB="0" distL="114300" distR="114300" simplePos="0" relativeHeight="251659264" behindDoc="0" locked="0" layoutInCell="1" allowOverlap="1">
          <wp:simplePos x="0" y="0"/>
          <wp:positionH relativeFrom="column">
            <wp:posOffset>-1188716</wp:posOffset>
          </wp:positionH>
          <wp:positionV relativeFrom="paragraph">
            <wp:posOffset>-720086</wp:posOffset>
          </wp:positionV>
          <wp:extent cx="7772400" cy="1371600"/>
          <wp:effectExtent l="0" t="0" r="0" b="0"/>
          <wp:wrapNone/>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772400" cy="13716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A4B41"/>
    <w:multiLevelType w:val="multilevel"/>
    <w:tmpl w:val="4AF87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defaultTabStop w:val="720"/>
  <w:characterSpacingControl w:val="doNotCompress"/>
  <w:savePreviewPicture/>
  <w:footnotePr>
    <w:footnote w:id="-1"/>
    <w:footnote w:id="0"/>
  </w:footnotePr>
  <w:endnotePr>
    <w:endnote w:id="-1"/>
    <w:endnote w:id="0"/>
  </w:endnotePr>
  <w:compat/>
  <w:rsids>
    <w:rsidRoot w:val="00EB75DE"/>
    <w:rsid w:val="00133948"/>
    <w:rsid w:val="00EB75DE"/>
    <w:rsid w:val="00EE13C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en-GB"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22"/>
  </w:style>
  <w:style w:type="paragraph" w:styleId="Heading1">
    <w:name w:val="heading 1"/>
    <w:basedOn w:val="normal0"/>
    <w:next w:val="normal0"/>
    <w:rsid w:val="00EB75DE"/>
    <w:pPr>
      <w:keepNext/>
      <w:keepLines/>
      <w:spacing w:before="480" w:after="120"/>
      <w:outlineLvl w:val="0"/>
    </w:pPr>
    <w:rPr>
      <w:b/>
      <w:sz w:val="48"/>
      <w:szCs w:val="48"/>
    </w:rPr>
  </w:style>
  <w:style w:type="paragraph" w:styleId="Heading2">
    <w:name w:val="heading 2"/>
    <w:basedOn w:val="normal0"/>
    <w:next w:val="normal0"/>
    <w:rsid w:val="00EB75DE"/>
    <w:pPr>
      <w:keepNext/>
      <w:keepLines/>
      <w:spacing w:before="360" w:after="80"/>
      <w:outlineLvl w:val="1"/>
    </w:pPr>
    <w:rPr>
      <w:b/>
      <w:sz w:val="36"/>
      <w:szCs w:val="36"/>
    </w:rPr>
  </w:style>
  <w:style w:type="paragraph" w:styleId="Heading3">
    <w:name w:val="heading 3"/>
    <w:basedOn w:val="normal0"/>
    <w:next w:val="normal0"/>
    <w:rsid w:val="00EB75DE"/>
    <w:pPr>
      <w:keepNext/>
      <w:keepLines/>
      <w:spacing w:before="280" w:after="80"/>
      <w:outlineLvl w:val="2"/>
    </w:pPr>
    <w:rPr>
      <w:b/>
      <w:sz w:val="28"/>
      <w:szCs w:val="28"/>
    </w:rPr>
  </w:style>
  <w:style w:type="paragraph" w:styleId="Heading4">
    <w:name w:val="heading 4"/>
    <w:basedOn w:val="normal0"/>
    <w:next w:val="normal0"/>
    <w:rsid w:val="00EB75DE"/>
    <w:pPr>
      <w:keepNext/>
      <w:keepLines/>
      <w:spacing w:before="240" w:after="40"/>
      <w:outlineLvl w:val="3"/>
    </w:pPr>
    <w:rPr>
      <w:b/>
    </w:rPr>
  </w:style>
  <w:style w:type="paragraph" w:styleId="Heading5">
    <w:name w:val="heading 5"/>
    <w:basedOn w:val="normal0"/>
    <w:next w:val="normal0"/>
    <w:rsid w:val="00EB75DE"/>
    <w:pPr>
      <w:keepNext/>
      <w:keepLines/>
      <w:spacing w:before="220" w:after="40"/>
      <w:outlineLvl w:val="4"/>
    </w:pPr>
    <w:rPr>
      <w:b/>
      <w:sz w:val="22"/>
      <w:szCs w:val="22"/>
    </w:rPr>
  </w:style>
  <w:style w:type="paragraph" w:styleId="Heading6">
    <w:name w:val="heading 6"/>
    <w:basedOn w:val="normal0"/>
    <w:next w:val="normal0"/>
    <w:rsid w:val="00EB75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B75DE"/>
  </w:style>
  <w:style w:type="paragraph" w:styleId="Title">
    <w:name w:val="Title"/>
    <w:basedOn w:val="normal0"/>
    <w:next w:val="normal0"/>
    <w:rsid w:val="00EB75DE"/>
    <w:pPr>
      <w:keepNext/>
      <w:keepLines/>
      <w:spacing w:before="480" w:after="120"/>
    </w:pPr>
    <w:rPr>
      <w:b/>
      <w:sz w:val="72"/>
      <w:szCs w:val="72"/>
    </w:rPr>
  </w:style>
  <w:style w:type="paragraph" w:customStyle="1" w:styleId="normal1">
    <w:name w:val="normal"/>
    <w:rsid w:val="00D87B22"/>
  </w:style>
  <w:style w:type="paragraph" w:customStyle="1" w:styleId="paragraph">
    <w:name w:val="paragraph"/>
    <w:basedOn w:val="Normal"/>
    <w:rsid w:val="004D759C"/>
    <w:pPr>
      <w:spacing w:before="100" w:beforeAutospacing="1" w:after="100" w:afterAutospacing="1"/>
    </w:pPr>
    <w:rPr>
      <w:rFonts w:ascii="Times New Roman" w:eastAsia="Times New Roman" w:hAnsi="Times New Roman" w:cs="Times New Roman"/>
      <w:lang w:val="en-NZ"/>
    </w:rPr>
  </w:style>
  <w:style w:type="character" w:customStyle="1" w:styleId="normaltextrun">
    <w:name w:val="normaltextrun"/>
    <w:basedOn w:val="DefaultParagraphFont"/>
    <w:rsid w:val="004D759C"/>
  </w:style>
  <w:style w:type="character" w:customStyle="1" w:styleId="eop">
    <w:name w:val="eop"/>
    <w:basedOn w:val="DefaultParagraphFont"/>
    <w:rsid w:val="004D759C"/>
  </w:style>
  <w:style w:type="character" w:customStyle="1" w:styleId="findhit">
    <w:name w:val="findhit"/>
    <w:basedOn w:val="DefaultParagraphFont"/>
    <w:rsid w:val="004D759C"/>
  </w:style>
  <w:style w:type="paragraph" w:styleId="NormalWeb">
    <w:name w:val="Normal (Web)"/>
    <w:basedOn w:val="Normal"/>
    <w:uiPriority w:val="99"/>
    <w:semiHidden/>
    <w:unhideWhenUsed/>
    <w:rsid w:val="00064B87"/>
    <w:pPr>
      <w:spacing w:before="100" w:beforeAutospacing="1" w:after="100" w:afterAutospacing="1"/>
    </w:pPr>
    <w:rPr>
      <w:rFonts w:ascii="Times New Roman" w:eastAsia="Times New Roman" w:hAnsi="Times New Roman" w:cs="Times New Roman"/>
      <w:lang w:val="en-NZ"/>
    </w:rPr>
  </w:style>
  <w:style w:type="paragraph" w:styleId="Subtitle">
    <w:name w:val="Subtitle"/>
    <w:basedOn w:val="Normal"/>
    <w:next w:val="Normal"/>
    <w:rsid w:val="00EB75D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showcase/equifaxnz/" TargetMode="External"/><Relationship Id="rId4" Type="http://schemas.openxmlformats.org/officeDocument/2006/relationships/settings" Target="settings.xml"/><Relationship Id="rId9" Type="http://schemas.openxmlformats.org/officeDocument/2006/relationships/hyperlink" Target="http://www.equifax.co.n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xERNBPNduROEM0P+LJr5sfp9Q==">CgMxLjA4AHIhMTN0b0FJbVlKMnpEZHFZa1JOZm1iVkRiMTQ5WTIzc2ZT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2024-02-25T20:19:00Z</dcterms:created>
  <dcterms:modified xsi:type="dcterms:W3CDTF">2024-02-25T20:19:00Z</dcterms:modified>
</cp:coreProperties>
</file>