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3AFB" w14:textId="77777777" w:rsidR="00E465D0" w:rsidRPr="003F502C" w:rsidRDefault="00E465D0" w:rsidP="005E61F0">
      <w:pPr>
        <w:rPr>
          <w:rFonts w:asciiTheme="minorHAnsi" w:hAnsiTheme="minorHAnsi" w:cstheme="minorHAnsi"/>
        </w:rPr>
      </w:pPr>
    </w:p>
    <w:p w14:paraId="635FB709" w14:textId="77777777" w:rsidR="00FA61D1" w:rsidRPr="003F502C" w:rsidRDefault="00FA61D1" w:rsidP="005E61F0">
      <w:pPr>
        <w:rPr>
          <w:rFonts w:asciiTheme="minorHAnsi" w:hAnsiTheme="minorHAnsi" w:cstheme="minorHAnsi"/>
        </w:rPr>
      </w:pPr>
    </w:p>
    <w:p w14:paraId="7D19DF4E" w14:textId="77777777" w:rsidR="00795D82" w:rsidRDefault="00795D82" w:rsidP="00EE329F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</w:p>
    <w:p w14:paraId="574A7044" w14:textId="614C3E1B" w:rsidR="00EE329F" w:rsidRPr="003F502C" w:rsidRDefault="00B709C1" w:rsidP="00EE329F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3 </w:t>
      </w:r>
      <w:r w:rsidR="008F2EDC">
        <w:rPr>
          <w:rFonts w:asciiTheme="minorHAnsi" w:eastAsia="Times New Roman" w:hAnsiTheme="minorHAnsi" w:cstheme="minorHAnsi"/>
          <w:sz w:val="22"/>
          <w:szCs w:val="22"/>
          <w:lang w:eastAsia="en-NZ"/>
        </w:rPr>
        <w:t>May</w:t>
      </w:r>
      <w:r w:rsidR="00576C4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E329F" w:rsidRPr="003F502C">
        <w:rPr>
          <w:rFonts w:asciiTheme="minorHAnsi" w:eastAsia="Times New Roman" w:hAnsiTheme="minorHAnsi" w:cstheme="minorHAnsi"/>
          <w:sz w:val="22"/>
          <w:szCs w:val="22"/>
          <w:lang w:eastAsia="en-NZ"/>
        </w:rPr>
        <w:t>202</w:t>
      </w:r>
      <w:r w:rsidR="00BE40F5">
        <w:rPr>
          <w:rFonts w:asciiTheme="minorHAnsi" w:eastAsia="Times New Roman" w:hAnsiTheme="minorHAnsi" w:cstheme="minorHAnsi"/>
          <w:sz w:val="22"/>
          <w:szCs w:val="22"/>
          <w:lang w:eastAsia="en-NZ"/>
        </w:rPr>
        <w:t>4</w:t>
      </w:r>
    </w:p>
    <w:p w14:paraId="5DC1B8AB" w14:textId="77777777" w:rsidR="00EE329F" w:rsidRPr="004F646D" w:rsidRDefault="00EE329F" w:rsidP="00EE329F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</w:p>
    <w:p w14:paraId="76CFA33E" w14:textId="77777777" w:rsidR="00EE329F" w:rsidRPr="004F646D" w:rsidRDefault="00EE329F" w:rsidP="00EE329F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</w:p>
    <w:p w14:paraId="16B67EF5" w14:textId="316388CF" w:rsidR="00EE329F" w:rsidRPr="003D4CDD" w:rsidRDefault="00BF48F6" w:rsidP="00EE329F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April</w:t>
      </w:r>
      <w:r w:rsidR="008D4C5A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 New Vehicle Registrations </w:t>
      </w:r>
      <w:r w:rsidR="00683FB7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slow</w:t>
      </w:r>
      <w:r w:rsidR="004908A0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 in line with </w:t>
      </w:r>
      <w:r w:rsidR="00683FB7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start of</w:t>
      </w:r>
      <w:r w:rsidR="004908A0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 financial year</w:t>
      </w:r>
      <w:r w:rsidR="008D4C5A" w:rsidRPr="00683FB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.</w:t>
      </w:r>
    </w:p>
    <w:p w14:paraId="7231332D" w14:textId="77777777" w:rsidR="00EE329F" w:rsidRPr="00DA1D97" w:rsidRDefault="00EE329F" w:rsidP="00EE329F">
      <w:pPr>
        <w:rPr>
          <w:rFonts w:asciiTheme="minorHAnsi" w:eastAsia="Times New Roman" w:hAnsiTheme="minorHAnsi" w:cstheme="minorHAnsi"/>
          <w:sz w:val="22"/>
          <w:szCs w:val="22"/>
          <w:highlight w:val="yellow"/>
          <w:lang w:eastAsia="en-NZ"/>
        </w:rPr>
      </w:pPr>
    </w:p>
    <w:p w14:paraId="121A32B4" w14:textId="3098E33F" w:rsidR="007A285B" w:rsidRDefault="009A1FE1" w:rsidP="008974D4">
      <w:pPr>
        <w:rPr>
          <w:rFonts w:ascii="Calibri" w:eastAsia="Times New Roman" w:hAnsi="Calibri" w:cs="Calibri"/>
          <w:sz w:val="22"/>
          <w:szCs w:val="22"/>
          <w:lang w:eastAsia="en-NZ"/>
        </w:rPr>
      </w:pPr>
      <w:r w:rsidRPr="009A1FE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New motor vehicle sales declined further in April, but in line with the usual trend of a softer month for what is the start of the financial year for many, according to the </w:t>
      </w:r>
      <w:r w:rsidR="006E3B16" w:rsidRPr="009A1FE1">
        <w:rPr>
          <w:rFonts w:asciiTheme="minorHAnsi" w:eastAsia="Times New Roman" w:hAnsiTheme="minorHAnsi" w:cstheme="minorHAnsi"/>
          <w:sz w:val="22"/>
          <w:szCs w:val="22"/>
          <w:lang w:eastAsia="en-NZ"/>
        </w:rPr>
        <w:t>M</w:t>
      </w:r>
      <w:r w:rsidR="008D4C5A" w:rsidRPr="009A1FE1">
        <w:rPr>
          <w:rFonts w:asciiTheme="minorHAnsi" w:eastAsia="Times New Roman" w:hAnsiTheme="minorHAnsi" w:cstheme="minorHAnsi"/>
          <w:sz w:val="22"/>
          <w:szCs w:val="22"/>
          <w:lang w:eastAsia="en-NZ"/>
        </w:rPr>
        <w:t>otor Industry Association</w:t>
      </w:r>
      <w:r w:rsidR="006E3B16" w:rsidRPr="009A1FE1">
        <w:rPr>
          <w:rFonts w:asciiTheme="minorHAnsi" w:eastAsia="Times New Roman" w:hAnsiTheme="minorHAnsi" w:cstheme="minorHAnsi"/>
          <w:sz w:val="22"/>
          <w:szCs w:val="22"/>
          <w:lang w:eastAsia="en-NZ"/>
        </w:rPr>
        <w:t>’s Mark Stockdale</w:t>
      </w:r>
      <w:r w:rsidR="007A285B" w:rsidRPr="009A1FE1">
        <w:rPr>
          <w:rFonts w:ascii="Calibri" w:eastAsia="Times New Roman" w:hAnsi="Calibri" w:cs="Calibri"/>
          <w:sz w:val="22"/>
          <w:szCs w:val="22"/>
          <w:lang w:eastAsia="en-NZ"/>
        </w:rPr>
        <w:t>.</w:t>
      </w:r>
      <w:r w:rsidR="007A285B">
        <w:rPr>
          <w:rFonts w:ascii="Calibri" w:eastAsia="Times New Roman" w:hAnsi="Calibri" w:cs="Calibri"/>
          <w:sz w:val="22"/>
          <w:szCs w:val="22"/>
          <w:lang w:eastAsia="en-NZ"/>
        </w:rPr>
        <w:t xml:space="preserve">  </w:t>
      </w:r>
    </w:p>
    <w:p w14:paraId="39ABBC86" w14:textId="77777777" w:rsidR="007A285B" w:rsidRDefault="007A285B" w:rsidP="008974D4">
      <w:pPr>
        <w:rPr>
          <w:rFonts w:ascii="Calibri" w:eastAsia="Times New Roman" w:hAnsi="Calibri" w:cs="Calibri"/>
          <w:sz w:val="22"/>
          <w:szCs w:val="22"/>
          <w:lang w:eastAsia="en-NZ"/>
        </w:rPr>
      </w:pPr>
    </w:p>
    <w:p w14:paraId="11F8D650" w14:textId="67E12966" w:rsidR="008974D4" w:rsidRPr="002C3E7F" w:rsidRDefault="0042632D" w:rsidP="008974D4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>
        <w:rPr>
          <w:rFonts w:ascii="Calibri" w:eastAsia="Times New Roman" w:hAnsi="Calibri" w:cs="Calibri"/>
          <w:sz w:val="22"/>
          <w:szCs w:val="22"/>
          <w:lang w:eastAsia="en-NZ"/>
        </w:rPr>
        <w:t xml:space="preserve">At </w:t>
      </w:r>
      <w:r w:rsidR="002C3E7F">
        <w:rPr>
          <w:rFonts w:ascii="Calibri" w:eastAsia="Times New Roman" w:hAnsi="Calibri" w:cs="Calibri"/>
          <w:sz w:val="22"/>
          <w:szCs w:val="22"/>
          <w:lang w:eastAsia="en-NZ"/>
        </w:rPr>
        <w:t>9,238</w:t>
      </w:r>
      <w:r w:rsidR="008D4C5A" w:rsidRPr="002C3E7F">
        <w:rPr>
          <w:rFonts w:ascii="Calibri" w:eastAsia="Times New Roman" w:hAnsi="Calibri" w:cs="Calibri"/>
          <w:sz w:val="22"/>
          <w:szCs w:val="22"/>
          <w:lang w:eastAsia="en-NZ"/>
        </w:rPr>
        <w:t xml:space="preserve"> registrations</w:t>
      </w:r>
      <w:r>
        <w:rPr>
          <w:rFonts w:ascii="Calibri" w:eastAsia="Times New Roman" w:hAnsi="Calibri" w:cs="Calibri"/>
          <w:sz w:val="22"/>
          <w:szCs w:val="22"/>
          <w:lang w:eastAsia="en-NZ"/>
        </w:rPr>
        <w:t xml:space="preserve">,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April </w:t>
      </w:r>
      <w:r w:rsidR="007A285B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2024</w:t>
      </w:r>
      <w:r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is</w:t>
      </w:r>
      <w:r w:rsidR="003C3B45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9.23</w:t>
      </w:r>
      <w:r w:rsidR="008D4C5A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lower </w:t>
      </w:r>
      <w:r w:rsidR="003C3B45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than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3C3B45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2023 (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939</w:t>
      </w:r>
      <w:r w:rsidR="003C3B45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and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5.1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lower than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2022 (9,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734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="003C3B45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 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On a year-to-date basis, 2024 is 10.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4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% lower than 2023 (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5,030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23.9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% lower than 2022 (13,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552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and </w:t>
      </w:r>
      <w:r w:rsidR="007A285B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2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7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.4% lower than 2021 (</w:t>
      </w:r>
      <w:r w:rsid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>11,846</w:t>
      </w:r>
      <w:r w:rsidR="008974D4" w:rsidRPr="002C3E7F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units).</w:t>
      </w:r>
    </w:p>
    <w:p w14:paraId="4DEE40BA" w14:textId="77777777" w:rsidR="00A23711" w:rsidRPr="006E3B16" w:rsidRDefault="00A23711" w:rsidP="00B0325B">
      <w:pPr>
        <w:rPr>
          <w:rFonts w:asciiTheme="minorHAnsi" w:eastAsia="Times New Roman" w:hAnsiTheme="minorHAnsi" w:cstheme="minorHAnsi"/>
          <w:sz w:val="22"/>
          <w:szCs w:val="22"/>
          <w:highlight w:val="green"/>
          <w:lang w:eastAsia="en-NZ"/>
        </w:rPr>
      </w:pPr>
    </w:p>
    <w:p w14:paraId="1A7D23C6" w14:textId="171E3FBA" w:rsidR="00EE329F" w:rsidRPr="0055026A" w:rsidRDefault="00AD7FDD" w:rsidP="00EE329F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55026A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New Vehicle Industry </w:t>
      </w:r>
      <w:r w:rsidR="00A00C6B" w:rsidRPr="0055026A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K</w:t>
      </w:r>
      <w:r w:rsidR="00EE329F" w:rsidRPr="0055026A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ey </w:t>
      </w:r>
      <w:r w:rsidR="00ED60ED" w:rsidRPr="0055026A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points</w:t>
      </w:r>
    </w:p>
    <w:p w14:paraId="4DD21DF9" w14:textId="77777777" w:rsidR="00EE329F" w:rsidRPr="006E3B16" w:rsidRDefault="00EE329F" w:rsidP="00EE329F">
      <w:pPr>
        <w:rPr>
          <w:rFonts w:asciiTheme="minorHAnsi" w:eastAsia="Times New Roman" w:hAnsiTheme="minorHAnsi" w:cstheme="minorHAnsi"/>
          <w:b/>
          <w:bCs/>
          <w:sz w:val="12"/>
          <w:szCs w:val="12"/>
          <w:highlight w:val="green"/>
          <w:lang w:eastAsia="en-NZ"/>
        </w:rPr>
      </w:pPr>
    </w:p>
    <w:p w14:paraId="09A745B9" w14:textId="69DE233C" w:rsidR="00C936AF" w:rsidRPr="0055026A" w:rsidRDefault="00C936AF" w:rsidP="00C936AF">
      <w:pPr>
        <w:pStyle w:val="ListParagraph"/>
        <w:numPr>
          <w:ilvl w:val="0"/>
          <w:numId w:val="2"/>
        </w:numPr>
        <w:spacing w:before="0" w:after="0"/>
        <w:ind w:left="567" w:hanging="567"/>
        <w:jc w:val="left"/>
        <w:rPr>
          <w:rFonts w:asciiTheme="minorHAnsi" w:eastAsia="Times New Roman" w:hAnsiTheme="minorHAnsi" w:cstheme="minorHAnsi"/>
          <w:lang w:eastAsia="en-NZ"/>
        </w:rPr>
      </w:pPr>
      <w:r w:rsidRPr="0055026A">
        <w:rPr>
          <w:rFonts w:asciiTheme="minorHAnsi" w:eastAsia="Times New Roman" w:hAnsiTheme="minorHAnsi" w:cstheme="minorHAnsi"/>
          <w:lang w:eastAsia="en-NZ"/>
        </w:rPr>
        <w:t xml:space="preserve">Top </w:t>
      </w:r>
      <w:r w:rsidR="00EA4390" w:rsidRPr="0055026A">
        <w:rPr>
          <w:rFonts w:asciiTheme="minorHAnsi" w:eastAsia="Times New Roman" w:hAnsiTheme="minorHAnsi" w:cstheme="minorHAnsi"/>
          <w:lang w:eastAsia="en-NZ"/>
        </w:rPr>
        <w:t>three</w:t>
      </w:r>
      <w:r w:rsidRPr="0055026A">
        <w:rPr>
          <w:rFonts w:asciiTheme="minorHAnsi" w:eastAsia="Times New Roman" w:hAnsiTheme="minorHAnsi" w:cstheme="minorHAnsi"/>
          <w:lang w:eastAsia="en-NZ"/>
        </w:rPr>
        <w:t xml:space="preserve"> 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 xml:space="preserve">overall </w:t>
      </w:r>
      <w:r w:rsidRPr="0055026A">
        <w:rPr>
          <w:rFonts w:asciiTheme="minorHAnsi" w:eastAsia="Times New Roman" w:hAnsiTheme="minorHAnsi" w:cstheme="minorHAnsi"/>
          <w:lang w:eastAsia="en-NZ"/>
        </w:rPr>
        <w:t xml:space="preserve">market leaders in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April</w:t>
      </w:r>
      <w:r w:rsidRPr="0055026A">
        <w:rPr>
          <w:rFonts w:asciiTheme="minorHAnsi" w:eastAsia="Times New Roman" w:hAnsiTheme="minorHAnsi" w:cstheme="minorHAnsi"/>
          <w:lang w:eastAsia="en-NZ"/>
        </w:rPr>
        <w:t xml:space="preserve"> 202</w:t>
      </w:r>
      <w:r w:rsidR="007C1FDE" w:rsidRPr="0055026A">
        <w:rPr>
          <w:rFonts w:asciiTheme="minorHAnsi" w:eastAsia="Times New Roman" w:hAnsiTheme="minorHAnsi" w:cstheme="minorHAnsi"/>
          <w:lang w:eastAsia="en-NZ"/>
        </w:rPr>
        <w:t>4</w:t>
      </w:r>
      <w:r w:rsidRPr="0055026A">
        <w:rPr>
          <w:rFonts w:asciiTheme="minorHAnsi" w:eastAsia="Times New Roman" w:hAnsiTheme="minorHAnsi" w:cstheme="minorHAnsi"/>
          <w:lang w:eastAsia="en-NZ"/>
        </w:rPr>
        <w:t xml:space="preserve"> are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>:</w:t>
      </w:r>
      <w:r w:rsidRPr="0055026A">
        <w:rPr>
          <w:rFonts w:asciiTheme="minorHAnsi" w:eastAsia="Times New Roman" w:hAnsiTheme="minorHAnsi" w:cstheme="minorHAnsi"/>
          <w:lang w:eastAsia="en-NZ"/>
        </w:rPr>
        <w:t xml:space="preserve"> 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 xml:space="preserve">Toyota with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25</w:t>
      </w:r>
      <w:r w:rsidR="00B52CC6">
        <w:rPr>
          <w:rFonts w:asciiTheme="minorHAnsi" w:eastAsia="Times New Roman" w:hAnsiTheme="minorHAnsi" w:cstheme="minorHAnsi"/>
          <w:lang w:eastAsia="en-NZ"/>
        </w:rPr>
        <w:t>.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8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>% market share (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2,382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 xml:space="preserve"> units), followed by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 xml:space="preserve">Ford </w:t>
      </w:r>
      <w:r w:rsidR="007A285B" w:rsidRPr="0055026A">
        <w:rPr>
          <w:rFonts w:asciiTheme="minorHAnsi" w:eastAsia="Times New Roman" w:hAnsiTheme="minorHAnsi" w:cstheme="minorHAnsi"/>
          <w:lang w:eastAsia="en-NZ"/>
        </w:rPr>
        <w:t xml:space="preserve">with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13.7</w:t>
      </w:r>
      <w:r w:rsidR="007A285B" w:rsidRPr="0055026A">
        <w:rPr>
          <w:rFonts w:asciiTheme="minorHAnsi" w:eastAsia="Times New Roman" w:hAnsiTheme="minorHAnsi" w:cstheme="minorHAnsi"/>
          <w:lang w:eastAsia="en-NZ"/>
        </w:rPr>
        <w:t>% (1,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266</w:t>
      </w:r>
      <w:r w:rsidR="007A285B" w:rsidRPr="0055026A">
        <w:rPr>
          <w:rFonts w:asciiTheme="minorHAnsi" w:eastAsia="Times New Roman" w:hAnsiTheme="minorHAnsi" w:cstheme="minorHAnsi"/>
          <w:lang w:eastAsia="en-NZ"/>
        </w:rPr>
        <w:t xml:space="preserve"> units) and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Mitsubishi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 xml:space="preserve"> with 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10.3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>% (</w:t>
      </w:r>
      <w:r w:rsidR="0055026A" w:rsidRPr="0055026A">
        <w:rPr>
          <w:rFonts w:asciiTheme="minorHAnsi" w:eastAsia="Times New Roman" w:hAnsiTheme="minorHAnsi" w:cstheme="minorHAnsi"/>
          <w:lang w:eastAsia="en-NZ"/>
        </w:rPr>
        <w:t>948</w:t>
      </w:r>
      <w:r w:rsidR="00320108" w:rsidRPr="0055026A">
        <w:rPr>
          <w:rFonts w:asciiTheme="minorHAnsi" w:eastAsia="Times New Roman" w:hAnsiTheme="minorHAnsi" w:cstheme="minorHAnsi"/>
          <w:lang w:eastAsia="en-NZ"/>
        </w:rPr>
        <w:t xml:space="preserve"> units).</w:t>
      </w:r>
      <w:r w:rsidR="00C3643C" w:rsidRPr="0055026A">
        <w:rPr>
          <w:rFonts w:asciiTheme="minorHAnsi" w:eastAsia="Times New Roman" w:hAnsiTheme="minorHAnsi" w:cstheme="minorHAnsi"/>
          <w:lang w:eastAsia="en-NZ"/>
        </w:rPr>
        <w:t xml:space="preserve"> </w:t>
      </w:r>
    </w:p>
    <w:p w14:paraId="430DFEB8" w14:textId="77777777" w:rsidR="002E324C" w:rsidRPr="006E3B16" w:rsidRDefault="002E324C" w:rsidP="002E324C">
      <w:pPr>
        <w:rPr>
          <w:rFonts w:asciiTheme="minorHAnsi" w:eastAsia="Times New Roman" w:hAnsiTheme="minorHAnsi" w:cstheme="minorHAnsi"/>
          <w:sz w:val="12"/>
          <w:szCs w:val="12"/>
          <w:highlight w:val="green"/>
          <w:lang w:eastAsia="en-NZ"/>
        </w:rPr>
      </w:pPr>
    </w:p>
    <w:p w14:paraId="1FCAD304" w14:textId="114188A6" w:rsidR="002E324C" w:rsidRPr="0055026A" w:rsidRDefault="0055026A" w:rsidP="002E324C">
      <w:pPr>
        <w:pStyle w:val="ListParagraph"/>
        <w:numPr>
          <w:ilvl w:val="0"/>
          <w:numId w:val="2"/>
        </w:numPr>
        <w:spacing w:before="0" w:after="0"/>
        <w:ind w:left="567" w:hanging="567"/>
        <w:jc w:val="left"/>
        <w:rPr>
          <w:rFonts w:asciiTheme="minorHAnsi" w:eastAsia="Times New Roman" w:hAnsiTheme="minorHAnsi" w:cstheme="minorHAnsi"/>
          <w:lang w:eastAsia="en-NZ"/>
        </w:rPr>
      </w:pPr>
      <w:r w:rsidRPr="0055026A">
        <w:rPr>
          <w:rFonts w:asciiTheme="minorHAnsi" w:eastAsia="Times New Roman" w:hAnsiTheme="minorHAnsi" w:cstheme="minorHAnsi"/>
          <w:lang w:eastAsia="en-NZ"/>
        </w:rPr>
        <w:t>April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 xml:space="preserve"> registrations breakdown: Light </w:t>
      </w:r>
      <w:r w:rsidR="006556F2" w:rsidRPr="0055026A">
        <w:rPr>
          <w:rFonts w:asciiTheme="minorHAnsi" w:eastAsia="Times New Roman" w:hAnsiTheme="minorHAnsi" w:cstheme="minorHAnsi"/>
          <w:lang w:eastAsia="en-NZ"/>
        </w:rPr>
        <w:t>P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>assenger</w:t>
      </w:r>
      <w:r w:rsidR="00AE0C6C" w:rsidRPr="0055026A">
        <w:rPr>
          <w:rFonts w:asciiTheme="minorHAnsi" w:eastAsia="Times New Roman" w:hAnsiTheme="minorHAnsi" w:cstheme="minorHAnsi"/>
          <w:lang w:eastAsia="en-NZ"/>
        </w:rPr>
        <w:t xml:space="preserve"> </w:t>
      </w:r>
      <w:r w:rsidRPr="0055026A">
        <w:rPr>
          <w:rFonts w:asciiTheme="minorHAnsi" w:eastAsia="Times New Roman" w:hAnsiTheme="minorHAnsi" w:cstheme="minorHAnsi"/>
          <w:lang w:eastAsia="en-NZ"/>
        </w:rPr>
        <w:t>6,120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 xml:space="preserve">, Light </w:t>
      </w:r>
      <w:r w:rsidR="006556F2" w:rsidRPr="0055026A">
        <w:rPr>
          <w:rFonts w:asciiTheme="minorHAnsi" w:eastAsia="Times New Roman" w:hAnsiTheme="minorHAnsi" w:cstheme="minorHAnsi"/>
          <w:lang w:eastAsia="en-NZ"/>
        </w:rPr>
        <w:t>C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 xml:space="preserve">ommercial </w:t>
      </w:r>
      <w:r w:rsidRPr="0055026A">
        <w:rPr>
          <w:rFonts w:asciiTheme="minorHAnsi" w:eastAsia="Times New Roman" w:hAnsiTheme="minorHAnsi" w:cstheme="minorHAnsi"/>
          <w:lang w:eastAsia="en-NZ"/>
        </w:rPr>
        <w:t>2,521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 xml:space="preserve"> and Heavy </w:t>
      </w:r>
      <w:r w:rsidR="006556F2" w:rsidRPr="0055026A">
        <w:rPr>
          <w:rFonts w:asciiTheme="minorHAnsi" w:eastAsia="Times New Roman" w:hAnsiTheme="minorHAnsi" w:cstheme="minorHAnsi"/>
          <w:lang w:eastAsia="en-NZ"/>
        </w:rPr>
        <w:t>C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>ommercial</w:t>
      </w:r>
      <w:r w:rsidR="00AE0C6C" w:rsidRPr="0055026A">
        <w:rPr>
          <w:rFonts w:asciiTheme="minorHAnsi" w:eastAsia="Times New Roman" w:hAnsiTheme="minorHAnsi" w:cstheme="minorHAnsi"/>
          <w:lang w:eastAsia="en-NZ"/>
        </w:rPr>
        <w:t xml:space="preserve"> at</w:t>
      </w:r>
      <w:r w:rsidR="002E324C" w:rsidRPr="0055026A">
        <w:rPr>
          <w:rFonts w:asciiTheme="minorHAnsi" w:eastAsia="Times New Roman" w:hAnsiTheme="minorHAnsi" w:cstheme="minorHAnsi"/>
          <w:lang w:eastAsia="en-NZ"/>
        </w:rPr>
        <w:t xml:space="preserve"> </w:t>
      </w:r>
      <w:r w:rsidRPr="0055026A">
        <w:rPr>
          <w:rFonts w:asciiTheme="minorHAnsi" w:eastAsia="Times New Roman" w:hAnsiTheme="minorHAnsi" w:cstheme="minorHAnsi"/>
          <w:lang w:eastAsia="en-NZ"/>
        </w:rPr>
        <w:t>597</w:t>
      </w:r>
      <w:r w:rsidR="00EA4390" w:rsidRPr="0055026A">
        <w:rPr>
          <w:rFonts w:asciiTheme="minorHAnsi" w:eastAsia="Times New Roman" w:hAnsiTheme="minorHAnsi" w:cstheme="minorHAnsi"/>
          <w:lang w:eastAsia="en-NZ"/>
        </w:rPr>
        <w:t xml:space="preserve">. </w:t>
      </w:r>
    </w:p>
    <w:p w14:paraId="0AC38801" w14:textId="77777777" w:rsidR="00EE329F" w:rsidRPr="006E3B16" w:rsidRDefault="00EE329F" w:rsidP="00EE329F">
      <w:pPr>
        <w:pStyle w:val="ListParagraph"/>
        <w:ind w:left="567" w:hanging="567"/>
        <w:rPr>
          <w:rFonts w:asciiTheme="minorHAnsi" w:eastAsia="Times New Roman" w:hAnsiTheme="minorHAnsi" w:cstheme="minorHAnsi"/>
          <w:sz w:val="12"/>
          <w:szCs w:val="12"/>
          <w:highlight w:val="green"/>
          <w:lang w:eastAsia="en-NZ"/>
        </w:rPr>
      </w:pPr>
    </w:p>
    <w:p w14:paraId="6166502B" w14:textId="30CA2545" w:rsidR="009C736E" w:rsidRPr="00084232" w:rsidRDefault="00A94AAC" w:rsidP="00C936AF">
      <w:pPr>
        <w:pStyle w:val="ListParagraph"/>
        <w:numPr>
          <w:ilvl w:val="0"/>
          <w:numId w:val="2"/>
        </w:numPr>
        <w:spacing w:before="0" w:after="0"/>
        <w:ind w:left="567" w:hanging="567"/>
        <w:jc w:val="left"/>
        <w:rPr>
          <w:rFonts w:asciiTheme="minorHAnsi" w:eastAsia="Times New Roman" w:hAnsiTheme="minorHAnsi" w:cstheme="minorHAnsi"/>
          <w:lang w:eastAsia="en-NZ"/>
        </w:rPr>
      </w:pPr>
      <w:r w:rsidRPr="00084232">
        <w:rPr>
          <w:rFonts w:asciiTheme="minorHAnsi" w:eastAsia="Times New Roman" w:hAnsiTheme="minorHAnsi" w:cstheme="minorHAnsi"/>
          <w:lang w:eastAsia="en-NZ"/>
        </w:rPr>
        <w:t>Total Industry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 by motive power for the month of 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April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: 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 xml:space="preserve">276 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>B</w:t>
      </w:r>
      <w:r w:rsidR="00AA0DB2" w:rsidRPr="00084232">
        <w:rPr>
          <w:rFonts w:asciiTheme="minorHAnsi" w:eastAsia="Times New Roman" w:hAnsiTheme="minorHAnsi" w:cstheme="minorHAnsi"/>
          <w:lang w:eastAsia="en-NZ"/>
        </w:rPr>
        <w:t xml:space="preserve">attery 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>E</w:t>
      </w:r>
      <w:r w:rsidR="00AA0DB2" w:rsidRPr="00084232">
        <w:rPr>
          <w:rFonts w:asciiTheme="minorHAnsi" w:eastAsia="Times New Roman" w:hAnsiTheme="minorHAnsi" w:cstheme="minorHAnsi"/>
          <w:lang w:eastAsia="en-NZ"/>
        </w:rPr>
        <w:t xml:space="preserve">lectric 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>(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3.0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>% share)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, 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 xml:space="preserve">183 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>P</w:t>
      </w:r>
      <w:r w:rsidR="00AA0DB2" w:rsidRPr="00084232">
        <w:rPr>
          <w:rFonts w:asciiTheme="minorHAnsi" w:eastAsia="Times New Roman" w:hAnsiTheme="minorHAnsi" w:cstheme="minorHAnsi"/>
          <w:lang w:eastAsia="en-NZ"/>
        </w:rPr>
        <w:t xml:space="preserve">lug-In 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>H</w:t>
      </w:r>
      <w:r w:rsidR="00AA0DB2" w:rsidRPr="00084232">
        <w:rPr>
          <w:rFonts w:asciiTheme="minorHAnsi" w:eastAsia="Times New Roman" w:hAnsiTheme="minorHAnsi" w:cstheme="minorHAnsi"/>
          <w:lang w:eastAsia="en-NZ"/>
        </w:rPr>
        <w:t>ybrid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 xml:space="preserve"> (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2.0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>% share)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, </w:t>
      </w:r>
      <w:r w:rsidR="007B3042" w:rsidRPr="00084232">
        <w:rPr>
          <w:rFonts w:asciiTheme="minorHAnsi" w:eastAsia="Times New Roman" w:hAnsiTheme="minorHAnsi" w:cstheme="minorHAnsi"/>
          <w:lang w:eastAsia="en-NZ"/>
        </w:rPr>
        <w:t>2,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380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 </w:t>
      </w:r>
      <w:r w:rsidR="00AA0DB2" w:rsidRPr="00084232">
        <w:rPr>
          <w:rFonts w:asciiTheme="minorHAnsi" w:eastAsia="Times New Roman" w:hAnsiTheme="minorHAnsi" w:cstheme="minorHAnsi"/>
          <w:lang w:eastAsia="en-NZ"/>
        </w:rPr>
        <w:t xml:space="preserve">Mild 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>Hybrid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 xml:space="preserve"> (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25.8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>% share)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 and </w:t>
      </w:r>
      <w:r w:rsidR="0042632D" w:rsidRPr="00084232">
        <w:rPr>
          <w:rFonts w:asciiTheme="minorHAnsi" w:eastAsia="Times New Roman" w:hAnsiTheme="minorHAnsi" w:cstheme="minorHAnsi"/>
          <w:lang w:eastAsia="en-NZ"/>
        </w:rPr>
        <w:t>6,399</w:t>
      </w:r>
      <w:r w:rsidR="009C736E" w:rsidRPr="00084232">
        <w:rPr>
          <w:rFonts w:asciiTheme="minorHAnsi" w:eastAsia="Times New Roman" w:hAnsiTheme="minorHAnsi" w:cstheme="minorHAnsi"/>
          <w:lang w:eastAsia="en-NZ"/>
        </w:rPr>
        <w:t xml:space="preserve"> ICE vehicles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 xml:space="preserve"> (</w:t>
      </w:r>
      <w:r w:rsidR="00084232" w:rsidRPr="00084232">
        <w:rPr>
          <w:rFonts w:asciiTheme="minorHAnsi" w:eastAsia="Times New Roman" w:hAnsiTheme="minorHAnsi" w:cstheme="minorHAnsi"/>
          <w:lang w:eastAsia="en-NZ"/>
        </w:rPr>
        <w:t>69.3</w:t>
      </w:r>
      <w:r w:rsidR="0071527E" w:rsidRPr="00084232">
        <w:rPr>
          <w:rFonts w:asciiTheme="minorHAnsi" w:eastAsia="Times New Roman" w:hAnsiTheme="minorHAnsi" w:cstheme="minorHAnsi"/>
          <w:lang w:eastAsia="en-NZ"/>
        </w:rPr>
        <w:t>% share)</w:t>
      </w:r>
      <w:r w:rsidR="00EA4390" w:rsidRPr="00084232">
        <w:rPr>
          <w:rFonts w:asciiTheme="minorHAnsi" w:eastAsia="Times New Roman" w:hAnsiTheme="minorHAnsi" w:cstheme="minorHAnsi"/>
          <w:lang w:eastAsia="en-NZ"/>
        </w:rPr>
        <w:t xml:space="preserve">. </w:t>
      </w:r>
    </w:p>
    <w:p w14:paraId="2082C27A" w14:textId="77777777" w:rsidR="004F646D" w:rsidRPr="006E3B16" w:rsidRDefault="004F646D" w:rsidP="004F646D">
      <w:pPr>
        <w:rPr>
          <w:rFonts w:asciiTheme="minorHAnsi" w:eastAsia="Times New Roman" w:hAnsiTheme="minorHAnsi" w:cstheme="minorHAnsi"/>
          <w:sz w:val="12"/>
          <w:szCs w:val="12"/>
          <w:highlight w:val="green"/>
          <w:lang w:eastAsia="en-NZ"/>
        </w:rPr>
      </w:pPr>
    </w:p>
    <w:p w14:paraId="2217C86C" w14:textId="06055929" w:rsidR="005757C8" w:rsidRPr="009526B9" w:rsidRDefault="006F4F1F" w:rsidP="005757C8">
      <w:pPr>
        <w:pStyle w:val="ListParagraph"/>
        <w:numPr>
          <w:ilvl w:val="0"/>
          <w:numId w:val="2"/>
        </w:numPr>
        <w:spacing w:before="0" w:after="0"/>
        <w:ind w:left="567" w:hanging="567"/>
        <w:jc w:val="left"/>
        <w:rPr>
          <w:rFonts w:asciiTheme="minorHAnsi" w:eastAsia="Times New Roman" w:hAnsiTheme="minorHAnsi" w:cstheme="minorHAnsi"/>
          <w:lang w:eastAsia="en-NZ"/>
        </w:rPr>
      </w:pPr>
      <w:r w:rsidRPr="009526B9">
        <w:rPr>
          <w:rFonts w:asciiTheme="minorHAnsi" w:eastAsia="Times New Roman" w:hAnsiTheme="minorHAnsi" w:cstheme="minorHAnsi"/>
          <w:lang w:eastAsia="en-NZ"/>
        </w:rPr>
        <w:t xml:space="preserve">The </w:t>
      </w:r>
      <w:r w:rsidR="00AD7FDD" w:rsidRPr="009526B9">
        <w:rPr>
          <w:rFonts w:asciiTheme="minorHAnsi" w:eastAsia="Times New Roman" w:hAnsiTheme="minorHAnsi" w:cstheme="minorHAnsi"/>
          <w:lang w:eastAsia="en-NZ"/>
        </w:rPr>
        <w:t xml:space="preserve">overall </w:t>
      </w:r>
      <w:r w:rsidRPr="009526B9">
        <w:rPr>
          <w:rFonts w:asciiTheme="minorHAnsi" w:eastAsia="Times New Roman" w:hAnsiTheme="minorHAnsi" w:cstheme="minorHAnsi"/>
          <w:lang w:eastAsia="en-NZ"/>
        </w:rPr>
        <w:t xml:space="preserve">top </w:t>
      </w:r>
      <w:r w:rsidR="00EA4390" w:rsidRPr="009526B9">
        <w:rPr>
          <w:rFonts w:asciiTheme="minorHAnsi" w:eastAsia="Times New Roman" w:hAnsiTheme="minorHAnsi" w:cstheme="minorHAnsi"/>
          <w:lang w:eastAsia="en-NZ"/>
        </w:rPr>
        <w:t>three</w:t>
      </w:r>
      <w:r w:rsidRPr="009526B9">
        <w:rPr>
          <w:rFonts w:asciiTheme="minorHAnsi" w:eastAsia="Times New Roman" w:hAnsiTheme="minorHAnsi" w:cstheme="minorHAnsi"/>
          <w:lang w:eastAsia="en-NZ"/>
        </w:rPr>
        <w:t xml:space="preserve"> segments in </w:t>
      </w:r>
      <w:r w:rsidR="009526B9" w:rsidRPr="009526B9">
        <w:rPr>
          <w:rFonts w:asciiTheme="minorHAnsi" w:eastAsia="Times New Roman" w:hAnsiTheme="minorHAnsi" w:cstheme="minorHAnsi"/>
          <w:lang w:eastAsia="en-NZ"/>
        </w:rPr>
        <w:t>April</w:t>
      </w:r>
      <w:r w:rsidR="004F646D" w:rsidRPr="009526B9">
        <w:rPr>
          <w:rFonts w:asciiTheme="minorHAnsi" w:eastAsia="Times New Roman" w:hAnsiTheme="minorHAnsi" w:cstheme="minorHAnsi"/>
          <w:lang w:eastAsia="en-NZ"/>
        </w:rPr>
        <w:t xml:space="preserve"> </w:t>
      </w:r>
      <w:r w:rsidRPr="009526B9">
        <w:rPr>
          <w:rFonts w:asciiTheme="minorHAnsi" w:eastAsia="Times New Roman" w:hAnsiTheme="minorHAnsi" w:cstheme="minorHAnsi"/>
          <w:lang w:eastAsia="en-NZ"/>
        </w:rPr>
        <w:t>were</w:t>
      </w:r>
      <w:r w:rsidR="009526B9" w:rsidRPr="009526B9">
        <w:rPr>
          <w:rFonts w:asciiTheme="minorHAnsi" w:eastAsia="Times New Roman" w:hAnsiTheme="minorHAnsi" w:cstheme="minorHAnsi"/>
          <w:lang w:eastAsia="en-NZ"/>
        </w:rPr>
        <w:t xml:space="preserve"> SUV Medium (26.5%)</w:t>
      </w:r>
      <w:r w:rsidR="007B3042" w:rsidRPr="009526B9">
        <w:rPr>
          <w:rFonts w:asciiTheme="minorHAnsi" w:eastAsia="Times New Roman" w:hAnsiTheme="minorHAnsi" w:cstheme="minorHAnsi"/>
          <w:lang w:eastAsia="en-NZ"/>
        </w:rPr>
        <w:t xml:space="preserve">, followed by </w:t>
      </w:r>
      <w:r w:rsidR="009526B9" w:rsidRPr="009526B9">
        <w:rPr>
          <w:rFonts w:asciiTheme="minorHAnsi" w:eastAsia="Times New Roman" w:hAnsiTheme="minorHAnsi" w:cstheme="minorHAnsi"/>
          <w:lang w:eastAsia="en-NZ"/>
        </w:rPr>
        <w:t xml:space="preserve">Pick Up/Chassis Cab (22.6%) </w:t>
      </w:r>
      <w:r w:rsidR="007B3042" w:rsidRPr="009526B9">
        <w:rPr>
          <w:rFonts w:asciiTheme="minorHAnsi" w:eastAsia="Times New Roman" w:hAnsiTheme="minorHAnsi" w:cstheme="minorHAnsi"/>
          <w:lang w:eastAsia="en-NZ"/>
        </w:rPr>
        <w:t>and SUV Compact (</w:t>
      </w:r>
      <w:r w:rsidR="009526B9" w:rsidRPr="009526B9">
        <w:rPr>
          <w:rFonts w:asciiTheme="minorHAnsi" w:eastAsia="Times New Roman" w:hAnsiTheme="minorHAnsi" w:cstheme="minorHAnsi"/>
          <w:lang w:eastAsia="en-NZ"/>
        </w:rPr>
        <w:t>19.6</w:t>
      </w:r>
      <w:r w:rsidR="007B3042" w:rsidRPr="009526B9">
        <w:rPr>
          <w:rFonts w:asciiTheme="minorHAnsi" w:eastAsia="Times New Roman" w:hAnsiTheme="minorHAnsi" w:cstheme="minorHAnsi"/>
          <w:lang w:eastAsia="en-NZ"/>
        </w:rPr>
        <w:t>%)</w:t>
      </w:r>
      <w:r w:rsidRPr="009526B9">
        <w:rPr>
          <w:rFonts w:asciiTheme="minorHAnsi" w:eastAsia="Times New Roman" w:hAnsiTheme="minorHAnsi" w:cstheme="minorHAnsi"/>
          <w:lang w:eastAsia="en-NZ"/>
        </w:rPr>
        <w:t>.</w:t>
      </w:r>
    </w:p>
    <w:p w14:paraId="694A17F7" w14:textId="77777777" w:rsidR="002B5159" w:rsidRPr="006E3B16" w:rsidRDefault="002B5159" w:rsidP="002B5159">
      <w:pPr>
        <w:pStyle w:val="ListParagraph"/>
        <w:rPr>
          <w:rFonts w:asciiTheme="minorHAnsi" w:eastAsia="Times New Roman" w:hAnsiTheme="minorHAnsi" w:cstheme="minorHAnsi"/>
          <w:highlight w:val="green"/>
          <w:lang w:eastAsia="en-NZ"/>
        </w:rPr>
      </w:pPr>
    </w:p>
    <w:p w14:paraId="45AB6EA7" w14:textId="151B130C" w:rsidR="00ED60ED" w:rsidRPr="009526B9" w:rsidRDefault="00ED60ED" w:rsidP="00ED60ED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9526B9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Light Passenger Vehicle</w:t>
      </w:r>
      <w:r w:rsidR="00973E29" w:rsidRPr="009526B9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s</w:t>
      </w:r>
      <w:r w:rsidR="00C3643C" w:rsidRPr="009526B9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 (including SUVs)</w:t>
      </w:r>
    </w:p>
    <w:p w14:paraId="7B97223E" w14:textId="77777777" w:rsidR="004F646D" w:rsidRPr="006E3B16" w:rsidRDefault="004F646D" w:rsidP="00ED60ED">
      <w:pPr>
        <w:rPr>
          <w:rFonts w:asciiTheme="minorHAnsi" w:eastAsia="Times New Roman" w:hAnsiTheme="minorHAnsi" w:cstheme="minorHAnsi"/>
          <w:sz w:val="22"/>
          <w:szCs w:val="22"/>
          <w:highlight w:val="magenta"/>
          <w:lang w:eastAsia="en-NZ"/>
        </w:rPr>
      </w:pPr>
    </w:p>
    <w:p w14:paraId="3A7A827E" w14:textId="243AD260" w:rsidR="004F646D" w:rsidRPr="00BF334B" w:rsidRDefault="004F646D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Registrations</w:t>
      </w:r>
    </w:p>
    <w:p w14:paraId="34FC0C0D" w14:textId="79C78230" w:rsidR="006D3A24" w:rsidRPr="00BF334B" w:rsidRDefault="00DE1461" w:rsidP="00AD7FDD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L</w:t>
      </w:r>
      <w:r w:rsidR="00964FDD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ight p</w:t>
      </w:r>
      <w:r w:rsidR="00ED60ED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assenger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vehicles </w:t>
      </w:r>
      <w:r w:rsidR="00AE0C6C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at</w:t>
      </w:r>
      <w:r w:rsidR="00ED60ED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6,120</w:t>
      </w:r>
      <w:r w:rsidR="006D3A24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proofErr w:type="gramStart"/>
      <w:r w:rsidR="007B3042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is</w:t>
      </w:r>
      <w:proofErr w:type="gramEnd"/>
      <w:r w:rsidR="007B3042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13.3</w:t>
      </w:r>
      <w:r w:rsidR="00ED60ED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lower than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2023 </w:t>
      </w:r>
      <w:r w:rsidR="005E33C3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(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940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5E33C3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and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28.1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lower than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2022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2,394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="00AE0C6C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 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On a year-to-date basis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,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light passenger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vehicles are</w:t>
      </w:r>
      <w:r w:rsidR="0030566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down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18.9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% (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6,457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compared to the same period in 202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3 and 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23.4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% (</w:t>
      </w:r>
      <w:r w:rsid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8,504</w:t>
      </w:r>
      <w:r w:rsidR="00875D07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lower than the same period in 2022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 </w:t>
      </w:r>
    </w:p>
    <w:p w14:paraId="762DEB1D" w14:textId="77777777" w:rsidR="00795D82" w:rsidRPr="006E3B16" w:rsidRDefault="00795D82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highlight w:val="magenta"/>
          <w:lang w:eastAsia="en-NZ"/>
        </w:rPr>
      </w:pPr>
    </w:p>
    <w:p w14:paraId="2B8C43B1" w14:textId="5E7B1E14" w:rsidR="001361B9" w:rsidRPr="00BF334B" w:rsidRDefault="00964FDD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Light passenger s</w:t>
      </w:r>
      <w:r w:rsidR="00C3643C"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egment</w:t>
      </w:r>
      <w:r w:rsidR="001361B9"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 leaders</w:t>
      </w: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: Top 3</w:t>
      </w:r>
    </w:p>
    <w:p w14:paraId="793E6D3F" w14:textId="5F61D8D8" w:rsidR="00964FDD" w:rsidRPr="00BF334B" w:rsidRDefault="001361B9" w:rsidP="00AD7FDD">
      <w:pPr>
        <w:pStyle w:val="ListParagraph"/>
        <w:numPr>
          <w:ilvl w:val="0"/>
          <w:numId w:val="6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>Toyota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lang w:eastAsia="en-NZ"/>
        </w:rPr>
        <w:t>1,664</w:t>
      </w:r>
      <w:r w:rsidRPr="00BF334B">
        <w:rPr>
          <w:rFonts w:asciiTheme="minorHAnsi" w:eastAsia="Times New Roman" w:hAnsiTheme="minorHAnsi" w:cstheme="minorHAnsi"/>
          <w:lang w:eastAsia="en-NZ"/>
        </w:rPr>
        <w:t xml:space="preserve"> units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 xml:space="preserve"> and </w:t>
      </w:r>
      <w:r w:rsidR="00BF334B">
        <w:rPr>
          <w:rFonts w:asciiTheme="minorHAnsi" w:eastAsia="Times New Roman" w:hAnsiTheme="minorHAnsi" w:cstheme="minorHAnsi"/>
          <w:lang w:eastAsia="en-NZ"/>
        </w:rPr>
        <w:t>27.2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 xml:space="preserve">% 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segment 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>share</w:t>
      </w:r>
    </w:p>
    <w:p w14:paraId="5F242C96" w14:textId="0E756F30" w:rsidR="00964FDD" w:rsidRPr="00BF334B" w:rsidRDefault="00A8225A" w:rsidP="00AD7FDD">
      <w:pPr>
        <w:pStyle w:val="ListParagraph"/>
        <w:numPr>
          <w:ilvl w:val="0"/>
          <w:numId w:val="6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>Kia</w:t>
      </w:r>
      <w:r w:rsidR="00E6772E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lang w:eastAsia="en-NZ"/>
        </w:rPr>
        <w:t xml:space="preserve">595 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 xml:space="preserve">units and </w:t>
      </w:r>
      <w:r w:rsidR="00BF334B">
        <w:rPr>
          <w:rFonts w:asciiTheme="minorHAnsi" w:eastAsia="Times New Roman" w:hAnsiTheme="minorHAnsi" w:cstheme="minorHAnsi"/>
          <w:lang w:eastAsia="en-NZ"/>
        </w:rPr>
        <w:t>9.7</w:t>
      </w:r>
      <w:r w:rsidR="001361B9" w:rsidRPr="00BF334B">
        <w:rPr>
          <w:rFonts w:asciiTheme="minorHAnsi" w:eastAsia="Times New Roman" w:hAnsiTheme="minorHAnsi" w:cstheme="minorHAnsi"/>
          <w:lang w:eastAsia="en-NZ"/>
        </w:rPr>
        <w:t xml:space="preserve">% 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segment 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>share</w:t>
      </w:r>
    </w:p>
    <w:p w14:paraId="2A38CC68" w14:textId="1C55885F" w:rsidR="001361B9" w:rsidRPr="00BF334B" w:rsidRDefault="00A8225A" w:rsidP="00AD7FDD">
      <w:pPr>
        <w:pStyle w:val="ListParagraph"/>
        <w:numPr>
          <w:ilvl w:val="0"/>
          <w:numId w:val="6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>Mitsubishi</w:t>
      </w:r>
      <w:r w:rsidR="00346503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lang w:eastAsia="en-NZ"/>
        </w:rPr>
        <w:t>542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>units and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lang w:eastAsia="en-NZ"/>
        </w:rPr>
        <w:t>8.9</w:t>
      </w:r>
      <w:r w:rsidR="001361B9" w:rsidRPr="00BF334B">
        <w:rPr>
          <w:rFonts w:asciiTheme="minorHAnsi" w:eastAsia="Times New Roman" w:hAnsiTheme="minorHAnsi" w:cstheme="minorHAnsi"/>
          <w:lang w:eastAsia="en-NZ"/>
        </w:rPr>
        <w:t xml:space="preserve">% 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segment </w:t>
      </w:r>
      <w:r w:rsidR="001361B9" w:rsidRPr="00BF334B">
        <w:rPr>
          <w:rFonts w:asciiTheme="minorHAnsi" w:eastAsia="Times New Roman" w:hAnsiTheme="minorHAnsi" w:cstheme="minorHAnsi"/>
          <w:lang w:eastAsia="en-NZ"/>
        </w:rPr>
        <w:t xml:space="preserve">share </w:t>
      </w:r>
    </w:p>
    <w:p w14:paraId="01C1259F" w14:textId="1A4FF6E2" w:rsidR="00895B82" w:rsidRPr="006E3B16" w:rsidRDefault="00895B82">
      <w:pPr>
        <w:rPr>
          <w:rFonts w:asciiTheme="minorHAnsi" w:eastAsia="Times New Roman" w:hAnsiTheme="minorHAnsi" w:cstheme="minorHAnsi"/>
          <w:b/>
          <w:bCs/>
          <w:sz w:val="22"/>
          <w:szCs w:val="22"/>
          <w:highlight w:val="magenta"/>
          <w:lang w:eastAsia="en-NZ"/>
        </w:rPr>
      </w:pPr>
    </w:p>
    <w:p w14:paraId="09710DC6" w14:textId="76BB127C" w:rsidR="00C3643C" w:rsidRPr="00BF334B" w:rsidRDefault="00C3643C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Top selling </w:t>
      </w:r>
      <w:r w:rsidR="00964FDD"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light passenger </w:t>
      </w: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models</w:t>
      </w:r>
      <w:r w:rsidR="00964FDD"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: Top 3</w:t>
      </w:r>
    </w:p>
    <w:p w14:paraId="4DED3DFE" w14:textId="739411F9" w:rsidR="00964FDD" w:rsidRPr="00BF334B" w:rsidRDefault="007466A9" w:rsidP="00AD7FDD">
      <w:pPr>
        <w:pStyle w:val="ListParagraph"/>
        <w:numPr>
          <w:ilvl w:val="0"/>
          <w:numId w:val="12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>Toyota RAV4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>,</w:t>
      </w:r>
      <w:r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BF334B">
        <w:rPr>
          <w:rFonts w:asciiTheme="minorHAnsi" w:eastAsia="Times New Roman" w:hAnsiTheme="minorHAnsi" w:cstheme="minorHAnsi"/>
          <w:lang w:eastAsia="en-NZ"/>
        </w:rPr>
        <w:t>1,012</w:t>
      </w:r>
      <w:r w:rsidR="00346503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0C4513" w:rsidRPr="00BF334B">
        <w:rPr>
          <w:rFonts w:asciiTheme="minorHAnsi" w:eastAsia="Times New Roman" w:hAnsiTheme="minorHAnsi" w:cstheme="minorHAnsi"/>
          <w:lang w:eastAsia="en-NZ"/>
        </w:rPr>
        <w:t>units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and </w:t>
      </w:r>
      <w:r w:rsidR="00BF334B">
        <w:rPr>
          <w:rFonts w:asciiTheme="minorHAnsi" w:eastAsia="Times New Roman" w:hAnsiTheme="minorHAnsi" w:cstheme="minorHAnsi"/>
          <w:lang w:eastAsia="en-NZ"/>
        </w:rPr>
        <w:t>16.5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>% segment share</w:t>
      </w:r>
      <w:r w:rsidR="000C4513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</w:p>
    <w:p w14:paraId="68E89A8A" w14:textId="57869C79" w:rsidR="00346503" w:rsidRPr="00BF334B" w:rsidRDefault="00BF334B" w:rsidP="00AD7FDD">
      <w:pPr>
        <w:pStyle w:val="ListParagraph"/>
        <w:numPr>
          <w:ilvl w:val="0"/>
          <w:numId w:val="12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>
        <w:rPr>
          <w:rFonts w:asciiTheme="minorHAnsi" w:eastAsia="Times New Roman" w:hAnsiTheme="minorHAnsi" w:cstheme="minorHAnsi"/>
          <w:lang w:eastAsia="en-NZ"/>
        </w:rPr>
        <w:t>Suzuki Swift</w:t>
      </w:r>
      <w:r w:rsidR="00346503" w:rsidRPr="00BF334B">
        <w:rPr>
          <w:rFonts w:asciiTheme="minorHAnsi" w:eastAsia="Times New Roman" w:hAnsiTheme="minorHAnsi" w:cstheme="minorHAnsi"/>
          <w:lang w:eastAsia="en-NZ"/>
        </w:rPr>
        <w:t xml:space="preserve">, </w:t>
      </w:r>
      <w:r>
        <w:rPr>
          <w:rFonts w:asciiTheme="minorHAnsi" w:eastAsia="Times New Roman" w:hAnsiTheme="minorHAnsi" w:cstheme="minorHAnsi"/>
          <w:lang w:eastAsia="en-NZ"/>
        </w:rPr>
        <w:t>25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7 </w:t>
      </w:r>
      <w:r w:rsidR="00346503" w:rsidRPr="00BF334B">
        <w:rPr>
          <w:rFonts w:asciiTheme="minorHAnsi" w:eastAsia="Times New Roman" w:hAnsiTheme="minorHAnsi" w:cstheme="minorHAnsi"/>
          <w:lang w:eastAsia="en-NZ"/>
        </w:rPr>
        <w:t>units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and </w:t>
      </w:r>
      <w:r w:rsidR="00A8225A" w:rsidRPr="00BF334B">
        <w:rPr>
          <w:rFonts w:asciiTheme="minorHAnsi" w:eastAsia="Times New Roman" w:hAnsiTheme="minorHAnsi" w:cstheme="minorHAnsi"/>
          <w:lang w:eastAsia="en-NZ"/>
        </w:rPr>
        <w:t>4.</w:t>
      </w:r>
      <w:r>
        <w:rPr>
          <w:rFonts w:asciiTheme="minorHAnsi" w:eastAsia="Times New Roman" w:hAnsiTheme="minorHAnsi" w:cstheme="minorHAnsi"/>
          <w:lang w:eastAsia="en-NZ"/>
        </w:rPr>
        <w:t>2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>% segment share</w:t>
      </w:r>
    </w:p>
    <w:p w14:paraId="00F381FD" w14:textId="76522134" w:rsidR="000C4513" w:rsidRPr="00BF334B" w:rsidRDefault="00BF334B" w:rsidP="00AD7FDD">
      <w:pPr>
        <w:pStyle w:val="ListParagraph"/>
        <w:numPr>
          <w:ilvl w:val="0"/>
          <w:numId w:val="12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>
        <w:rPr>
          <w:rFonts w:asciiTheme="minorHAnsi" w:eastAsia="Times New Roman" w:hAnsiTheme="minorHAnsi" w:cstheme="minorHAnsi"/>
          <w:lang w:eastAsia="en-NZ"/>
        </w:rPr>
        <w:t>Mitsubishi Outlander</w:t>
      </w:r>
      <w:r w:rsidR="00964FDD" w:rsidRPr="00BF334B">
        <w:rPr>
          <w:rFonts w:asciiTheme="minorHAnsi" w:eastAsia="Times New Roman" w:hAnsiTheme="minorHAnsi" w:cstheme="minorHAnsi"/>
          <w:lang w:eastAsia="en-NZ"/>
        </w:rPr>
        <w:t>,</w:t>
      </w:r>
      <w:r w:rsidR="007466A9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>
        <w:rPr>
          <w:rFonts w:asciiTheme="minorHAnsi" w:eastAsia="Times New Roman" w:hAnsiTheme="minorHAnsi" w:cstheme="minorHAnsi"/>
          <w:lang w:eastAsia="en-NZ"/>
        </w:rPr>
        <w:t>24</w:t>
      </w:r>
      <w:r w:rsidR="00A8225A" w:rsidRPr="00BF334B">
        <w:rPr>
          <w:rFonts w:asciiTheme="minorHAnsi" w:eastAsia="Times New Roman" w:hAnsiTheme="minorHAnsi" w:cstheme="minorHAnsi"/>
          <w:lang w:eastAsia="en-NZ"/>
        </w:rPr>
        <w:t>5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7466A9" w:rsidRPr="00BF334B">
        <w:rPr>
          <w:rFonts w:asciiTheme="minorHAnsi" w:eastAsia="Times New Roman" w:hAnsiTheme="minorHAnsi" w:cstheme="minorHAnsi"/>
          <w:lang w:eastAsia="en-NZ"/>
        </w:rPr>
        <w:t>units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 xml:space="preserve"> and </w:t>
      </w:r>
      <w:r w:rsidR="00A8225A" w:rsidRPr="00BF334B">
        <w:rPr>
          <w:rFonts w:asciiTheme="minorHAnsi" w:eastAsia="Times New Roman" w:hAnsiTheme="minorHAnsi" w:cstheme="minorHAnsi"/>
          <w:lang w:eastAsia="en-NZ"/>
        </w:rPr>
        <w:t>4</w:t>
      </w:r>
      <w:r>
        <w:rPr>
          <w:rFonts w:asciiTheme="minorHAnsi" w:eastAsia="Times New Roman" w:hAnsiTheme="minorHAnsi" w:cstheme="minorHAnsi"/>
          <w:lang w:eastAsia="en-NZ"/>
        </w:rPr>
        <w:t>.0</w:t>
      </w:r>
      <w:r w:rsidR="002D25E9" w:rsidRPr="00BF334B">
        <w:rPr>
          <w:rFonts w:asciiTheme="minorHAnsi" w:eastAsia="Times New Roman" w:hAnsiTheme="minorHAnsi" w:cstheme="minorHAnsi"/>
          <w:lang w:eastAsia="en-NZ"/>
        </w:rPr>
        <w:t>% segment share</w:t>
      </w:r>
    </w:p>
    <w:p w14:paraId="22A463C1" w14:textId="77777777" w:rsidR="000D516C" w:rsidRPr="006E3B16" w:rsidRDefault="000D516C" w:rsidP="00AD7FDD">
      <w:pPr>
        <w:rPr>
          <w:rFonts w:asciiTheme="minorHAnsi" w:eastAsia="Times New Roman" w:hAnsiTheme="minorHAnsi" w:cstheme="minorHAnsi"/>
          <w:highlight w:val="magenta"/>
          <w:lang w:eastAsia="en-NZ"/>
        </w:rPr>
      </w:pPr>
    </w:p>
    <w:p w14:paraId="1609B6F4" w14:textId="3A739BDC" w:rsidR="000D516C" w:rsidRPr="00BF334B" w:rsidRDefault="000D516C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Segmentation – what consumers are buying</w:t>
      </w:r>
      <w:r w:rsidR="00AD7FDD" w:rsidRPr="00BF334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: Top 3</w:t>
      </w:r>
    </w:p>
    <w:p w14:paraId="2C6177B3" w14:textId="31049041" w:rsidR="00AD7FDD" w:rsidRPr="00BF334B" w:rsidRDefault="000D516C" w:rsidP="00AD7FDD">
      <w:pPr>
        <w:pStyle w:val="ListParagraph"/>
        <w:numPr>
          <w:ilvl w:val="0"/>
          <w:numId w:val="11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 xml:space="preserve">SUV medium </w:t>
      </w:r>
      <w:r w:rsidR="00BF334B">
        <w:rPr>
          <w:rFonts w:asciiTheme="minorHAnsi" w:eastAsia="Times New Roman" w:hAnsiTheme="minorHAnsi" w:cstheme="minorHAnsi"/>
          <w:lang w:eastAsia="en-NZ"/>
        </w:rPr>
        <w:t>2,449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 units </w:t>
      </w:r>
      <w:r w:rsidRPr="00BF334B">
        <w:rPr>
          <w:rFonts w:asciiTheme="minorHAnsi" w:eastAsia="Times New Roman" w:hAnsiTheme="minorHAnsi" w:cstheme="minorHAnsi"/>
          <w:lang w:eastAsia="en-NZ"/>
        </w:rPr>
        <w:t>(</w:t>
      </w:r>
      <w:r w:rsidR="00BF334B">
        <w:rPr>
          <w:rFonts w:asciiTheme="minorHAnsi" w:eastAsia="Times New Roman" w:hAnsiTheme="minorHAnsi" w:cstheme="minorHAnsi"/>
          <w:lang w:eastAsia="en-NZ"/>
        </w:rPr>
        <w:t>40</w:t>
      </w:r>
      <w:r w:rsidR="00A8225A" w:rsidRPr="00BF334B">
        <w:rPr>
          <w:rFonts w:asciiTheme="minorHAnsi" w:eastAsia="Times New Roman" w:hAnsiTheme="minorHAnsi" w:cstheme="minorHAnsi"/>
          <w:lang w:eastAsia="en-NZ"/>
        </w:rPr>
        <w:t>.0</w:t>
      </w:r>
      <w:r w:rsidRPr="00BF334B">
        <w:rPr>
          <w:rFonts w:asciiTheme="minorHAnsi" w:eastAsia="Times New Roman" w:hAnsiTheme="minorHAnsi" w:cstheme="minorHAnsi"/>
          <w:lang w:eastAsia="en-NZ"/>
        </w:rPr>
        <w:t>% share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 of Light Passenger</w:t>
      </w:r>
      <w:r w:rsidRPr="00BF334B">
        <w:rPr>
          <w:rFonts w:asciiTheme="minorHAnsi" w:eastAsia="Times New Roman" w:hAnsiTheme="minorHAnsi" w:cstheme="minorHAnsi"/>
          <w:lang w:eastAsia="en-NZ"/>
        </w:rPr>
        <w:t xml:space="preserve">) </w:t>
      </w:r>
    </w:p>
    <w:p w14:paraId="3F060C2D" w14:textId="554A076D" w:rsidR="00BF72D8" w:rsidRPr="00BF334B" w:rsidRDefault="000D516C" w:rsidP="00BF72D8">
      <w:pPr>
        <w:pStyle w:val="ListParagraph"/>
        <w:numPr>
          <w:ilvl w:val="0"/>
          <w:numId w:val="11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t xml:space="preserve">SUV compact </w:t>
      </w:r>
      <w:r w:rsidR="00BF334B">
        <w:rPr>
          <w:rFonts w:asciiTheme="minorHAnsi" w:eastAsia="Times New Roman" w:hAnsiTheme="minorHAnsi" w:cstheme="minorHAnsi"/>
          <w:lang w:eastAsia="en-NZ"/>
        </w:rPr>
        <w:t>1,815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 units </w:t>
      </w:r>
      <w:r w:rsidRPr="00BF334B">
        <w:rPr>
          <w:rFonts w:asciiTheme="minorHAnsi" w:eastAsia="Times New Roman" w:hAnsiTheme="minorHAnsi" w:cstheme="minorHAnsi"/>
          <w:lang w:eastAsia="en-NZ"/>
        </w:rPr>
        <w:t>(</w:t>
      </w:r>
      <w:r w:rsidR="00BF334B">
        <w:rPr>
          <w:rFonts w:asciiTheme="minorHAnsi" w:eastAsia="Times New Roman" w:hAnsiTheme="minorHAnsi" w:cstheme="minorHAnsi"/>
          <w:lang w:eastAsia="en-NZ"/>
        </w:rPr>
        <w:t>29.7</w:t>
      </w:r>
      <w:r w:rsidR="00226A15" w:rsidRPr="00BF334B">
        <w:rPr>
          <w:rFonts w:asciiTheme="minorHAnsi" w:eastAsia="Times New Roman" w:hAnsiTheme="minorHAnsi" w:cstheme="minorHAnsi"/>
          <w:lang w:eastAsia="en-NZ"/>
        </w:rPr>
        <w:t>% share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 of Light Passenger</w:t>
      </w:r>
      <w:r w:rsidRPr="00BF334B">
        <w:rPr>
          <w:rFonts w:asciiTheme="minorHAnsi" w:eastAsia="Times New Roman" w:hAnsiTheme="minorHAnsi" w:cstheme="minorHAnsi"/>
          <w:lang w:eastAsia="en-NZ"/>
        </w:rPr>
        <w:t xml:space="preserve">) </w:t>
      </w:r>
    </w:p>
    <w:p w14:paraId="728E71A5" w14:textId="56BDB4E7" w:rsidR="00B16013" w:rsidRPr="00BF334B" w:rsidRDefault="00470DA1" w:rsidP="00BF72D8">
      <w:pPr>
        <w:pStyle w:val="ListParagraph"/>
        <w:numPr>
          <w:ilvl w:val="0"/>
          <w:numId w:val="11"/>
        </w:numPr>
        <w:spacing w:before="0" w:after="0"/>
        <w:rPr>
          <w:rFonts w:asciiTheme="minorHAnsi" w:eastAsia="Times New Roman" w:hAnsiTheme="minorHAnsi" w:cstheme="minorHAnsi"/>
          <w:lang w:eastAsia="en-NZ"/>
        </w:rPr>
      </w:pPr>
      <w:r w:rsidRPr="00BF334B">
        <w:rPr>
          <w:rFonts w:asciiTheme="minorHAnsi" w:eastAsia="Times New Roman" w:hAnsiTheme="minorHAnsi" w:cstheme="minorHAnsi"/>
          <w:lang w:eastAsia="en-NZ"/>
        </w:rPr>
        <w:lastRenderedPageBreak/>
        <w:t xml:space="preserve">SUV Large </w:t>
      </w:r>
      <w:r w:rsidR="00BF334B">
        <w:rPr>
          <w:rFonts w:asciiTheme="minorHAnsi" w:eastAsia="Times New Roman" w:hAnsiTheme="minorHAnsi" w:cstheme="minorHAnsi"/>
          <w:lang w:eastAsia="en-NZ"/>
        </w:rPr>
        <w:t>571</w:t>
      </w:r>
      <w:r w:rsidRPr="00BF334B">
        <w:rPr>
          <w:rFonts w:asciiTheme="minorHAnsi" w:eastAsia="Times New Roman" w:hAnsiTheme="minorHAnsi" w:cstheme="minorHAnsi"/>
          <w:lang w:eastAsia="en-NZ"/>
        </w:rPr>
        <w:t xml:space="preserve"> 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units </w:t>
      </w:r>
      <w:r w:rsidR="000D516C" w:rsidRPr="00BF334B">
        <w:rPr>
          <w:rFonts w:asciiTheme="minorHAnsi" w:eastAsia="Times New Roman" w:hAnsiTheme="minorHAnsi" w:cstheme="minorHAnsi"/>
          <w:lang w:eastAsia="en-NZ"/>
        </w:rPr>
        <w:t>(</w:t>
      </w:r>
      <w:r w:rsidR="00BF334B">
        <w:rPr>
          <w:rFonts w:asciiTheme="minorHAnsi" w:eastAsia="Times New Roman" w:hAnsiTheme="minorHAnsi" w:cstheme="minorHAnsi"/>
          <w:lang w:eastAsia="en-NZ"/>
        </w:rPr>
        <w:t>9.3</w:t>
      </w:r>
      <w:r w:rsidR="000D516C" w:rsidRPr="00BF334B">
        <w:rPr>
          <w:rFonts w:asciiTheme="minorHAnsi" w:eastAsia="Times New Roman" w:hAnsiTheme="minorHAnsi" w:cstheme="minorHAnsi"/>
          <w:lang w:eastAsia="en-NZ"/>
        </w:rPr>
        <w:t>%</w:t>
      </w:r>
      <w:r w:rsidR="00226A15" w:rsidRPr="00BF334B">
        <w:rPr>
          <w:rFonts w:asciiTheme="minorHAnsi" w:eastAsia="Times New Roman" w:hAnsiTheme="minorHAnsi" w:cstheme="minorHAnsi"/>
          <w:lang w:eastAsia="en-NZ"/>
        </w:rPr>
        <w:t xml:space="preserve"> share</w:t>
      </w:r>
      <w:r w:rsidR="00D07290" w:rsidRPr="00BF334B">
        <w:rPr>
          <w:rFonts w:asciiTheme="minorHAnsi" w:eastAsia="Times New Roman" w:hAnsiTheme="minorHAnsi" w:cstheme="minorHAnsi"/>
          <w:lang w:eastAsia="en-NZ"/>
        </w:rPr>
        <w:t xml:space="preserve"> of Light Passenger</w:t>
      </w:r>
      <w:r w:rsidR="000D516C" w:rsidRPr="00BF334B">
        <w:rPr>
          <w:rFonts w:asciiTheme="minorHAnsi" w:eastAsia="Times New Roman" w:hAnsiTheme="minorHAnsi" w:cstheme="minorHAnsi"/>
          <w:lang w:eastAsia="en-NZ"/>
        </w:rPr>
        <w:t xml:space="preserve">) </w:t>
      </w:r>
    </w:p>
    <w:p w14:paraId="4EEFE057" w14:textId="61F309C5" w:rsidR="00A00C6B" w:rsidRPr="00B16013" w:rsidRDefault="000D516C" w:rsidP="004B119E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The small to medium segments comprised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87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of </w:t>
      </w:r>
      <w:r w:rsidR="00D07290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Light</w:t>
      </w:r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proofErr w:type="gramStart"/>
      <w:r w:rsidR="000D4DEA"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passenger</w:t>
      </w:r>
      <w:proofErr w:type="gramEnd"/>
      <w:r w:rsidRPr="00BF334B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  <w:r w:rsidRPr="00B16013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</w:p>
    <w:p w14:paraId="79780162" w14:textId="77777777" w:rsidR="00F97D1E" w:rsidRDefault="00F97D1E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</w:p>
    <w:p w14:paraId="3A45A197" w14:textId="445E8743" w:rsidR="00ED60ED" w:rsidRPr="00E44EB2" w:rsidRDefault="00BB4CDE" w:rsidP="00AD7FD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E44EB2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Light Passenger </w:t>
      </w:r>
      <w:r w:rsidR="00EA5628" w:rsidRPr="00E44EB2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Motive Power</w:t>
      </w:r>
      <w:r w:rsidRPr="00E44EB2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 Insights</w:t>
      </w:r>
    </w:p>
    <w:p w14:paraId="754D83D8" w14:textId="77777777" w:rsidR="009121B0" w:rsidRPr="006E3B16" w:rsidRDefault="009121B0" w:rsidP="00ED60ED">
      <w:pPr>
        <w:rPr>
          <w:rFonts w:asciiTheme="minorHAnsi" w:eastAsia="Times New Roman" w:hAnsiTheme="minorHAnsi" w:cstheme="minorHAnsi"/>
          <w:strike/>
          <w:sz w:val="12"/>
          <w:szCs w:val="12"/>
          <w:highlight w:val="cyan"/>
          <w:lang w:eastAsia="en-NZ"/>
        </w:rPr>
      </w:pPr>
    </w:p>
    <w:p w14:paraId="6ED61F8E" w14:textId="08549F70" w:rsidR="008E6A92" w:rsidRPr="006E3B16" w:rsidRDefault="00563151" w:rsidP="00563151">
      <w:pPr>
        <w:ind w:left="-284"/>
        <w:rPr>
          <w:rFonts w:asciiTheme="minorHAnsi" w:eastAsia="Times New Roman" w:hAnsiTheme="minorHAnsi" w:cstheme="minorHAnsi"/>
          <w:strike/>
          <w:sz w:val="22"/>
          <w:szCs w:val="22"/>
          <w:highlight w:val="cyan"/>
          <w:lang w:eastAsia="en-NZ"/>
        </w:rPr>
      </w:pPr>
      <w:r w:rsidRPr="00563151">
        <w:drawing>
          <wp:inline distT="0" distB="0" distL="0" distR="0" wp14:anchorId="47B1BB05" wp14:editId="28F7A0C9">
            <wp:extent cx="6262780" cy="1708031"/>
            <wp:effectExtent l="0" t="0" r="5080" b="0"/>
            <wp:docPr id="7553149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446" cy="171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40D90" w14:textId="77777777" w:rsidR="008E6A92" w:rsidRPr="006E3B16" w:rsidRDefault="008E6A92" w:rsidP="008D437F">
      <w:pPr>
        <w:rPr>
          <w:rFonts w:asciiTheme="minorHAnsi" w:eastAsia="Times New Roman" w:hAnsiTheme="minorHAnsi" w:cstheme="minorHAnsi"/>
          <w:strike/>
          <w:sz w:val="22"/>
          <w:szCs w:val="22"/>
          <w:highlight w:val="cyan"/>
          <w:lang w:eastAsia="en-NZ"/>
        </w:rPr>
      </w:pPr>
    </w:p>
    <w:p w14:paraId="4C6337BE" w14:textId="694D7C60" w:rsidR="008E6A92" w:rsidRPr="0016057D" w:rsidRDefault="008E6A92" w:rsidP="008D437F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16057D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Top selling models (by motive power)</w:t>
      </w:r>
    </w:p>
    <w:p w14:paraId="6ABABD45" w14:textId="77777777" w:rsidR="008E6A92" w:rsidRPr="0016057D" w:rsidRDefault="008E6A92" w:rsidP="008D437F">
      <w:pPr>
        <w:rPr>
          <w:rFonts w:asciiTheme="minorHAnsi" w:eastAsia="Times New Roman" w:hAnsiTheme="minorHAnsi" w:cstheme="minorHAnsi"/>
          <w:b/>
          <w:bCs/>
          <w:sz w:val="12"/>
          <w:szCs w:val="12"/>
          <w:lang w:eastAsia="en-NZ"/>
        </w:rPr>
      </w:pPr>
    </w:p>
    <w:p w14:paraId="145C9CEC" w14:textId="77777777" w:rsidR="008E6A92" w:rsidRPr="0016057D" w:rsidRDefault="00964FDD" w:rsidP="008E6A92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Battery Electric Vehicles (</w:t>
      </w:r>
      <w:r w:rsidR="00C3643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BEVs</w:t>
      </w: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)</w:t>
      </w:r>
      <w:r w:rsidR="00C3643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:  </w:t>
      </w:r>
    </w:p>
    <w:p w14:paraId="0EE73977" w14:textId="1F5DE997" w:rsidR="00C6124A" w:rsidRPr="0016057D" w:rsidRDefault="00C6124A" w:rsidP="008E6A92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The top </w:t>
      </w:r>
      <w:r w:rsidR="00AE255E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five</w:t>
      </w: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models in </w:t>
      </w:r>
      <w:r w:rsid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: </w:t>
      </w:r>
      <w:r w:rsidR="00E2576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Tesla Model </w:t>
      </w:r>
      <w:r w:rsid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Y</w:t>
      </w:r>
      <w:r w:rsidR="00E2576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48</w:t>
      </w:r>
      <w:r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followed by 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Tesla Model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3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19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BYD Seal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16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Volkswagen ID.4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15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and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Volvo EX30</w:t>
      </w:r>
      <w:r w:rsidR="00B1601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2576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15</w:t>
      </w:r>
      <w:r w:rsidR="00B1601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2576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</w:t>
      </w:r>
      <w:r w:rsidR="0091712C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  <w:r w:rsidR="00B16013" w:rsidRPr="0016057D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</w:p>
    <w:p w14:paraId="745A3FF8" w14:textId="77777777" w:rsidR="00C3643C" w:rsidRPr="006E3B16" w:rsidRDefault="00C3643C" w:rsidP="008E6A92">
      <w:pPr>
        <w:rPr>
          <w:rFonts w:asciiTheme="minorHAnsi" w:eastAsia="Times New Roman" w:hAnsiTheme="minorHAnsi" w:cstheme="minorHAnsi"/>
          <w:sz w:val="22"/>
          <w:szCs w:val="22"/>
          <w:highlight w:val="cyan"/>
          <w:lang w:eastAsia="en-NZ"/>
        </w:rPr>
      </w:pPr>
    </w:p>
    <w:p w14:paraId="2B902CA5" w14:textId="77777777" w:rsidR="008E6A92" w:rsidRPr="00342D2B" w:rsidRDefault="008E6A92" w:rsidP="008E6A92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Plug in Hybrid Vehicle (PHEVs):</w:t>
      </w:r>
    </w:p>
    <w:p w14:paraId="080B99C7" w14:textId="37627EFE" w:rsidR="00C6124A" w:rsidRPr="00342D2B" w:rsidRDefault="00C6124A" w:rsidP="00C6124A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The top </w:t>
      </w:r>
      <w:r w:rsidR="00AE255E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five 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models in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: 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Mitsubishi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Outlander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(3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8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followed by 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Mitsubishi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Eclipse Cross</w:t>
      </w:r>
      <w:r w:rsidR="00B16013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17</w:t>
      </w:r>
      <w:r w:rsidR="00B16013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units),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Volkswagen Touareg (11), </w:t>
      </w:r>
      <w:r w:rsidR="00B16013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Mini Countryman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11</w:t>
      </w:r>
      <w:r w:rsidR="00B16013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) and Lexus NX (10 units)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</w:p>
    <w:p w14:paraId="11A9388F" w14:textId="77777777" w:rsidR="008D437F" w:rsidRPr="006E3B16" w:rsidRDefault="008D437F" w:rsidP="008E6A92">
      <w:pPr>
        <w:rPr>
          <w:rFonts w:asciiTheme="minorHAnsi" w:eastAsia="Times New Roman" w:hAnsiTheme="minorHAnsi" w:cstheme="minorHAnsi"/>
          <w:sz w:val="22"/>
          <w:szCs w:val="22"/>
          <w:highlight w:val="cyan"/>
          <w:lang w:eastAsia="en-NZ"/>
        </w:rPr>
      </w:pPr>
    </w:p>
    <w:p w14:paraId="53BCD3CB" w14:textId="474AFD66" w:rsidR="008E6A92" w:rsidRPr="00342D2B" w:rsidRDefault="003B530B" w:rsidP="008E6A92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Mild </w:t>
      </w:r>
      <w:r w:rsidR="008E6A92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Hybrid Vehicle (HEVs)</w:t>
      </w:r>
      <w:r w:rsidR="00EA5628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:</w:t>
      </w:r>
      <w:r w:rsidR="00EA5628" w:rsidRPr="00342D2B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  </w:t>
      </w:r>
    </w:p>
    <w:p w14:paraId="4017269C" w14:textId="3BDEA297" w:rsidR="00C6124A" w:rsidRPr="00342D2B" w:rsidRDefault="00C6124A" w:rsidP="00C6124A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The top </w:t>
      </w:r>
      <w:r w:rsidR="00AE255E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five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models in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: </w:t>
      </w:r>
      <w:r w:rsidR="00013A07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Toyota RAV4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1012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followed by </w:t>
      </w:r>
      <w:r w:rsidR="00342D2B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Toyota Yaris Cross 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(152 units), </w:t>
      </w:r>
      <w:r w:rsidR="003B530B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Toyota Corolla Cross (1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26</w:t>
      </w:r>
      <w:r w:rsidR="003B530B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Toyota Yaris (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107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and Toyota Corolla (1</w:t>
      </w:r>
      <w:r w:rsid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05</w:t>
      </w:r>
      <w:r w:rsidR="0091712C"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Pr="00342D2B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</w:p>
    <w:p w14:paraId="6D24C091" w14:textId="77777777" w:rsidR="00ED60ED" w:rsidRPr="006E3B16" w:rsidRDefault="00ED60ED" w:rsidP="00ED60ED">
      <w:pPr>
        <w:rPr>
          <w:rFonts w:asciiTheme="minorHAnsi" w:eastAsia="Times New Roman" w:hAnsiTheme="minorHAnsi" w:cstheme="minorHAnsi"/>
          <w:sz w:val="22"/>
          <w:szCs w:val="22"/>
          <w:highlight w:val="blue"/>
          <w:lang w:eastAsia="en-NZ"/>
        </w:rPr>
      </w:pPr>
    </w:p>
    <w:p w14:paraId="4686E7AA" w14:textId="77777777" w:rsidR="00F97D1E" w:rsidRPr="00DA1D97" w:rsidRDefault="00F97D1E" w:rsidP="00ED60ED">
      <w:pPr>
        <w:rPr>
          <w:rFonts w:asciiTheme="minorHAnsi" w:eastAsia="Times New Roman" w:hAnsiTheme="minorHAnsi" w:cstheme="minorHAnsi"/>
          <w:sz w:val="22"/>
          <w:szCs w:val="22"/>
          <w:highlight w:val="yellow"/>
          <w:lang w:eastAsia="en-NZ"/>
        </w:rPr>
      </w:pPr>
    </w:p>
    <w:p w14:paraId="4DD8D009" w14:textId="78D4A936" w:rsidR="00ED60ED" w:rsidRPr="00A71EC2" w:rsidRDefault="00BE40F5" w:rsidP="00ED60ED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A71EC2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 xml:space="preserve">Light </w:t>
      </w:r>
      <w:r w:rsidR="00ED60ED" w:rsidRPr="00A71EC2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Commercial Vehicle</w:t>
      </w:r>
      <w:r w:rsidR="00973E29" w:rsidRPr="00A71EC2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t>s</w:t>
      </w:r>
    </w:p>
    <w:p w14:paraId="5AC32360" w14:textId="77777777" w:rsidR="00C3643C" w:rsidRPr="00A71EC2" w:rsidRDefault="00C3643C" w:rsidP="00ED60E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</w:p>
    <w:p w14:paraId="719AB2C9" w14:textId="15D728B2" w:rsidR="00C3643C" w:rsidRPr="00A71EC2" w:rsidRDefault="00C3643C" w:rsidP="00ED60ED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A71EC2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Registrations</w:t>
      </w:r>
    </w:p>
    <w:p w14:paraId="1DEEFEEB" w14:textId="39B5060A" w:rsidR="005315EA" w:rsidRPr="00A71EC2" w:rsidRDefault="00555B41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Commercial </w:t>
      </w:r>
      <w:r w:rsidR="00ED60ED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registrations 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of </w:t>
      </w:r>
      <w:r w:rsidR="00530C8D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3,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118</w:t>
      </w:r>
      <w:r w:rsidR="00A00C6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D60ED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are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just 1 unit more than April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3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and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155.6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higher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than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202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2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1,898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</w:t>
      </w:r>
      <w:r w:rsidR="00E90EB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On a year-to-date basis registrations are 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10.2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higher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1,</w:t>
      </w:r>
      <w:r w:rsid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427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compared to the same period in 202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3 and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24.7</w:t>
      </w:r>
      <w:r w:rsidR="0091712C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>%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5,048</w:t>
      </w:r>
      <w:r w:rsidR="003B530B"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lower than the same period in 2022</w:t>
      </w:r>
      <w:r w:rsidRPr="00A71EC2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 </w:t>
      </w:r>
    </w:p>
    <w:p w14:paraId="0E33EE0E" w14:textId="77777777" w:rsidR="00EE329F" w:rsidRPr="006E3B16" w:rsidRDefault="00EE329F" w:rsidP="00EE329F">
      <w:pPr>
        <w:rPr>
          <w:rFonts w:asciiTheme="minorHAnsi" w:eastAsia="Times New Roman" w:hAnsiTheme="minorHAnsi" w:cstheme="minorHAnsi"/>
          <w:sz w:val="22"/>
          <w:szCs w:val="22"/>
          <w:highlight w:val="red"/>
          <w:lang w:eastAsia="en-NZ"/>
        </w:rPr>
      </w:pPr>
    </w:p>
    <w:p w14:paraId="03BF1604" w14:textId="003E2A19" w:rsidR="00C3643C" w:rsidRPr="000F2337" w:rsidRDefault="00973E29" w:rsidP="00EE329F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Segment </w:t>
      </w:r>
      <w:proofErr w:type="gramStart"/>
      <w:r w:rsidR="00C3643C" w:rsidRPr="000F2337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leaders</w:t>
      </w:r>
      <w:proofErr w:type="gramEnd"/>
    </w:p>
    <w:p w14:paraId="31BC3AAF" w14:textId="3BCD3C5A" w:rsidR="00EE329F" w:rsidRPr="000F2337" w:rsidRDefault="00530C8D" w:rsidP="00EE329F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Ford 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retained</w:t>
      </w:r>
      <w:r w:rsidR="0058103E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the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market lead with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35.9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% market share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904</w:t>
      </w:r>
      <w:r w:rsidR="0058103E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units) followed by 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Toyota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with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28.5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%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718</w:t>
      </w:r>
      <w:r w:rsidR="0058103E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units) and 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Mitsubishi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third with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16.1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% market share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405</w:t>
      </w:r>
      <w:r w:rsidR="009D2662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EE329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units).</w:t>
      </w:r>
    </w:p>
    <w:p w14:paraId="7CA79D60" w14:textId="77777777" w:rsidR="002017E8" w:rsidRPr="006E3B16" w:rsidRDefault="002017E8" w:rsidP="00973E29">
      <w:pPr>
        <w:rPr>
          <w:rFonts w:asciiTheme="minorHAnsi" w:eastAsia="Times New Roman" w:hAnsiTheme="minorHAnsi" w:cstheme="minorHAnsi"/>
          <w:b/>
          <w:bCs/>
          <w:sz w:val="22"/>
          <w:szCs w:val="22"/>
          <w:highlight w:val="red"/>
          <w:lang w:eastAsia="en-NZ"/>
        </w:rPr>
      </w:pPr>
    </w:p>
    <w:p w14:paraId="0740F6BA" w14:textId="632E2754" w:rsidR="00973E29" w:rsidRPr="000F2337" w:rsidRDefault="00973E29" w:rsidP="00973E29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 xml:space="preserve">Top selling models </w:t>
      </w:r>
    </w:p>
    <w:p w14:paraId="5B821193" w14:textId="7F571FC3" w:rsidR="00973E29" w:rsidRPr="000F2337" w:rsidRDefault="00973E29" w:rsidP="00973E29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The top</w:t>
      </w:r>
      <w:r w:rsidR="00AE255E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five</w:t>
      </w:r>
      <w:r w:rsidR="00292527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models for the month of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were the </w:t>
      </w:r>
      <w:r w:rsidR="00292527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Ford Ranger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837</w:t>
      </w:r>
      <w:r w:rsidR="00F5718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292527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units), followed by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Toyota HiLux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F5718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513</w:t>
      </w:r>
      <w:r w:rsidR="00F5718F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units</w:t>
      </w:r>
      <w:r w:rsidR="00292527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)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,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Mitsubishi Triton</w:t>
      </w:r>
      <w:r w:rsidR="0091712C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405</w:t>
      </w:r>
      <w:r w:rsidR="0091712C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units), 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Nissan Navara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174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and Toyota </w:t>
      </w:r>
      <w:r w:rsidR="002017E8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HiAce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162 </w:t>
      </w:r>
      <w:r w:rsidR="003B530B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. </w:t>
      </w:r>
    </w:p>
    <w:p w14:paraId="2E55FD0F" w14:textId="77777777" w:rsidR="003B530B" w:rsidRPr="006E3B16" w:rsidRDefault="003B530B" w:rsidP="00973E29">
      <w:pPr>
        <w:rPr>
          <w:rFonts w:asciiTheme="minorHAnsi" w:eastAsia="Times New Roman" w:hAnsiTheme="minorHAnsi" w:cstheme="minorHAnsi"/>
          <w:b/>
          <w:bCs/>
          <w:sz w:val="22"/>
          <w:szCs w:val="22"/>
          <w:highlight w:val="red"/>
          <w:lang w:eastAsia="en-NZ"/>
        </w:rPr>
      </w:pPr>
    </w:p>
    <w:p w14:paraId="50E4B5B9" w14:textId="57DF5894" w:rsidR="00973E29" w:rsidRPr="000F2337" w:rsidRDefault="00973E29" w:rsidP="00973E29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Motive Power</w:t>
      </w:r>
    </w:p>
    <w:p w14:paraId="75B8C3C3" w14:textId="0C09238F" w:rsidR="00292527" w:rsidRPr="003B530B" w:rsidRDefault="00292527" w:rsidP="00973E29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Light Commercial </w:t>
      </w:r>
      <w:r w:rsidR="00973E29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BEVs: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6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6A0CE6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 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in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="006A0CE6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, </w:t>
      </w:r>
      <w:r w:rsid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65</w:t>
      </w:r>
      <w:r w:rsidR="004447D5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6A0CE6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units </w:t>
      </w:r>
      <w:r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year-to-date</w:t>
      </w:r>
      <w:r w:rsidR="00973E29" w:rsidRPr="000F2337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  <w:r w:rsidR="00B71E09" w:rsidRPr="003B530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4447D5" w:rsidRPr="003B530B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</w:p>
    <w:p w14:paraId="2A64D1E3" w14:textId="4208A1D4" w:rsidR="007E3982" w:rsidRDefault="007E3982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</w:p>
    <w:p w14:paraId="60ABFD0F" w14:textId="77777777" w:rsidR="00F97D1E" w:rsidRDefault="00F97D1E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</w:p>
    <w:p w14:paraId="27583F8D" w14:textId="002F1C7F" w:rsidR="00BE40F5" w:rsidRPr="000F2337" w:rsidRDefault="00BE40F5" w:rsidP="00BE40F5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0F2337"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  <w:lastRenderedPageBreak/>
        <w:t>Heavy Commercial Vehicles</w:t>
      </w:r>
    </w:p>
    <w:p w14:paraId="7F8AD930" w14:textId="77777777" w:rsidR="00BE40F5" w:rsidRPr="006E3B16" w:rsidRDefault="00BE40F5" w:rsidP="00BE40F5">
      <w:pPr>
        <w:rPr>
          <w:rFonts w:asciiTheme="minorHAnsi" w:eastAsia="Times New Roman" w:hAnsiTheme="minorHAnsi" w:cstheme="minorHAnsi"/>
          <w:b/>
          <w:bCs/>
          <w:sz w:val="22"/>
          <w:szCs w:val="22"/>
          <w:highlight w:val="lightGray"/>
          <w:lang w:eastAsia="en-NZ"/>
        </w:rPr>
      </w:pPr>
    </w:p>
    <w:p w14:paraId="0CBB05E5" w14:textId="77777777" w:rsidR="00BE40F5" w:rsidRPr="00B709C1" w:rsidRDefault="00BE40F5" w:rsidP="00BE40F5">
      <w:pPr>
        <w:rPr>
          <w:rFonts w:asciiTheme="minorHAnsi" w:eastAsia="Times New Roman" w:hAnsiTheme="minorHAnsi" w:cstheme="minorHAnsi"/>
          <w:b/>
          <w:bCs/>
          <w:sz w:val="28"/>
          <w:szCs w:val="28"/>
          <w:lang w:eastAsia="en-NZ"/>
        </w:rPr>
      </w:pPr>
      <w:r w:rsidRPr="00B709C1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Registrations</w:t>
      </w:r>
    </w:p>
    <w:p w14:paraId="5C854218" w14:textId="48583DBF" w:rsidR="00A23711" w:rsidRPr="00B709C1" w:rsidRDefault="00BE40F5" w:rsidP="00BE40F5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Heavy commercial registrations of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597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are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21.3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lower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than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April 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202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3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105 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and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23.9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lower 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than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April 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202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2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115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</w:p>
    <w:p w14:paraId="2A0B65F4" w14:textId="77777777" w:rsidR="00A23711" w:rsidRPr="006E3B16" w:rsidRDefault="00A23711" w:rsidP="00BE40F5">
      <w:pPr>
        <w:rPr>
          <w:rFonts w:asciiTheme="minorHAnsi" w:eastAsia="Times New Roman" w:hAnsiTheme="minorHAnsi" w:cstheme="minorHAnsi"/>
          <w:sz w:val="22"/>
          <w:szCs w:val="22"/>
          <w:highlight w:val="lightGray"/>
          <w:lang w:eastAsia="en-NZ"/>
        </w:rPr>
      </w:pPr>
    </w:p>
    <w:p w14:paraId="7DDDD49D" w14:textId="5DFD8824" w:rsidR="00BE40F5" w:rsidRPr="00B709C1" w:rsidRDefault="00BE40F5" w:rsidP="00BE40F5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On a year-to-date basis registrations are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13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7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% 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higher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(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321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units) compared to the same period in 202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3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and 24.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6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% higher (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526 </w:t>
      </w:r>
      <w:r w:rsidR="00517D1F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units) than the same period in 2022</w:t>
      </w:r>
      <w:r w:rsidR="00D22309"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.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</w:t>
      </w:r>
    </w:p>
    <w:p w14:paraId="4232949B" w14:textId="77777777" w:rsidR="00BE40F5" w:rsidRPr="006E3B16" w:rsidRDefault="00BE40F5" w:rsidP="00BE40F5">
      <w:pPr>
        <w:rPr>
          <w:rFonts w:asciiTheme="minorHAnsi" w:eastAsia="Times New Roman" w:hAnsiTheme="minorHAnsi" w:cstheme="minorHAnsi"/>
          <w:sz w:val="22"/>
          <w:szCs w:val="22"/>
          <w:highlight w:val="lightGray"/>
          <w:lang w:eastAsia="en-NZ"/>
        </w:rPr>
      </w:pPr>
    </w:p>
    <w:p w14:paraId="6B37BBAB" w14:textId="77777777" w:rsidR="00BE40F5" w:rsidRPr="00B709C1" w:rsidRDefault="00BE40F5" w:rsidP="00BE40F5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</w:pPr>
      <w:r w:rsidRPr="00B709C1">
        <w:rPr>
          <w:rFonts w:asciiTheme="minorHAnsi" w:eastAsia="Times New Roman" w:hAnsiTheme="minorHAnsi" w:cstheme="minorHAnsi"/>
          <w:b/>
          <w:bCs/>
          <w:sz w:val="22"/>
          <w:szCs w:val="22"/>
          <w:lang w:eastAsia="en-NZ"/>
        </w:rPr>
        <w:t>Motive Power</w:t>
      </w:r>
    </w:p>
    <w:p w14:paraId="54276C68" w14:textId="6C0FD2F1" w:rsidR="00BE40F5" w:rsidRDefault="00BE40F5" w:rsidP="00BE40F5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Heavy Commercial BEVs: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8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 in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April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, </w:t>
      </w:r>
      <w:r w:rsid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>90</w:t>
      </w:r>
      <w:r w:rsidRPr="00B709C1">
        <w:rPr>
          <w:rFonts w:asciiTheme="minorHAnsi" w:eastAsia="Times New Roman" w:hAnsiTheme="minorHAnsi" w:cstheme="minorHAnsi"/>
          <w:sz w:val="22"/>
          <w:szCs w:val="22"/>
          <w:lang w:eastAsia="en-NZ"/>
        </w:rPr>
        <w:t xml:space="preserve"> units year-to-date.</w:t>
      </w:r>
    </w:p>
    <w:p w14:paraId="4D21DE41" w14:textId="77777777" w:rsidR="00BE40F5" w:rsidRDefault="00BE40F5" w:rsidP="00973E29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</w:p>
    <w:p w14:paraId="616121AC" w14:textId="77777777" w:rsidR="00AE255E" w:rsidRDefault="00AE255E" w:rsidP="00973E29">
      <w:pPr>
        <w:rPr>
          <w:rFonts w:asciiTheme="minorHAnsi" w:eastAsia="Times New Roman" w:hAnsiTheme="minorHAnsi" w:cstheme="minorHAnsi"/>
          <w:sz w:val="22"/>
          <w:szCs w:val="22"/>
          <w:lang w:eastAsia="en-NZ"/>
        </w:rPr>
      </w:pPr>
    </w:p>
    <w:p w14:paraId="26676BF5" w14:textId="3A351A32" w:rsidR="00EE329F" w:rsidRPr="003F502C" w:rsidRDefault="00EE329F" w:rsidP="00EE329F">
      <w:pPr>
        <w:rPr>
          <w:rFonts w:asciiTheme="minorHAnsi" w:eastAsia="Times New Roman" w:hAnsiTheme="minorHAnsi" w:cstheme="minorHAnsi"/>
          <w:sz w:val="22"/>
          <w:szCs w:val="22"/>
          <w:highlight w:val="yellow"/>
          <w:lang w:eastAsia="en-NZ"/>
        </w:rPr>
      </w:pPr>
      <w:r w:rsidRPr="003F502C">
        <w:rPr>
          <w:rFonts w:asciiTheme="minorHAnsi" w:eastAsia="Times New Roman" w:hAnsiTheme="minorHAnsi" w:cstheme="minorHAnsi"/>
          <w:sz w:val="22"/>
          <w:szCs w:val="22"/>
          <w:lang w:eastAsia="en-NZ"/>
        </w:rPr>
        <w:t>ENDS:</w:t>
      </w:r>
    </w:p>
    <w:p w14:paraId="4C0ACC85" w14:textId="77777777" w:rsidR="00B71E09" w:rsidRDefault="00B71E09" w:rsidP="00EE329F">
      <w:pPr>
        <w:rPr>
          <w:rFonts w:asciiTheme="minorHAnsi" w:hAnsiTheme="minorHAnsi" w:cstheme="minorHAnsi"/>
          <w:b/>
          <w:sz w:val="22"/>
          <w:szCs w:val="22"/>
        </w:rPr>
      </w:pPr>
    </w:p>
    <w:p w14:paraId="762E6CEC" w14:textId="3A6B939D" w:rsidR="00EE329F" w:rsidRPr="00BE40F5" w:rsidRDefault="00EE329F" w:rsidP="00EE329F">
      <w:pPr>
        <w:rPr>
          <w:rFonts w:asciiTheme="minorHAnsi" w:hAnsiTheme="minorHAnsi" w:cstheme="minorHAnsi"/>
          <w:bCs/>
          <w:sz w:val="22"/>
          <w:szCs w:val="22"/>
        </w:rPr>
      </w:pPr>
      <w:r w:rsidRPr="00BE40F5">
        <w:rPr>
          <w:rFonts w:asciiTheme="minorHAnsi" w:hAnsiTheme="minorHAnsi" w:cstheme="minorHAnsi"/>
          <w:bCs/>
          <w:sz w:val="22"/>
          <w:szCs w:val="22"/>
        </w:rPr>
        <w:t>For Further Information:</w:t>
      </w:r>
    </w:p>
    <w:p w14:paraId="3212FCA5" w14:textId="77777777" w:rsidR="00E90EBC" w:rsidRDefault="00E90EBC" w:rsidP="00EE329F">
      <w:pPr>
        <w:rPr>
          <w:rFonts w:asciiTheme="minorHAnsi" w:hAnsiTheme="minorHAnsi" w:cstheme="minorHAnsi"/>
          <w:b/>
          <w:sz w:val="22"/>
          <w:szCs w:val="22"/>
        </w:rPr>
      </w:pPr>
    </w:p>
    <w:p w14:paraId="4D2144F9" w14:textId="6F83B501" w:rsidR="00EE329F" w:rsidRPr="00BE40F5" w:rsidRDefault="00B94732" w:rsidP="00EE329F">
      <w:pPr>
        <w:rPr>
          <w:rFonts w:asciiTheme="minorHAnsi" w:hAnsiTheme="minorHAnsi" w:cstheme="minorHAnsi"/>
          <w:sz w:val="22"/>
          <w:szCs w:val="22"/>
          <w:lang w:eastAsia="en-NZ"/>
        </w:rPr>
      </w:pPr>
      <w:r>
        <w:rPr>
          <w:rFonts w:asciiTheme="minorHAnsi" w:hAnsiTheme="minorHAnsi" w:cstheme="minorHAnsi"/>
          <w:sz w:val="22"/>
          <w:szCs w:val="22"/>
          <w:lang w:eastAsia="en-NZ"/>
        </w:rPr>
        <w:t>Mark Stockdale</w:t>
      </w:r>
    </w:p>
    <w:p w14:paraId="484A6202" w14:textId="62C4227D" w:rsidR="00EE329F" w:rsidRPr="003F502C" w:rsidRDefault="00B94732" w:rsidP="00EE329F">
      <w:pPr>
        <w:rPr>
          <w:rFonts w:asciiTheme="minorHAnsi" w:hAnsiTheme="minorHAnsi" w:cstheme="minorHAnsi"/>
          <w:sz w:val="22"/>
          <w:szCs w:val="22"/>
          <w:lang w:eastAsia="en-NZ"/>
        </w:rPr>
      </w:pPr>
      <w:r>
        <w:rPr>
          <w:rFonts w:asciiTheme="minorHAnsi" w:hAnsiTheme="minorHAnsi" w:cstheme="minorHAnsi"/>
          <w:sz w:val="22"/>
          <w:szCs w:val="22"/>
          <w:lang w:eastAsia="en-NZ"/>
        </w:rPr>
        <w:t>Principal Technical Advisor</w:t>
      </w:r>
      <w:r w:rsidR="00A00C6B">
        <w:rPr>
          <w:rFonts w:asciiTheme="minorHAnsi" w:hAnsiTheme="minorHAnsi" w:cstheme="minorHAnsi"/>
          <w:sz w:val="22"/>
          <w:szCs w:val="22"/>
          <w:lang w:eastAsia="en-NZ"/>
        </w:rPr>
        <w:t xml:space="preserve">, </w:t>
      </w:r>
      <w:r w:rsidR="00EE329F" w:rsidRPr="003F502C">
        <w:rPr>
          <w:rFonts w:asciiTheme="minorHAnsi" w:hAnsiTheme="minorHAnsi" w:cstheme="minorHAnsi"/>
          <w:sz w:val="22"/>
          <w:szCs w:val="22"/>
          <w:lang w:eastAsia="en-NZ"/>
        </w:rPr>
        <w:t>Motor Industry Association</w:t>
      </w:r>
    </w:p>
    <w:p w14:paraId="2ADBA88B" w14:textId="0D25DEA9" w:rsidR="00EE329F" w:rsidRPr="003F502C" w:rsidRDefault="00EE329F" w:rsidP="00EE329F">
      <w:pPr>
        <w:tabs>
          <w:tab w:val="left" w:pos="851"/>
        </w:tabs>
        <w:ind w:left="4536" w:hanging="4536"/>
        <w:rPr>
          <w:rFonts w:asciiTheme="minorHAnsi" w:hAnsiTheme="minorHAnsi" w:cstheme="minorHAnsi"/>
          <w:sz w:val="22"/>
          <w:szCs w:val="22"/>
        </w:rPr>
      </w:pPr>
      <w:r w:rsidRPr="003F502C">
        <w:rPr>
          <w:rFonts w:asciiTheme="minorHAnsi" w:hAnsiTheme="minorHAnsi" w:cstheme="minorHAnsi"/>
          <w:sz w:val="22"/>
          <w:szCs w:val="22"/>
          <w:lang w:eastAsia="en-NZ"/>
        </w:rPr>
        <w:t xml:space="preserve">Phone: </w:t>
      </w:r>
      <w:r w:rsidR="000F2337">
        <w:rPr>
          <w:rFonts w:asciiTheme="minorHAnsi" w:hAnsiTheme="minorHAnsi" w:cstheme="minorHAnsi"/>
          <w:sz w:val="22"/>
          <w:szCs w:val="22"/>
          <w:lang w:eastAsia="en-NZ"/>
        </w:rPr>
        <w:t>021434097</w:t>
      </w:r>
      <w:r w:rsidR="00A00C6B">
        <w:rPr>
          <w:rFonts w:asciiTheme="minorHAnsi" w:hAnsiTheme="minorHAnsi" w:cstheme="minorHAnsi"/>
          <w:sz w:val="22"/>
          <w:szCs w:val="22"/>
          <w:lang w:eastAsia="en-NZ"/>
        </w:rPr>
        <w:t xml:space="preserve">, </w:t>
      </w:r>
      <w:r w:rsidRPr="003F502C">
        <w:rPr>
          <w:rFonts w:asciiTheme="minorHAnsi" w:hAnsiTheme="minorHAnsi" w:cstheme="minorHAnsi"/>
          <w:sz w:val="22"/>
          <w:szCs w:val="22"/>
        </w:rPr>
        <w:t xml:space="preserve">Email: </w:t>
      </w:r>
      <w:hyperlink r:id="rId8" w:history="1">
        <w:r w:rsidR="00B94732" w:rsidRPr="00176843">
          <w:rPr>
            <w:rStyle w:val="Hyperlink"/>
            <w:rFonts w:asciiTheme="minorHAnsi" w:hAnsiTheme="minorHAnsi" w:cstheme="minorHAnsi"/>
            <w:sz w:val="22"/>
            <w:szCs w:val="22"/>
            <w:lang w:eastAsia="en-NZ"/>
          </w:rPr>
          <w:t>mark@mia.org.nz</w:t>
        </w:r>
      </w:hyperlink>
    </w:p>
    <w:p w14:paraId="40F3D012" w14:textId="77777777" w:rsidR="00A00C6B" w:rsidRDefault="00A00C6B" w:rsidP="000D318B">
      <w:pPr>
        <w:rPr>
          <w:rFonts w:asciiTheme="minorHAnsi" w:hAnsiTheme="minorHAnsi" w:cstheme="minorHAnsi"/>
          <w:b/>
          <w:sz w:val="22"/>
          <w:szCs w:val="22"/>
        </w:rPr>
      </w:pPr>
    </w:p>
    <w:p w14:paraId="2DD02830" w14:textId="77777777" w:rsidR="00BE40F5" w:rsidRDefault="00BE40F5" w:rsidP="000D318B">
      <w:pPr>
        <w:rPr>
          <w:rFonts w:asciiTheme="minorHAnsi" w:hAnsiTheme="minorHAnsi" w:cstheme="minorHAnsi"/>
          <w:b/>
          <w:sz w:val="22"/>
          <w:szCs w:val="22"/>
        </w:rPr>
      </w:pPr>
    </w:p>
    <w:p w14:paraId="493E3EBA" w14:textId="77777777" w:rsidR="00272D11" w:rsidRDefault="00272D11" w:rsidP="000D318B">
      <w:pPr>
        <w:rPr>
          <w:rFonts w:asciiTheme="minorHAnsi" w:hAnsiTheme="minorHAnsi" w:cstheme="minorHAnsi"/>
          <w:b/>
          <w:sz w:val="22"/>
          <w:szCs w:val="22"/>
        </w:rPr>
      </w:pPr>
    </w:p>
    <w:p w14:paraId="44D23229" w14:textId="61780903" w:rsidR="000D318B" w:rsidRPr="003F502C" w:rsidRDefault="000D318B" w:rsidP="000D318B">
      <w:pPr>
        <w:rPr>
          <w:rFonts w:asciiTheme="minorHAnsi" w:hAnsiTheme="minorHAnsi" w:cstheme="minorHAnsi"/>
          <w:sz w:val="22"/>
          <w:szCs w:val="22"/>
        </w:rPr>
      </w:pPr>
      <w:r w:rsidRPr="003F502C">
        <w:rPr>
          <w:rFonts w:asciiTheme="minorHAnsi" w:hAnsiTheme="minorHAnsi" w:cstheme="minorHAnsi"/>
          <w:b/>
          <w:sz w:val="22"/>
          <w:szCs w:val="22"/>
        </w:rPr>
        <w:t>Sheet 1:</w:t>
      </w:r>
      <w:r w:rsidRPr="003F502C">
        <w:rPr>
          <w:rFonts w:asciiTheme="minorHAnsi" w:hAnsiTheme="minorHAnsi" w:cstheme="minorHAnsi"/>
          <w:sz w:val="22"/>
          <w:szCs w:val="22"/>
        </w:rPr>
        <w:t xml:space="preserve"> Detailed figures for top 15 distributors, full year 202</w:t>
      </w:r>
      <w:r w:rsidR="00481365">
        <w:rPr>
          <w:rFonts w:asciiTheme="minorHAnsi" w:hAnsiTheme="minorHAnsi" w:cstheme="minorHAnsi"/>
          <w:sz w:val="22"/>
          <w:szCs w:val="22"/>
        </w:rPr>
        <w:t>3</w:t>
      </w:r>
      <w:r w:rsidRPr="003F502C">
        <w:rPr>
          <w:rFonts w:asciiTheme="minorHAnsi" w:hAnsiTheme="minorHAnsi" w:cstheme="minorHAnsi"/>
          <w:sz w:val="22"/>
          <w:szCs w:val="22"/>
        </w:rPr>
        <w:t xml:space="preserve">, month of </w:t>
      </w:r>
      <w:r w:rsidR="000F2337">
        <w:rPr>
          <w:rFonts w:asciiTheme="minorHAnsi" w:hAnsiTheme="minorHAnsi" w:cstheme="minorHAnsi"/>
          <w:sz w:val="22"/>
          <w:szCs w:val="22"/>
        </w:rPr>
        <w:t xml:space="preserve">April </w:t>
      </w:r>
      <w:r>
        <w:rPr>
          <w:rFonts w:asciiTheme="minorHAnsi" w:hAnsiTheme="minorHAnsi" w:cstheme="minorHAnsi"/>
          <w:sz w:val="22"/>
          <w:szCs w:val="22"/>
        </w:rPr>
        <w:t>202</w:t>
      </w:r>
      <w:r w:rsidR="00481365">
        <w:rPr>
          <w:rFonts w:asciiTheme="minorHAnsi" w:hAnsiTheme="minorHAnsi" w:cstheme="minorHAnsi"/>
          <w:sz w:val="22"/>
          <w:szCs w:val="22"/>
        </w:rPr>
        <w:t>4</w:t>
      </w:r>
      <w:r w:rsidRPr="003F502C">
        <w:rPr>
          <w:rFonts w:asciiTheme="minorHAnsi" w:hAnsiTheme="minorHAnsi" w:cstheme="minorHAnsi"/>
          <w:sz w:val="22"/>
          <w:szCs w:val="22"/>
        </w:rPr>
        <w:t xml:space="preserve"> and year to date 202</w:t>
      </w:r>
      <w:r w:rsidR="00481365">
        <w:rPr>
          <w:rFonts w:asciiTheme="minorHAnsi" w:hAnsiTheme="minorHAnsi" w:cstheme="minorHAnsi"/>
          <w:sz w:val="22"/>
          <w:szCs w:val="22"/>
        </w:rPr>
        <w:t>4</w:t>
      </w:r>
      <w:r w:rsidRPr="003F502C">
        <w:rPr>
          <w:rFonts w:asciiTheme="minorHAnsi" w:hAnsiTheme="minorHAnsi" w:cstheme="minorHAnsi"/>
          <w:sz w:val="22"/>
          <w:szCs w:val="22"/>
        </w:rPr>
        <w:t>, total vehicles, new cars, and new commercials.</w:t>
      </w:r>
    </w:p>
    <w:p w14:paraId="4EDB21B1" w14:textId="77777777" w:rsidR="000D318B" w:rsidRDefault="000D318B" w:rsidP="000D318B">
      <w:pPr>
        <w:rPr>
          <w:rFonts w:asciiTheme="minorHAnsi" w:hAnsiTheme="minorHAnsi" w:cstheme="minorHAnsi"/>
          <w:sz w:val="22"/>
          <w:szCs w:val="22"/>
        </w:rPr>
      </w:pPr>
    </w:p>
    <w:p w14:paraId="573D0EE8" w14:textId="77777777" w:rsidR="00AE255E" w:rsidRPr="003F502C" w:rsidRDefault="00AE255E" w:rsidP="000D318B">
      <w:pPr>
        <w:rPr>
          <w:rFonts w:asciiTheme="minorHAnsi" w:hAnsiTheme="minorHAnsi" w:cstheme="minorHAnsi"/>
          <w:sz w:val="22"/>
          <w:szCs w:val="22"/>
        </w:rPr>
      </w:pPr>
    </w:p>
    <w:p w14:paraId="47A85220" w14:textId="6A1EE1C7" w:rsidR="000D318B" w:rsidRDefault="000D318B" w:rsidP="000D318B">
      <w:pPr>
        <w:rPr>
          <w:rFonts w:asciiTheme="minorHAnsi" w:hAnsiTheme="minorHAnsi" w:cstheme="minorHAnsi"/>
          <w:sz w:val="22"/>
          <w:szCs w:val="22"/>
        </w:rPr>
      </w:pPr>
      <w:r w:rsidRPr="003F502C">
        <w:rPr>
          <w:rFonts w:asciiTheme="minorHAnsi" w:hAnsiTheme="minorHAnsi" w:cstheme="minorHAnsi"/>
          <w:b/>
          <w:sz w:val="22"/>
          <w:szCs w:val="22"/>
        </w:rPr>
        <w:t>Sheet 2:</w:t>
      </w:r>
      <w:r w:rsidRPr="003F502C">
        <w:rPr>
          <w:rFonts w:asciiTheme="minorHAnsi" w:hAnsiTheme="minorHAnsi" w:cstheme="minorHAnsi"/>
          <w:sz w:val="22"/>
          <w:szCs w:val="22"/>
        </w:rPr>
        <w:t xml:space="preserve"> Detailed figures for top 15 selling models - passenger cars and commercials - full year 202</w:t>
      </w:r>
      <w:r w:rsidR="00481365">
        <w:rPr>
          <w:rFonts w:asciiTheme="minorHAnsi" w:hAnsiTheme="minorHAnsi" w:cstheme="minorHAnsi"/>
          <w:sz w:val="22"/>
          <w:szCs w:val="22"/>
        </w:rPr>
        <w:t>3</w:t>
      </w:r>
      <w:r w:rsidRPr="003F502C">
        <w:rPr>
          <w:rFonts w:asciiTheme="minorHAnsi" w:hAnsiTheme="minorHAnsi" w:cstheme="minorHAnsi"/>
          <w:sz w:val="22"/>
          <w:szCs w:val="22"/>
        </w:rPr>
        <w:t xml:space="preserve">, </w:t>
      </w:r>
      <w:r w:rsidR="000F2337">
        <w:rPr>
          <w:rFonts w:asciiTheme="minorHAnsi" w:hAnsiTheme="minorHAnsi" w:cstheme="minorHAnsi"/>
          <w:sz w:val="22"/>
          <w:szCs w:val="22"/>
        </w:rPr>
        <w:t>April</w:t>
      </w:r>
      <w:r>
        <w:rPr>
          <w:rFonts w:asciiTheme="minorHAnsi" w:hAnsiTheme="minorHAnsi" w:cstheme="minorHAnsi"/>
          <w:sz w:val="22"/>
          <w:szCs w:val="22"/>
        </w:rPr>
        <w:t xml:space="preserve"> 202</w:t>
      </w:r>
      <w:r w:rsidR="00481365">
        <w:rPr>
          <w:rFonts w:asciiTheme="minorHAnsi" w:hAnsiTheme="minorHAnsi" w:cstheme="minorHAnsi"/>
          <w:sz w:val="22"/>
          <w:szCs w:val="22"/>
        </w:rPr>
        <w:t>4</w:t>
      </w:r>
      <w:r w:rsidRPr="003F502C">
        <w:rPr>
          <w:rFonts w:asciiTheme="minorHAnsi" w:hAnsiTheme="minorHAnsi" w:cstheme="minorHAnsi"/>
          <w:sz w:val="22"/>
          <w:szCs w:val="22"/>
        </w:rPr>
        <w:t xml:space="preserve"> and year to date 202</w:t>
      </w:r>
      <w:r w:rsidR="00481365">
        <w:rPr>
          <w:rFonts w:asciiTheme="minorHAnsi" w:hAnsiTheme="minorHAnsi" w:cstheme="minorHAnsi"/>
          <w:sz w:val="22"/>
          <w:szCs w:val="22"/>
        </w:rPr>
        <w:t>4</w:t>
      </w:r>
      <w:r w:rsidRPr="003F502C">
        <w:rPr>
          <w:rFonts w:asciiTheme="minorHAnsi" w:hAnsiTheme="minorHAnsi" w:cstheme="minorHAnsi"/>
          <w:sz w:val="22"/>
          <w:szCs w:val="22"/>
        </w:rPr>
        <w:t>.</w:t>
      </w:r>
    </w:p>
    <w:p w14:paraId="65022A1D" w14:textId="77777777" w:rsidR="00BE40F5" w:rsidRPr="003F502C" w:rsidRDefault="00BE40F5" w:rsidP="000D318B">
      <w:pPr>
        <w:rPr>
          <w:rFonts w:asciiTheme="minorHAnsi" w:hAnsiTheme="minorHAnsi" w:cstheme="minorHAnsi"/>
          <w:sz w:val="22"/>
          <w:szCs w:val="22"/>
        </w:rPr>
      </w:pPr>
    </w:p>
    <w:p w14:paraId="1C3EFA3B" w14:textId="77777777" w:rsidR="00EE329F" w:rsidRDefault="00EE329F" w:rsidP="00EE329F">
      <w:pPr>
        <w:rPr>
          <w:rFonts w:asciiTheme="minorHAnsi" w:hAnsiTheme="minorHAnsi" w:cstheme="minorHAnsi"/>
          <w:sz w:val="22"/>
          <w:szCs w:val="22"/>
        </w:rPr>
      </w:pPr>
    </w:p>
    <w:p w14:paraId="1074024F" w14:textId="77777777" w:rsidR="00AE255E" w:rsidRDefault="00AE255E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71275A3" w14:textId="4D89042B" w:rsidR="00EE329F" w:rsidRDefault="00EE329F" w:rsidP="009735F0">
      <w:pPr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E40F5">
        <w:rPr>
          <w:rFonts w:asciiTheme="minorHAnsi" w:hAnsiTheme="minorHAnsi" w:cstheme="minorHAnsi"/>
          <w:b/>
          <w:bCs/>
          <w:sz w:val="22"/>
          <w:szCs w:val="22"/>
        </w:rPr>
        <w:lastRenderedPageBreak/>
        <w:t>Comparison</w:t>
      </w:r>
      <w:r w:rsidR="009735F0" w:rsidRPr="00BE40F5">
        <w:rPr>
          <w:rFonts w:asciiTheme="minorHAnsi" w:hAnsiTheme="minorHAnsi" w:cstheme="minorHAnsi"/>
          <w:b/>
          <w:bCs/>
          <w:sz w:val="22"/>
          <w:szCs w:val="22"/>
        </w:rPr>
        <w:t xml:space="preserve"> tables </w:t>
      </w:r>
      <w:r w:rsidR="00AE255E" w:rsidRPr="00BE40F5">
        <w:rPr>
          <w:rFonts w:asciiTheme="minorHAnsi" w:hAnsiTheme="minorHAnsi" w:cstheme="minorHAnsi"/>
          <w:b/>
          <w:bCs/>
          <w:sz w:val="22"/>
          <w:szCs w:val="22"/>
        </w:rPr>
        <w:t>month on month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255E">
        <w:rPr>
          <w:rFonts w:asciiTheme="minorHAnsi" w:hAnsiTheme="minorHAnsi" w:cstheme="minorHAnsi"/>
          <w:b/>
          <w:bCs/>
          <w:sz w:val="22"/>
          <w:szCs w:val="22"/>
        </w:rPr>
        <w:t xml:space="preserve">and </w:t>
      </w:r>
      <w:r w:rsidR="00AE255E" w:rsidRPr="00BE40F5">
        <w:rPr>
          <w:rFonts w:asciiTheme="minorHAnsi" w:hAnsiTheme="minorHAnsi" w:cstheme="minorHAnsi"/>
          <w:b/>
          <w:bCs/>
          <w:sz w:val="22"/>
          <w:szCs w:val="22"/>
        </w:rPr>
        <w:t>cumulative totals</w:t>
      </w:r>
      <w:r w:rsidR="00AE25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735F0" w:rsidRPr="00BE40F5">
        <w:rPr>
          <w:rFonts w:asciiTheme="minorHAnsi" w:hAnsiTheme="minorHAnsi" w:cstheme="minorHAnsi"/>
          <w:b/>
          <w:bCs/>
          <w:sz w:val="22"/>
          <w:szCs w:val="22"/>
        </w:rPr>
        <w:t xml:space="preserve">for 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583DB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735F0" w:rsidRPr="00BE40F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83DB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9735F0" w:rsidRPr="00BE40F5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Pr="00BE40F5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83DBD">
        <w:rPr>
          <w:rFonts w:asciiTheme="minorHAnsi" w:hAnsiTheme="minorHAnsi" w:cstheme="minorHAnsi"/>
          <w:b/>
          <w:bCs/>
          <w:sz w:val="22"/>
          <w:szCs w:val="22"/>
        </w:rPr>
        <w:t>4</w:t>
      </w:r>
    </w:p>
    <w:p w14:paraId="506E108F" w14:textId="77777777" w:rsidR="00AE255E" w:rsidRDefault="00AE255E" w:rsidP="009735F0">
      <w:pPr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8EA58A" w14:textId="77777777" w:rsidR="00AE255E" w:rsidRDefault="00AE255E" w:rsidP="009735F0">
      <w:pPr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FAB0098" w14:textId="77777777" w:rsidR="00AE255E" w:rsidRDefault="00AE255E" w:rsidP="009735F0">
      <w:pPr>
        <w:ind w:left="851" w:hanging="8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A37BDA3" w14:textId="14B64BD0" w:rsidR="00EE329F" w:rsidRPr="003F502C" w:rsidRDefault="00A03B09" w:rsidP="00EE329F">
      <w:pPr>
        <w:ind w:left="851" w:hanging="851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30873305" wp14:editId="401330FF">
            <wp:extent cx="5727700" cy="3646805"/>
            <wp:effectExtent l="0" t="0" r="6350" b="10795"/>
            <wp:docPr id="32791847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6DBDD84-B365-45D4-F2B0-3D1D4AE3ED1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462FC2" w14:textId="77777777" w:rsidR="00BE40F5" w:rsidRDefault="00BE40F5" w:rsidP="00AE255E">
      <w:pPr>
        <w:jc w:val="center"/>
        <w:rPr>
          <w:rFonts w:asciiTheme="minorHAnsi" w:hAnsiTheme="minorHAnsi" w:cstheme="minorHAnsi"/>
          <w:b/>
          <w:bCs/>
        </w:rPr>
      </w:pPr>
    </w:p>
    <w:p w14:paraId="59C05142" w14:textId="77777777" w:rsidR="00AE255E" w:rsidRDefault="00AE255E" w:rsidP="00AE255E">
      <w:pPr>
        <w:jc w:val="center"/>
        <w:rPr>
          <w:rFonts w:asciiTheme="minorHAnsi" w:hAnsiTheme="minorHAnsi" w:cstheme="minorHAnsi"/>
          <w:b/>
          <w:bCs/>
        </w:rPr>
      </w:pPr>
    </w:p>
    <w:p w14:paraId="34551097" w14:textId="77777777" w:rsidR="00AE255E" w:rsidRDefault="00AE255E" w:rsidP="00AE255E">
      <w:pPr>
        <w:jc w:val="center"/>
        <w:rPr>
          <w:rFonts w:asciiTheme="minorHAnsi" w:hAnsiTheme="minorHAnsi" w:cstheme="minorHAnsi"/>
          <w:b/>
          <w:bCs/>
        </w:rPr>
      </w:pPr>
    </w:p>
    <w:p w14:paraId="17B4B5B0" w14:textId="7A8E353D" w:rsidR="00AE255E" w:rsidRDefault="00A03B09">
      <w:pPr>
        <w:rPr>
          <w:rFonts w:asciiTheme="minorHAnsi" w:hAnsiTheme="minorHAnsi" w:cstheme="minorHAnsi"/>
          <w:b/>
          <w:bCs/>
        </w:rPr>
      </w:pPr>
      <w:r>
        <w:rPr>
          <w:noProof/>
        </w:rPr>
        <w:drawing>
          <wp:inline distT="0" distB="0" distL="0" distR="0" wp14:anchorId="3C9D5CD2" wp14:editId="7CC558A0">
            <wp:extent cx="5727700" cy="3588588"/>
            <wp:effectExtent l="0" t="0" r="6350" b="12065"/>
            <wp:docPr id="15115797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47B981C-BDD0-EBCA-D9E0-13645B10A2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DA308A" w14:textId="77777777" w:rsidR="00AE255E" w:rsidRDefault="00AE255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4348E1AA" w14:textId="7F3A7652" w:rsidR="00D248A9" w:rsidRPr="002F1CC4" w:rsidRDefault="00D248A9" w:rsidP="00D248A9">
      <w:pPr>
        <w:ind w:left="851" w:hanging="851"/>
        <w:jc w:val="center"/>
        <w:rPr>
          <w:rFonts w:asciiTheme="minorHAnsi" w:hAnsiTheme="minorHAnsi" w:cstheme="minorHAnsi"/>
          <w:b/>
          <w:bCs/>
        </w:rPr>
      </w:pPr>
      <w:r w:rsidRPr="002F1CC4">
        <w:rPr>
          <w:rFonts w:asciiTheme="minorHAnsi" w:hAnsiTheme="minorHAnsi" w:cstheme="minorHAnsi"/>
          <w:b/>
          <w:bCs/>
        </w:rPr>
        <w:lastRenderedPageBreak/>
        <w:t>Glossary of Terms</w:t>
      </w:r>
    </w:p>
    <w:p w14:paraId="5E05FC71" w14:textId="77777777" w:rsidR="00D248A9" w:rsidRDefault="00D248A9" w:rsidP="00D248A9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6B2520B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b/>
          <w:bCs/>
          <w:sz w:val="22"/>
          <w:szCs w:val="22"/>
          <w:lang w:val="en-GB"/>
        </w:rPr>
        <w:t>Vehicle Types</w:t>
      </w:r>
    </w:p>
    <w:p w14:paraId="2202456B" w14:textId="289D88BD" w:rsidR="00D248A9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Battery Electric Vehicle (BEV’s)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 have a battery instead of a fuel tank, and an electric motor instead of an internal combustion engine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Powered exclusively by electricity with a plug.</w:t>
      </w:r>
    </w:p>
    <w:p w14:paraId="4C2DD00B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12"/>
          <w:szCs w:val="12"/>
          <w:lang w:val="en-GB"/>
        </w:rPr>
      </w:pPr>
    </w:p>
    <w:p w14:paraId="14931C5A" w14:textId="4CAF2BC2" w:rsidR="00D248A9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Plug-in Hybrid Vehicle (PHEV’s)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 are a combination of both fuel powered and electric powered vehicles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This means they have a battery, an electric motor, a fuel tank, and an internal combustion engine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Partially powered by electricity with a plug and partially powered by fuel.</w:t>
      </w:r>
    </w:p>
    <w:p w14:paraId="6AB360D0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12"/>
          <w:szCs w:val="12"/>
          <w:lang w:val="en-GB"/>
        </w:rPr>
      </w:pPr>
    </w:p>
    <w:p w14:paraId="7E960DA2" w14:textId="0BC1AE6D" w:rsidR="00D248A9" w:rsidRDefault="0074040E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u w:val="single"/>
          <w:lang w:val="en-GB"/>
        </w:rPr>
        <w:t xml:space="preserve">Mild </w:t>
      </w:r>
      <w:r w:rsidR="00D248A9"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Hybrid Vehicle (HEV’s)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 are powered by a conventional internal combustion engine (ICE) and one or more electric motors, which uses energy stored in batteries. A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mild 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hybrid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is not 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>plugged into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electricity to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 charge the battery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Instead, the battery is charged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while driving, </w:t>
      </w:r>
      <w:r w:rsidR="00D248A9" w:rsidRPr="002F1CC4">
        <w:rPr>
          <w:rFonts w:asciiTheme="minorHAnsi" w:hAnsiTheme="minorHAnsi" w:cstheme="minorHAnsi"/>
          <w:sz w:val="22"/>
          <w:szCs w:val="22"/>
          <w:lang w:val="en-GB"/>
        </w:rPr>
        <w:t>through regenerative braking by the internal combustion engine.</w:t>
      </w:r>
    </w:p>
    <w:p w14:paraId="5D960CA4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12"/>
          <w:szCs w:val="12"/>
          <w:lang w:val="en-GB"/>
        </w:rPr>
      </w:pPr>
    </w:p>
    <w:p w14:paraId="606FD51B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Internal Combustion Engine (ICE)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 vehicles are the conventional type of vehicle powered based on petroleum products such as petrol, diesel, and liquefied petroleum gas (LPG).</w:t>
      </w:r>
    </w:p>
    <w:p w14:paraId="3D4F4B5E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12"/>
          <w:szCs w:val="12"/>
          <w:lang w:val="en-GB"/>
        </w:rPr>
      </w:pPr>
    </w:p>
    <w:p w14:paraId="260B37D5" w14:textId="7BD97214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b/>
          <w:bCs/>
          <w:sz w:val="22"/>
          <w:szCs w:val="22"/>
          <w:lang w:val="en-GB"/>
        </w:rPr>
        <w:t>Which vehicle types fit as EV or LEV?</w:t>
      </w:r>
    </w:p>
    <w:p w14:paraId="1769A253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lang w:val="en-GB"/>
        </w:rPr>
        <w:t>In our data, analysis, reporting and commentary, the MIA groups vehicle types together as follows:</w:t>
      </w:r>
    </w:p>
    <w:p w14:paraId="1D9BB961" w14:textId="77777777" w:rsidR="00BE40F5" w:rsidRDefault="00BE40F5" w:rsidP="00D248A9">
      <w:pPr>
        <w:spacing w:line="312" w:lineRule="auto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14:paraId="4A85099E" w14:textId="327B9442" w:rsidR="00D248A9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Electric vehicles (EVs):</w:t>
      </w:r>
      <w:r w:rsidRPr="002F1CC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include vehicle types with a plug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Battery Electric Vehicle (BEV’s) and Plug-in hybrid electric vehicles (PHEVs).</w:t>
      </w:r>
    </w:p>
    <w:p w14:paraId="6CCEC677" w14:textId="77777777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</w:p>
    <w:p w14:paraId="53A0BBCA" w14:textId="1A5E27EA" w:rsidR="00D248A9" w:rsidRPr="002F1CC4" w:rsidRDefault="00D248A9" w:rsidP="00D248A9">
      <w:pPr>
        <w:spacing w:line="312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2F1CC4">
        <w:rPr>
          <w:rFonts w:asciiTheme="minorHAnsi" w:hAnsiTheme="minorHAnsi" w:cstheme="minorHAnsi"/>
          <w:sz w:val="22"/>
          <w:szCs w:val="22"/>
          <w:u w:val="single"/>
          <w:lang w:val="en-GB"/>
        </w:rPr>
        <w:t>Low Emission Vehicles:</w:t>
      </w:r>
      <w:r w:rsidRPr="002F1CC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 </w:t>
      </w:r>
      <w:r w:rsidRPr="002F1CC4">
        <w:rPr>
          <w:rFonts w:asciiTheme="minorHAnsi" w:hAnsiTheme="minorHAnsi" w:cstheme="minorHAnsi"/>
          <w:sz w:val="22"/>
          <w:szCs w:val="22"/>
          <w:lang w:val="en-GB"/>
        </w:rPr>
        <w:t>include vehicle types that don't produce as much nitrous oxide (NOx) and carbon dioxide (CO2) pollution from their tailpipe as conventional vehicles</w:t>
      </w:r>
      <w:r w:rsidR="00EA4390" w:rsidRPr="002F1CC4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23710E93" w14:textId="7A236D71" w:rsidR="00D248A9" w:rsidRPr="003F502C" w:rsidRDefault="00D248A9" w:rsidP="00BE40F5">
      <w:pPr>
        <w:spacing w:line="312" w:lineRule="auto"/>
        <w:rPr>
          <w:rFonts w:asciiTheme="minorHAnsi" w:hAnsiTheme="minorHAnsi" w:cstheme="minorHAnsi"/>
        </w:rPr>
      </w:pPr>
      <w:r w:rsidRPr="002F1CC4">
        <w:rPr>
          <w:rFonts w:asciiTheme="minorHAnsi" w:hAnsiTheme="minorHAnsi" w:cstheme="minorHAnsi"/>
          <w:sz w:val="22"/>
          <w:szCs w:val="22"/>
          <w:lang w:val="en-GB"/>
        </w:rPr>
        <w:t>Battery Electric Vehicle (BEV’s), Plug-in hybrid electric vehicles (PHEVs) and Hybrid Vehicle (HEV’s) are all grouped together and referred to as low emission vehicles.</w:t>
      </w:r>
    </w:p>
    <w:sectPr w:rsidR="00D248A9" w:rsidRPr="003F502C" w:rsidSect="002721B8">
      <w:head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F837F3" w14:textId="77777777" w:rsidR="00394878" w:rsidRDefault="00394878" w:rsidP="00E64479">
      <w:r>
        <w:separator/>
      </w:r>
    </w:p>
  </w:endnote>
  <w:endnote w:type="continuationSeparator" w:id="0">
    <w:p w14:paraId="51BEEAEC" w14:textId="77777777" w:rsidR="00394878" w:rsidRDefault="00394878" w:rsidP="00E6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75F9F" w14:textId="77777777" w:rsidR="00394878" w:rsidRDefault="00394878" w:rsidP="00E64479">
      <w:r>
        <w:separator/>
      </w:r>
    </w:p>
  </w:footnote>
  <w:footnote w:type="continuationSeparator" w:id="0">
    <w:p w14:paraId="6DF1F76D" w14:textId="77777777" w:rsidR="00394878" w:rsidRDefault="00394878" w:rsidP="00E644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4271F" w14:textId="32C2FC81" w:rsidR="00E64479" w:rsidRDefault="00FE26AC" w:rsidP="00FE26AC">
    <w:pPr>
      <w:pStyle w:val="Header"/>
      <w:tabs>
        <w:tab w:val="clear" w:pos="4320"/>
        <w:tab w:val="clear" w:pos="8640"/>
        <w:tab w:val="center" w:pos="451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9DD0F" w14:textId="7D5D9ED3" w:rsidR="00FE26AC" w:rsidRDefault="002721B8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0BA30D2D" wp14:editId="28C3CE33">
          <wp:simplePos x="0" y="0"/>
          <wp:positionH relativeFrom="page">
            <wp:posOffset>27305</wp:posOffset>
          </wp:positionH>
          <wp:positionV relativeFrom="page">
            <wp:posOffset>26398</wp:posOffset>
          </wp:positionV>
          <wp:extent cx="7416000" cy="1357678"/>
          <wp:effectExtent l="0" t="0" r="0" b="0"/>
          <wp:wrapNone/>
          <wp:docPr id="857795452" name="Picture 1" descr="A picture containing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795452" name="Picture 1" descr="A picture containing screensho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6000" cy="13576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1CC7"/>
    <w:multiLevelType w:val="hybridMultilevel"/>
    <w:tmpl w:val="2EF6DF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E3F12"/>
    <w:multiLevelType w:val="hybridMultilevel"/>
    <w:tmpl w:val="17BC01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34E8D"/>
    <w:multiLevelType w:val="hybridMultilevel"/>
    <w:tmpl w:val="6E20646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62166"/>
    <w:multiLevelType w:val="hybridMultilevel"/>
    <w:tmpl w:val="971A2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66DE5"/>
    <w:multiLevelType w:val="hybridMultilevel"/>
    <w:tmpl w:val="301E5170"/>
    <w:lvl w:ilvl="0" w:tplc="0D0619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F16EC"/>
    <w:multiLevelType w:val="hybridMultilevel"/>
    <w:tmpl w:val="C8501DB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3273A"/>
    <w:multiLevelType w:val="hybridMultilevel"/>
    <w:tmpl w:val="8F4CDED6"/>
    <w:lvl w:ilvl="0" w:tplc="F9969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25A78"/>
    <w:multiLevelType w:val="hybridMultilevel"/>
    <w:tmpl w:val="16F4E8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6435B"/>
    <w:multiLevelType w:val="hybridMultilevel"/>
    <w:tmpl w:val="3D08BB7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BD2EA4"/>
    <w:multiLevelType w:val="hybridMultilevel"/>
    <w:tmpl w:val="3AE0E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6C7194"/>
    <w:multiLevelType w:val="hybridMultilevel"/>
    <w:tmpl w:val="32B009A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72742B"/>
    <w:multiLevelType w:val="hybridMultilevel"/>
    <w:tmpl w:val="5FE0957E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2470">
    <w:abstractNumId w:val="7"/>
  </w:num>
  <w:num w:numId="2" w16cid:durableId="1334601280">
    <w:abstractNumId w:val="0"/>
  </w:num>
  <w:num w:numId="3" w16cid:durableId="1603804458">
    <w:abstractNumId w:val="9"/>
  </w:num>
  <w:num w:numId="4" w16cid:durableId="429663135">
    <w:abstractNumId w:val="3"/>
  </w:num>
  <w:num w:numId="5" w16cid:durableId="1366977209">
    <w:abstractNumId w:val="1"/>
  </w:num>
  <w:num w:numId="6" w16cid:durableId="2068647698">
    <w:abstractNumId w:val="5"/>
  </w:num>
  <w:num w:numId="7" w16cid:durableId="1108309150">
    <w:abstractNumId w:val="10"/>
  </w:num>
  <w:num w:numId="8" w16cid:durableId="1129054341">
    <w:abstractNumId w:val="8"/>
  </w:num>
  <w:num w:numId="9" w16cid:durableId="724378637">
    <w:abstractNumId w:val="11"/>
  </w:num>
  <w:num w:numId="10" w16cid:durableId="1115058359">
    <w:abstractNumId w:val="6"/>
  </w:num>
  <w:num w:numId="11" w16cid:durableId="640113801">
    <w:abstractNumId w:val="2"/>
  </w:num>
  <w:num w:numId="12" w16cid:durableId="1180122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CBB"/>
    <w:rsid w:val="000015CB"/>
    <w:rsid w:val="000026C4"/>
    <w:rsid w:val="00013A07"/>
    <w:rsid w:val="00016A0E"/>
    <w:rsid w:val="00021497"/>
    <w:rsid w:val="000230E8"/>
    <w:rsid w:val="000377B7"/>
    <w:rsid w:val="00052F99"/>
    <w:rsid w:val="00082FFA"/>
    <w:rsid w:val="00084156"/>
    <w:rsid w:val="00084232"/>
    <w:rsid w:val="000C14E0"/>
    <w:rsid w:val="000C4513"/>
    <w:rsid w:val="000D318B"/>
    <w:rsid w:val="000D420A"/>
    <w:rsid w:val="000D4DEA"/>
    <w:rsid w:val="000D516C"/>
    <w:rsid w:val="000E54F0"/>
    <w:rsid w:val="000E78FB"/>
    <w:rsid w:val="000F0BB9"/>
    <w:rsid w:val="000F2337"/>
    <w:rsid w:val="000F256D"/>
    <w:rsid w:val="00116A14"/>
    <w:rsid w:val="0012234C"/>
    <w:rsid w:val="001303A2"/>
    <w:rsid w:val="00134C52"/>
    <w:rsid w:val="00135897"/>
    <w:rsid w:val="001361B9"/>
    <w:rsid w:val="0016057D"/>
    <w:rsid w:val="00162E17"/>
    <w:rsid w:val="00163B4F"/>
    <w:rsid w:val="00182014"/>
    <w:rsid w:val="001F0F38"/>
    <w:rsid w:val="002017E8"/>
    <w:rsid w:val="002205D0"/>
    <w:rsid w:val="00222761"/>
    <w:rsid w:val="00222B60"/>
    <w:rsid w:val="00226A15"/>
    <w:rsid w:val="00226F9F"/>
    <w:rsid w:val="00233B46"/>
    <w:rsid w:val="00237C4F"/>
    <w:rsid w:val="00253299"/>
    <w:rsid w:val="00270077"/>
    <w:rsid w:val="00270823"/>
    <w:rsid w:val="00271681"/>
    <w:rsid w:val="002721B8"/>
    <w:rsid w:val="00272D11"/>
    <w:rsid w:val="00291FA5"/>
    <w:rsid w:val="00292527"/>
    <w:rsid w:val="002938A2"/>
    <w:rsid w:val="002B5159"/>
    <w:rsid w:val="002C1C90"/>
    <w:rsid w:val="002C3E7F"/>
    <w:rsid w:val="002D1237"/>
    <w:rsid w:val="002D25E9"/>
    <w:rsid w:val="002E324C"/>
    <w:rsid w:val="002F4367"/>
    <w:rsid w:val="0030566A"/>
    <w:rsid w:val="00305DD5"/>
    <w:rsid w:val="00320108"/>
    <w:rsid w:val="0033373D"/>
    <w:rsid w:val="00342D2B"/>
    <w:rsid w:val="00346503"/>
    <w:rsid w:val="003477AA"/>
    <w:rsid w:val="0036164A"/>
    <w:rsid w:val="00363534"/>
    <w:rsid w:val="003641AE"/>
    <w:rsid w:val="00394878"/>
    <w:rsid w:val="003A0DEE"/>
    <w:rsid w:val="003B530B"/>
    <w:rsid w:val="003C3B45"/>
    <w:rsid w:val="003C7EE9"/>
    <w:rsid w:val="003D4CDD"/>
    <w:rsid w:val="003E213B"/>
    <w:rsid w:val="003E36BB"/>
    <w:rsid w:val="003E3925"/>
    <w:rsid w:val="003E4CBB"/>
    <w:rsid w:val="003F502C"/>
    <w:rsid w:val="00402723"/>
    <w:rsid w:val="00403AD7"/>
    <w:rsid w:val="00411558"/>
    <w:rsid w:val="00422686"/>
    <w:rsid w:val="00424C38"/>
    <w:rsid w:val="0042632D"/>
    <w:rsid w:val="004269C8"/>
    <w:rsid w:val="004277C0"/>
    <w:rsid w:val="00431604"/>
    <w:rsid w:val="00432931"/>
    <w:rsid w:val="004447D5"/>
    <w:rsid w:val="00447A12"/>
    <w:rsid w:val="00451A78"/>
    <w:rsid w:val="00452585"/>
    <w:rsid w:val="00455DF3"/>
    <w:rsid w:val="004567FA"/>
    <w:rsid w:val="0046089A"/>
    <w:rsid w:val="00467A8B"/>
    <w:rsid w:val="00470DA1"/>
    <w:rsid w:val="00481365"/>
    <w:rsid w:val="004908A0"/>
    <w:rsid w:val="004B119E"/>
    <w:rsid w:val="004B6B66"/>
    <w:rsid w:val="004C4233"/>
    <w:rsid w:val="004E2929"/>
    <w:rsid w:val="004E7D1E"/>
    <w:rsid w:val="004F46C6"/>
    <w:rsid w:val="004F646D"/>
    <w:rsid w:val="00517D1F"/>
    <w:rsid w:val="00521034"/>
    <w:rsid w:val="00530C8D"/>
    <w:rsid w:val="005315EA"/>
    <w:rsid w:val="00536AAE"/>
    <w:rsid w:val="00537149"/>
    <w:rsid w:val="005428A5"/>
    <w:rsid w:val="0055026A"/>
    <w:rsid w:val="00555B41"/>
    <w:rsid w:val="00563151"/>
    <w:rsid w:val="005757C8"/>
    <w:rsid w:val="00576C4F"/>
    <w:rsid w:val="0058103E"/>
    <w:rsid w:val="00583DBD"/>
    <w:rsid w:val="005975A4"/>
    <w:rsid w:val="005B4B91"/>
    <w:rsid w:val="005D0F50"/>
    <w:rsid w:val="005E33C3"/>
    <w:rsid w:val="005E61F0"/>
    <w:rsid w:val="005F321B"/>
    <w:rsid w:val="00615838"/>
    <w:rsid w:val="00643FB4"/>
    <w:rsid w:val="00644A52"/>
    <w:rsid w:val="0065385F"/>
    <w:rsid w:val="006556F2"/>
    <w:rsid w:val="00671DDA"/>
    <w:rsid w:val="00682A37"/>
    <w:rsid w:val="00683FB7"/>
    <w:rsid w:val="00692CA0"/>
    <w:rsid w:val="006934E1"/>
    <w:rsid w:val="00693621"/>
    <w:rsid w:val="006A0CE6"/>
    <w:rsid w:val="006A3F6D"/>
    <w:rsid w:val="006A4C94"/>
    <w:rsid w:val="006A7469"/>
    <w:rsid w:val="006C14C6"/>
    <w:rsid w:val="006C25DA"/>
    <w:rsid w:val="006D0C79"/>
    <w:rsid w:val="006D3A24"/>
    <w:rsid w:val="006E3B16"/>
    <w:rsid w:val="006E4BB1"/>
    <w:rsid w:val="006E6ABC"/>
    <w:rsid w:val="006F4F1F"/>
    <w:rsid w:val="006F70AC"/>
    <w:rsid w:val="00710192"/>
    <w:rsid w:val="0071527E"/>
    <w:rsid w:val="0074040E"/>
    <w:rsid w:val="007466A9"/>
    <w:rsid w:val="00747B86"/>
    <w:rsid w:val="00765312"/>
    <w:rsid w:val="00771C0B"/>
    <w:rsid w:val="00776808"/>
    <w:rsid w:val="007771BF"/>
    <w:rsid w:val="00784999"/>
    <w:rsid w:val="00793BFE"/>
    <w:rsid w:val="00795D82"/>
    <w:rsid w:val="007A285B"/>
    <w:rsid w:val="007B3042"/>
    <w:rsid w:val="007C1FDE"/>
    <w:rsid w:val="007D1562"/>
    <w:rsid w:val="007D2BD3"/>
    <w:rsid w:val="007E3982"/>
    <w:rsid w:val="007F5C04"/>
    <w:rsid w:val="00811A03"/>
    <w:rsid w:val="00814294"/>
    <w:rsid w:val="00823426"/>
    <w:rsid w:val="00824CA9"/>
    <w:rsid w:val="00826356"/>
    <w:rsid w:val="00830F6C"/>
    <w:rsid w:val="008338E8"/>
    <w:rsid w:val="00836F05"/>
    <w:rsid w:val="00847E85"/>
    <w:rsid w:val="008673BB"/>
    <w:rsid w:val="00875D07"/>
    <w:rsid w:val="008777B8"/>
    <w:rsid w:val="008848B8"/>
    <w:rsid w:val="008904CC"/>
    <w:rsid w:val="00895B82"/>
    <w:rsid w:val="008974D4"/>
    <w:rsid w:val="008A6321"/>
    <w:rsid w:val="008A6DE9"/>
    <w:rsid w:val="008B2CF4"/>
    <w:rsid w:val="008B4CEA"/>
    <w:rsid w:val="008C3FBE"/>
    <w:rsid w:val="008D437F"/>
    <w:rsid w:val="008D4C5A"/>
    <w:rsid w:val="008E6A92"/>
    <w:rsid w:val="008F2EDC"/>
    <w:rsid w:val="008F30FB"/>
    <w:rsid w:val="009044F9"/>
    <w:rsid w:val="0090485D"/>
    <w:rsid w:val="009121B0"/>
    <w:rsid w:val="0091712C"/>
    <w:rsid w:val="00920727"/>
    <w:rsid w:val="00937AC9"/>
    <w:rsid w:val="009507F9"/>
    <w:rsid w:val="009526B9"/>
    <w:rsid w:val="00964FDD"/>
    <w:rsid w:val="00970DA1"/>
    <w:rsid w:val="009735F0"/>
    <w:rsid w:val="00973E29"/>
    <w:rsid w:val="00987A9C"/>
    <w:rsid w:val="00991B94"/>
    <w:rsid w:val="00994A9D"/>
    <w:rsid w:val="009968E7"/>
    <w:rsid w:val="009A1FE1"/>
    <w:rsid w:val="009B7B82"/>
    <w:rsid w:val="009C736E"/>
    <w:rsid w:val="009D1897"/>
    <w:rsid w:val="009D2219"/>
    <w:rsid w:val="009D2662"/>
    <w:rsid w:val="009E1B5A"/>
    <w:rsid w:val="009F3D88"/>
    <w:rsid w:val="009F6A03"/>
    <w:rsid w:val="00A00C6B"/>
    <w:rsid w:val="00A03B09"/>
    <w:rsid w:val="00A063F0"/>
    <w:rsid w:val="00A1443B"/>
    <w:rsid w:val="00A21147"/>
    <w:rsid w:val="00A23711"/>
    <w:rsid w:val="00A44C16"/>
    <w:rsid w:val="00A53257"/>
    <w:rsid w:val="00A56C86"/>
    <w:rsid w:val="00A60943"/>
    <w:rsid w:val="00A71EC2"/>
    <w:rsid w:val="00A72B31"/>
    <w:rsid w:val="00A8225A"/>
    <w:rsid w:val="00A905CA"/>
    <w:rsid w:val="00A94AAC"/>
    <w:rsid w:val="00A97854"/>
    <w:rsid w:val="00AA0DB2"/>
    <w:rsid w:val="00AA0E50"/>
    <w:rsid w:val="00AC54B5"/>
    <w:rsid w:val="00AD7FDD"/>
    <w:rsid w:val="00AE0C6C"/>
    <w:rsid w:val="00AE1F44"/>
    <w:rsid w:val="00AE255E"/>
    <w:rsid w:val="00B00D80"/>
    <w:rsid w:val="00B0138C"/>
    <w:rsid w:val="00B01668"/>
    <w:rsid w:val="00B0325B"/>
    <w:rsid w:val="00B040D0"/>
    <w:rsid w:val="00B04326"/>
    <w:rsid w:val="00B118FC"/>
    <w:rsid w:val="00B16013"/>
    <w:rsid w:val="00B21659"/>
    <w:rsid w:val="00B2221B"/>
    <w:rsid w:val="00B333CE"/>
    <w:rsid w:val="00B52CC6"/>
    <w:rsid w:val="00B62B2B"/>
    <w:rsid w:val="00B6450C"/>
    <w:rsid w:val="00B65330"/>
    <w:rsid w:val="00B709C1"/>
    <w:rsid w:val="00B71E09"/>
    <w:rsid w:val="00B73305"/>
    <w:rsid w:val="00B80E83"/>
    <w:rsid w:val="00B91143"/>
    <w:rsid w:val="00B94732"/>
    <w:rsid w:val="00BB47F3"/>
    <w:rsid w:val="00BB4CDE"/>
    <w:rsid w:val="00BD2A4F"/>
    <w:rsid w:val="00BD6407"/>
    <w:rsid w:val="00BE12EA"/>
    <w:rsid w:val="00BE17E1"/>
    <w:rsid w:val="00BE40F5"/>
    <w:rsid w:val="00BF334B"/>
    <w:rsid w:val="00BF48F6"/>
    <w:rsid w:val="00BF4FF1"/>
    <w:rsid w:val="00BF72D8"/>
    <w:rsid w:val="00C07856"/>
    <w:rsid w:val="00C3643C"/>
    <w:rsid w:val="00C410C6"/>
    <w:rsid w:val="00C4117A"/>
    <w:rsid w:val="00C50FD1"/>
    <w:rsid w:val="00C54E40"/>
    <w:rsid w:val="00C6124A"/>
    <w:rsid w:val="00C63D52"/>
    <w:rsid w:val="00C73E9A"/>
    <w:rsid w:val="00C936AF"/>
    <w:rsid w:val="00C93B7E"/>
    <w:rsid w:val="00C9728A"/>
    <w:rsid w:val="00CB5FE2"/>
    <w:rsid w:val="00CC19AA"/>
    <w:rsid w:val="00CD7515"/>
    <w:rsid w:val="00CF49E5"/>
    <w:rsid w:val="00D00C26"/>
    <w:rsid w:val="00D00DEB"/>
    <w:rsid w:val="00D07290"/>
    <w:rsid w:val="00D10274"/>
    <w:rsid w:val="00D15908"/>
    <w:rsid w:val="00D16637"/>
    <w:rsid w:val="00D1782F"/>
    <w:rsid w:val="00D22309"/>
    <w:rsid w:val="00D248A9"/>
    <w:rsid w:val="00D30228"/>
    <w:rsid w:val="00D36A15"/>
    <w:rsid w:val="00D42B8C"/>
    <w:rsid w:val="00D513F9"/>
    <w:rsid w:val="00D65426"/>
    <w:rsid w:val="00D656AA"/>
    <w:rsid w:val="00D66AF5"/>
    <w:rsid w:val="00D7259D"/>
    <w:rsid w:val="00D7319B"/>
    <w:rsid w:val="00D90F34"/>
    <w:rsid w:val="00D954AF"/>
    <w:rsid w:val="00DA19A5"/>
    <w:rsid w:val="00DA1D97"/>
    <w:rsid w:val="00DB73A8"/>
    <w:rsid w:val="00DC39E5"/>
    <w:rsid w:val="00DC7A1D"/>
    <w:rsid w:val="00DD12E7"/>
    <w:rsid w:val="00DD15FE"/>
    <w:rsid w:val="00DD308E"/>
    <w:rsid w:val="00DD3A46"/>
    <w:rsid w:val="00DD7242"/>
    <w:rsid w:val="00DD782C"/>
    <w:rsid w:val="00DE1461"/>
    <w:rsid w:val="00DE352A"/>
    <w:rsid w:val="00DF3D93"/>
    <w:rsid w:val="00E05E2C"/>
    <w:rsid w:val="00E25763"/>
    <w:rsid w:val="00E26415"/>
    <w:rsid w:val="00E361C8"/>
    <w:rsid w:val="00E44EB2"/>
    <w:rsid w:val="00E465D0"/>
    <w:rsid w:val="00E4762C"/>
    <w:rsid w:val="00E609EA"/>
    <w:rsid w:val="00E64479"/>
    <w:rsid w:val="00E6772E"/>
    <w:rsid w:val="00E90EBC"/>
    <w:rsid w:val="00EA4390"/>
    <w:rsid w:val="00EA5628"/>
    <w:rsid w:val="00EA573C"/>
    <w:rsid w:val="00EC3D73"/>
    <w:rsid w:val="00ED60ED"/>
    <w:rsid w:val="00EE329F"/>
    <w:rsid w:val="00F0206E"/>
    <w:rsid w:val="00F04FD3"/>
    <w:rsid w:val="00F11BE4"/>
    <w:rsid w:val="00F167ED"/>
    <w:rsid w:val="00F240E3"/>
    <w:rsid w:val="00F402ED"/>
    <w:rsid w:val="00F502E2"/>
    <w:rsid w:val="00F5718F"/>
    <w:rsid w:val="00F616DE"/>
    <w:rsid w:val="00F64951"/>
    <w:rsid w:val="00F93E42"/>
    <w:rsid w:val="00F97D1E"/>
    <w:rsid w:val="00FA61D1"/>
    <w:rsid w:val="00FC0190"/>
    <w:rsid w:val="00FC20B1"/>
    <w:rsid w:val="00FE1BB5"/>
    <w:rsid w:val="00FE26AC"/>
    <w:rsid w:val="00FF193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B73D22"/>
  <w15:chartTrackingRefBased/>
  <w15:docId w15:val="{266F27EF-9772-44A1-BBFF-57EA9BF8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N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479"/>
  </w:style>
  <w:style w:type="paragraph" w:styleId="Footer">
    <w:name w:val="footer"/>
    <w:basedOn w:val="Normal"/>
    <w:link w:val="FooterChar"/>
    <w:uiPriority w:val="99"/>
    <w:unhideWhenUsed/>
    <w:rsid w:val="00E644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479"/>
  </w:style>
  <w:style w:type="paragraph" w:styleId="BalloonText">
    <w:name w:val="Balloon Text"/>
    <w:basedOn w:val="Normal"/>
    <w:link w:val="BalloonTextChar"/>
    <w:uiPriority w:val="99"/>
    <w:semiHidden/>
    <w:unhideWhenUsed/>
    <w:rsid w:val="00E644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447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C3FBE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4C6"/>
    <w:pPr>
      <w:spacing w:before="120" w:after="120"/>
      <w:ind w:left="720"/>
      <w:contextualSpacing/>
      <w:jc w:val="both"/>
    </w:pPr>
    <w:rPr>
      <w:rFonts w:ascii="Arial" w:eastAsiaTheme="minorHAnsi" w:hAnsi="Arial" w:cstheme="minorBid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EE329F"/>
    <w:rPr>
      <w:color w:val="0563C1" w:themeColor="hyperlink"/>
      <w:u w:val="single"/>
    </w:rPr>
  </w:style>
  <w:style w:type="paragraph" w:styleId="Revision">
    <w:name w:val="Revision"/>
    <w:hidden/>
    <w:uiPriority w:val="71"/>
    <w:rsid w:val="00C4117A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4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@mia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mee\AppData\Local\Microsoft\Windows\INetCache\Content.Outlook\08O2UUAH\MIA%20Letterhead%2005-2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REGISTRATION-PC\MIA%20Current\Council\Press%20Releases\Sales%20monthly\2024\April%202024\Registration%20data%20-1975%20onwards%20YTD%20April%20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REGISTRATION-PC\MIA%20Current\Council\Press%20Releases\Sales%20monthly\2024\April%202024\Registration%20data%20-1975%20onwards%20YTD%20April%20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Month</a:t>
            </a:r>
            <a:r>
              <a:rPr lang="en-NZ" baseline="0"/>
              <a:t> on Month Comparison 2022 to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2022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Sales'!$R$70:$AC$70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Sales'!$R$72:$AC$72</c:f>
              <c:numCache>
                <c:formatCode>General</c:formatCode>
                <c:ptCount val="12"/>
                <c:pt idx="0">
                  <c:v>13479</c:v>
                </c:pt>
                <c:pt idx="1">
                  <c:v>12501</c:v>
                </c:pt>
                <c:pt idx="2">
                  <c:v>21004</c:v>
                </c:pt>
                <c:pt idx="3">
                  <c:v>9734</c:v>
                </c:pt>
                <c:pt idx="4">
                  <c:v>13337</c:v>
                </c:pt>
                <c:pt idx="5">
                  <c:v>12049</c:v>
                </c:pt>
                <c:pt idx="6">
                  <c:v>11101</c:v>
                </c:pt>
                <c:pt idx="7">
                  <c:v>14689</c:v>
                </c:pt>
                <c:pt idx="8">
                  <c:v>14878</c:v>
                </c:pt>
                <c:pt idx="9">
                  <c:v>14736</c:v>
                </c:pt>
                <c:pt idx="10">
                  <c:v>15621</c:v>
                </c:pt>
                <c:pt idx="11">
                  <c:v>11835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A-4EB6-AE5D-81DCF36EA496}"/>
            </c:ext>
          </c:extLst>
        </c:ser>
        <c:ser>
          <c:idx val="1"/>
          <c:order val="1"/>
          <c:tx>
            <c:v>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Sales'!$R$70:$AC$70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Sales'!$R$73:$AC$73</c:f>
              <c:numCache>
                <c:formatCode>General</c:formatCode>
                <c:ptCount val="12"/>
                <c:pt idx="0">
                  <c:v>12481</c:v>
                </c:pt>
                <c:pt idx="1">
                  <c:v>9541</c:v>
                </c:pt>
                <c:pt idx="2">
                  <c:v>15997</c:v>
                </c:pt>
                <c:pt idx="3">
                  <c:v>10177</c:v>
                </c:pt>
                <c:pt idx="4">
                  <c:v>13354</c:v>
                </c:pt>
                <c:pt idx="5">
                  <c:v>23560</c:v>
                </c:pt>
                <c:pt idx="6">
                  <c:v>6202</c:v>
                </c:pt>
                <c:pt idx="7" formatCode="_(* #,##0_);_(* \(#,##0\);_(* &quot;-&quot;??_);_(@_)">
                  <c:v>9808</c:v>
                </c:pt>
                <c:pt idx="8">
                  <c:v>10909</c:v>
                </c:pt>
                <c:pt idx="9">
                  <c:v>12944</c:v>
                </c:pt>
                <c:pt idx="10">
                  <c:v>14519</c:v>
                </c:pt>
                <c:pt idx="11">
                  <c:v>9768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FA-4EB6-AE5D-81DCF36EA496}"/>
            </c:ext>
          </c:extLst>
        </c:ser>
        <c:ser>
          <c:idx val="2"/>
          <c:order val="2"/>
          <c:tx>
            <c:v>2024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Sales'!$R$70:$AC$70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Sales'!$R$74:$AC$74</c:f>
              <c:numCache>
                <c:formatCode>General</c:formatCode>
                <c:ptCount val="12"/>
                <c:pt idx="0">
                  <c:v>12649</c:v>
                </c:pt>
                <c:pt idx="1">
                  <c:v>9663</c:v>
                </c:pt>
                <c:pt idx="2" formatCode="_(* #,##0_);_(* \(#,##0\);_(* &quot;-&quot;??_);_(@_)">
                  <c:v>11616</c:v>
                </c:pt>
                <c:pt idx="3">
                  <c:v>9238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 formatCode="_(* #,##0_);_(* \(#,##0\);_(* &quot;-&quot;??_);_(@_)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FA-4EB6-AE5D-81DCF36EA4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6301208"/>
        <c:axId val="696310392"/>
      </c:barChart>
      <c:catAx>
        <c:axId val="696301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6310392"/>
        <c:crosses val="autoZero"/>
        <c:auto val="1"/>
        <c:lblAlgn val="ctr"/>
        <c:lblOffset val="100"/>
        <c:noMultiLvlLbl val="0"/>
      </c:catAx>
      <c:valAx>
        <c:axId val="696310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96301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NZ"/>
              <a:t>Cumulative</a:t>
            </a:r>
            <a:r>
              <a:rPr lang="en-NZ" baseline="0"/>
              <a:t> Totals Comparison 2022 to 2024</a:t>
            </a:r>
            <a:endParaRPr lang="en-N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6.7300903474946563E-2"/>
          <c:y val="0.11721084864391951"/>
          <c:w val="0.91873366344670837"/>
          <c:h val="0.67888259548132979"/>
        </c:manualLayout>
      </c:layout>
      <c:barChart>
        <c:barDir val="col"/>
        <c:grouping val="clustered"/>
        <c:varyColors val="0"/>
        <c:ser>
          <c:idx val="0"/>
          <c:order val="0"/>
          <c:tx>
            <c:v>2022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Sales'!$R$75:$AC$76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Sales'!$R$78:$AC$78</c:f>
              <c:numCache>
                <c:formatCode>General</c:formatCode>
                <c:ptCount val="12"/>
                <c:pt idx="0">
                  <c:v>13479</c:v>
                </c:pt>
                <c:pt idx="1">
                  <c:v>25980</c:v>
                </c:pt>
                <c:pt idx="2">
                  <c:v>46984</c:v>
                </c:pt>
                <c:pt idx="3">
                  <c:v>56718</c:v>
                </c:pt>
                <c:pt idx="4">
                  <c:v>70055</c:v>
                </c:pt>
                <c:pt idx="5">
                  <c:v>82104</c:v>
                </c:pt>
                <c:pt idx="6">
                  <c:v>93205</c:v>
                </c:pt>
                <c:pt idx="7">
                  <c:v>107894</c:v>
                </c:pt>
                <c:pt idx="8">
                  <c:v>122772</c:v>
                </c:pt>
                <c:pt idx="9">
                  <c:v>137508</c:v>
                </c:pt>
                <c:pt idx="10">
                  <c:v>153129</c:v>
                </c:pt>
                <c:pt idx="11">
                  <c:v>164964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77-4671-B330-618F580830F5}"/>
            </c:ext>
          </c:extLst>
        </c:ser>
        <c:ser>
          <c:idx val="1"/>
          <c:order val="1"/>
          <c:tx>
            <c:v>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Sales'!$R$75:$AC$76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Sales'!$R$79:$AC$79</c:f>
              <c:numCache>
                <c:formatCode>_(* #,##0_);_(* \(#,##0\);_(* "-"??_);_(@_)</c:formatCode>
                <c:ptCount val="12"/>
                <c:pt idx="0" formatCode="General">
                  <c:v>12481</c:v>
                </c:pt>
                <c:pt idx="1">
                  <c:v>22022</c:v>
                </c:pt>
                <c:pt idx="2">
                  <c:v>38019</c:v>
                </c:pt>
                <c:pt idx="3">
                  <c:v>48196</c:v>
                </c:pt>
                <c:pt idx="4">
                  <c:v>61550</c:v>
                </c:pt>
                <c:pt idx="5" formatCode="0">
                  <c:v>85110</c:v>
                </c:pt>
                <c:pt idx="6" formatCode="0">
                  <c:v>91312</c:v>
                </c:pt>
                <c:pt idx="7" formatCode="0">
                  <c:v>101120</c:v>
                </c:pt>
                <c:pt idx="8" formatCode="0">
                  <c:v>112029</c:v>
                </c:pt>
                <c:pt idx="9" formatCode="0">
                  <c:v>124973</c:v>
                </c:pt>
                <c:pt idx="10" formatCode="0">
                  <c:v>139492</c:v>
                </c:pt>
                <c:pt idx="11" formatCode="0">
                  <c:v>149260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C77-4671-B330-618F580830F5}"/>
            </c:ext>
          </c:extLst>
        </c:ser>
        <c:ser>
          <c:idx val="2"/>
          <c:order val="2"/>
          <c:tx>
            <c:v>2024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'Total Monthly New Vehicle Sales'!$R$75:$AC$76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</c:v>
                </c:pt>
                <c:pt idx="8">
                  <c:v>Sept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'Total Monthly New Vehicle Sales'!$R$80:$AC$80</c:f>
              <c:numCache>
                <c:formatCode>_(* #,##0_);_(* \(#,##0\);_(* "-"??_);_(@_)</c:formatCode>
                <c:ptCount val="12"/>
                <c:pt idx="0" formatCode="General">
                  <c:v>12649</c:v>
                </c:pt>
                <c:pt idx="1">
                  <c:v>22312</c:v>
                </c:pt>
                <c:pt idx="2">
                  <c:v>33928</c:v>
                </c:pt>
                <c:pt idx="3">
                  <c:v>43166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C77-4671-B330-618F580830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4194744"/>
        <c:axId val="704188840"/>
      </c:barChart>
      <c:catAx>
        <c:axId val="704194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4188840"/>
        <c:crosses val="autoZero"/>
        <c:auto val="1"/>
        <c:lblAlgn val="ctr"/>
        <c:lblOffset val="100"/>
        <c:noMultiLvlLbl val="0"/>
      </c:catAx>
      <c:valAx>
        <c:axId val="7041888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4194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MIA Letterhead 05-23.dotx</Template>
  <TotalTime>351</TotalTime>
  <Pages>5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 Design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Wiley</dc:creator>
  <cp:keywords/>
  <dc:description/>
  <cp:lastModifiedBy>Mark Stockdale</cp:lastModifiedBy>
  <cp:revision>20</cp:revision>
  <cp:lastPrinted>2024-03-04T23:22:00Z</cp:lastPrinted>
  <dcterms:created xsi:type="dcterms:W3CDTF">2024-04-30T03:55:00Z</dcterms:created>
  <dcterms:modified xsi:type="dcterms:W3CDTF">2024-05-02T20:38:00Z</dcterms:modified>
</cp:coreProperties>
</file>