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D72" w14:textId="1E3C89FE" w:rsidR="002132E7" w:rsidRPr="00EB7CE5" w:rsidRDefault="006C5A9F" w:rsidP="00AC3459">
      <w:pPr>
        <w:spacing w:after="0" w:line="240" w:lineRule="auto"/>
        <w:rPr>
          <w:rStyle w:val="s6"/>
          <w:rFonts w:ascii="Yu Gothic" w:eastAsia="Yu Gothic" w:hAnsi="Yu Gothic" w:cs="Tahoma"/>
          <w:b/>
          <w:sz w:val="24"/>
          <w:szCs w:val="24"/>
        </w:rPr>
      </w:pPr>
      <w:r w:rsidRPr="00EB7CE5">
        <w:rPr>
          <w:rFonts w:ascii="Yu Gothic" w:eastAsia="Yu Gothic" w:hAnsi="Yu Gothic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AFDD657" wp14:editId="7CAD5EB6">
                <wp:simplePos x="0" y="0"/>
                <wp:positionH relativeFrom="margin">
                  <wp:posOffset>4103181</wp:posOffset>
                </wp:positionH>
                <wp:positionV relativeFrom="paragraph">
                  <wp:posOffset>-700405</wp:posOffset>
                </wp:positionV>
                <wp:extent cx="2763520" cy="5486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418C8" w14:textId="17E25391" w:rsidR="00DE2050" w:rsidRPr="006C5A9F" w:rsidRDefault="00006D00" w:rsidP="003B79CB">
                            <w:pPr>
                              <w:spacing w:after="120" w:line="240" w:lineRule="exact"/>
                              <w:jc w:val="right"/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</w:pPr>
                            <w:r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 xml:space="preserve">Paris, </w:t>
                            </w:r>
                            <w:r w:rsidR="00361D77"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2</w:t>
                            </w:r>
                            <w:r w:rsidR="00267192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2 May</w:t>
                            </w:r>
                            <w:r w:rsidR="002660F8"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DE2050"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202</w:t>
                            </w:r>
                            <w:r w:rsidR="002660F8"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76B79369" w14:textId="4996A731" w:rsidR="00DE2050" w:rsidRPr="006C5A9F" w:rsidRDefault="00DE2050" w:rsidP="003B79CB">
                            <w:pPr>
                              <w:spacing w:after="120" w:line="240" w:lineRule="exact"/>
                              <w:jc w:val="right"/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</w:pPr>
                            <w:r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 xml:space="preserve">Reference period: </w:t>
                            </w:r>
                            <w:r w:rsidR="00267192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1</w:t>
                            </w:r>
                            <w:r w:rsidR="00267192">
                              <w:rPr>
                                <w:rFonts w:ascii="Yu Gothic" w:eastAsia="Yu Gothic" w:hAnsi="Yu Gothic" w:cs="Arial"/>
                                <w:color w:val="FFFFFF" w:themeColor="background1"/>
                                <w:vertAlign w:val="superscript"/>
                              </w:rPr>
                              <w:t>st</w:t>
                            </w:r>
                            <w:r w:rsidR="00F0060D"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  <w:vertAlign w:val="superscript"/>
                              </w:rPr>
                              <w:t xml:space="preserve"> </w:t>
                            </w:r>
                            <w:r w:rsidRPr="006C5A9F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Quarter 202</w:t>
                            </w:r>
                            <w:r w:rsidR="00267192">
                              <w:rPr>
                                <w:rFonts w:ascii="Yu Gothic" w:eastAsia="Yu Gothic" w:hAnsi="Yu Gothic" w:cs="Arial"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DD6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1pt;margin-top:-55.15pt;width:217.6pt;height:43.2pt;z-index:-251612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" filled="f" stroked="f">
                <v:textbox style="mso-fit-shape-to-text:t">
                  <w:txbxContent>
                    <w:p w14:paraId="508418C8" w14:textId="17E25391" w:rsidR="00DE2050" w:rsidRPr="006C5A9F" w:rsidRDefault="00006D00" w:rsidP="003B79CB">
                      <w:pPr>
                        <w:spacing w:after="120" w:line="240" w:lineRule="exact"/>
                        <w:jc w:val="right"/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</w:pPr>
                      <w:r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 xml:space="preserve">Paris, </w:t>
                      </w:r>
                      <w:r w:rsidR="00361D77"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2</w:t>
                      </w:r>
                      <w:r w:rsidR="00267192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2 May</w:t>
                      </w:r>
                      <w:r w:rsidR="002660F8"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 xml:space="preserve"> </w:t>
                      </w:r>
                      <w:r w:rsidR="00DE2050"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202</w:t>
                      </w:r>
                      <w:r w:rsidR="002660F8"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5</w:t>
                      </w:r>
                    </w:p>
                    <w:p w14:paraId="76B79369" w14:textId="4996A731" w:rsidR="00DE2050" w:rsidRPr="006C5A9F" w:rsidRDefault="00DE2050" w:rsidP="003B79CB">
                      <w:pPr>
                        <w:spacing w:after="120" w:line="240" w:lineRule="exact"/>
                        <w:jc w:val="right"/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</w:pPr>
                      <w:r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 xml:space="preserve">Reference period: </w:t>
                      </w:r>
                      <w:r w:rsidR="00267192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1</w:t>
                      </w:r>
                      <w:r w:rsidR="00267192">
                        <w:rPr>
                          <w:rFonts w:ascii="Yu Gothic" w:eastAsia="Yu Gothic" w:hAnsi="Yu Gothic" w:cs="Arial"/>
                          <w:color w:val="FFFFFF" w:themeColor="background1"/>
                          <w:vertAlign w:val="superscript"/>
                        </w:rPr>
                        <w:t>st</w:t>
                      </w:r>
                      <w:r w:rsidR="00F0060D" w:rsidRPr="006C5A9F">
                        <w:rPr>
                          <w:rFonts w:ascii="Yu Gothic" w:eastAsia="Yu Gothic" w:hAnsi="Yu Gothic" w:cs="Arial"/>
                          <w:color w:val="FFFFFF" w:themeColor="background1"/>
                          <w:vertAlign w:val="superscript"/>
                        </w:rPr>
                        <w:t xml:space="preserve"> </w:t>
                      </w:r>
                      <w:r w:rsidRPr="006C5A9F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Quarter 202</w:t>
                      </w:r>
                      <w:r w:rsidR="00267192">
                        <w:rPr>
                          <w:rFonts w:ascii="Yu Gothic" w:eastAsia="Yu Gothic" w:hAnsi="Yu Gothic" w:cs="Arial"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666">
        <w:rPr>
          <w:rStyle w:val="s6"/>
          <w:rFonts w:ascii="Yu Gothic" w:eastAsia="Yu Gothic" w:hAnsi="Yu Gothic" w:cs="Tahoma"/>
          <w:b/>
          <w:sz w:val="24"/>
          <w:szCs w:val="24"/>
        </w:rPr>
        <w:t xml:space="preserve">OECD GDP growth </w:t>
      </w:r>
      <w:r w:rsidR="00C50FB3">
        <w:rPr>
          <w:rStyle w:val="s6"/>
          <w:rFonts w:ascii="Yu Gothic" w:eastAsia="Yu Gothic" w:hAnsi="Yu Gothic" w:cs="Tahoma"/>
          <w:b/>
          <w:sz w:val="24"/>
          <w:szCs w:val="24"/>
        </w:rPr>
        <w:t xml:space="preserve">slows </w:t>
      </w:r>
      <w:r w:rsidR="001F36F2" w:rsidRPr="001F36F2">
        <w:rPr>
          <w:rStyle w:val="s6"/>
          <w:rFonts w:ascii="Yu Gothic" w:eastAsia="Yu Gothic" w:hAnsi="Yu Gothic" w:cs="Tahoma"/>
          <w:b/>
          <w:sz w:val="24"/>
          <w:szCs w:val="24"/>
        </w:rPr>
        <w:t>abruptly</w:t>
      </w:r>
      <w:r w:rsidR="00D00A8E">
        <w:rPr>
          <w:rStyle w:val="s6"/>
          <w:rFonts w:ascii="Yu Gothic" w:eastAsia="Yu Gothic" w:hAnsi="Yu Gothic" w:cs="Tahoma"/>
          <w:b/>
          <w:sz w:val="24"/>
          <w:szCs w:val="24"/>
        </w:rPr>
        <w:t xml:space="preserve"> </w:t>
      </w:r>
      <w:r w:rsidR="008103A2">
        <w:rPr>
          <w:rStyle w:val="s6"/>
          <w:rFonts w:ascii="Yu Gothic" w:eastAsia="Yu Gothic" w:hAnsi="Yu Gothic" w:cs="Tahoma"/>
          <w:b/>
          <w:sz w:val="24"/>
          <w:szCs w:val="24"/>
        </w:rPr>
        <w:t xml:space="preserve">to 0.1% </w:t>
      </w:r>
      <w:r w:rsidR="00AC3459" w:rsidRPr="00EB7CE5">
        <w:rPr>
          <w:rStyle w:val="s6"/>
          <w:rFonts w:ascii="Yu Gothic" w:eastAsia="Yu Gothic" w:hAnsi="Yu Gothic" w:cs="Tahoma"/>
          <w:b/>
          <w:sz w:val="24"/>
          <w:szCs w:val="24"/>
        </w:rPr>
        <w:t xml:space="preserve">in the </w:t>
      </w:r>
      <w:r w:rsidR="00267192">
        <w:rPr>
          <w:rStyle w:val="s6"/>
          <w:rFonts w:ascii="Yu Gothic" w:eastAsia="Yu Gothic" w:hAnsi="Yu Gothic" w:cs="Tahoma"/>
          <w:b/>
          <w:sz w:val="24"/>
          <w:szCs w:val="24"/>
        </w:rPr>
        <w:t>first</w:t>
      </w:r>
      <w:r w:rsidR="00AC3459" w:rsidRPr="00EB7CE5">
        <w:rPr>
          <w:rStyle w:val="s6"/>
          <w:rFonts w:ascii="Yu Gothic" w:eastAsia="Yu Gothic" w:hAnsi="Yu Gothic" w:cs="Tahoma"/>
          <w:b/>
          <w:sz w:val="24"/>
          <w:szCs w:val="24"/>
        </w:rPr>
        <w:t xml:space="preserve"> quarter of </w:t>
      </w:r>
      <w:r w:rsidR="00CB618A" w:rsidRPr="00EB7CE5">
        <w:rPr>
          <w:rStyle w:val="s6"/>
          <w:rFonts w:ascii="Yu Gothic" w:eastAsia="Yu Gothic" w:hAnsi="Yu Gothic" w:cs="Tahoma"/>
          <w:b/>
          <w:sz w:val="24"/>
          <w:szCs w:val="24"/>
        </w:rPr>
        <w:t>202</w:t>
      </w:r>
      <w:r w:rsidR="0041349A">
        <w:rPr>
          <w:rStyle w:val="s6"/>
          <w:rFonts w:ascii="Yu Gothic" w:eastAsia="Yu Gothic" w:hAnsi="Yu Gothic" w:cs="Tahoma"/>
          <w:b/>
          <w:sz w:val="24"/>
          <w:szCs w:val="24"/>
        </w:rPr>
        <w:t>5</w:t>
      </w:r>
      <w:r w:rsidR="00641EAB" w:rsidRPr="00EB7CE5">
        <w:rPr>
          <w:rStyle w:val="s6"/>
          <w:rFonts w:ascii="Yu Gothic" w:eastAsia="Yu Gothic" w:hAnsi="Yu Gothic" w:cs="Tahoma"/>
          <w:b/>
          <w:sz w:val="24"/>
          <w:szCs w:val="24"/>
        </w:rPr>
        <w:t xml:space="preserve"> </w:t>
      </w:r>
    </w:p>
    <w:p w14:paraId="1FAC46A8" w14:textId="2B047F77" w:rsidR="003B79CB" w:rsidRPr="007D450A" w:rsidRDefault="00B4093D" w:rsidP="00AC3459">
      <w:pPr>
        <w:spacing w:after="0" w:line="240" w:lineRule="auto"/>
        <w:rPr>
          <w:rFonts w:ascii="Yu Gothic Medium" w:eastAsia="Yu Gothic Medium" w:hAnsi="Yu Gothic Medium"/>
          <w:sz w:val="12"/>
        </w:rPr>
      </w:pPr>
      <w:r>
        <w:pict w14:anchorId="62A0DE7C">
          <v:rect id="_x0000_i1025" style="width:523.3pt;height:1.5pt;mso-position-horizontal:absolute" o:hralign="center" o:hrstd="t" o:hrnoshade="t" o:hr="t" fillcolor="#101d40" stroked="f"/>
        </w:pict>
      </w:r>
    </w:p>
    <w:p w14:paraId="2F1F5028" w14:textId="77777777" w:rsidR="003B79CB" w:rsidRPr="007D450A" w:rsidRDefault="003B79CB" w:rsidP="003B79CB">
      <w:pPr>
        <w:spacing w:after="0" w:line="192" w:lineRule="auto"/>
        <w:rPr>
          <w:rFonts w:ascii="Yu Gothic" w:eastAsia="Yu Gothic" w:hAnsi="Yu Gothic"/>
          <w:sz w:val="12"/>
        </w:rPr>
        <w:sectPr w:rsidR="003B79CB" w:rsidRPr="007D450A" w:rsidSect="00870105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FFAA31" w14:textId="5402C0EC" w:rsidR="00845484" w:rsidRPr="00845484" w:rsidRDefault="00845484" w:rsidP="00E87611">
      <w:pPr>
        <w:spacing w:after="120" w:line="192" w:lineRule="auto"/>
        <w:jc w:val="both"/>
        <w:rPr>
          <w:rFonts w:ascii="Yu Gothic" w:eastAsia="Yu Gothic" w:hAnsi="Yu Gothic"/>
          <w:b/>
          <w:sz w:val="4"/>
          <w:szCs w:val="4"/>
        </w:rPr>
      </w:pPr>
    </w:p>
    <w:p w14:paraId="66C1CA65" w14:textId="7F8BE50F" w:rsidR="001F1435" w:rsidRPr="004473AE" w:rsidRDefault="001F1435" w:rsidP="00675497">
      <w:pPr>
        <w:spacing w:after="80" w:line="192" w:lineRule="auto"/>
        <w:jc w:val="both"/>
        <w:rPr>
          <w:rFonts w:ascii="Yu Gothic" w:eastAsia="Yu Gothic" w:hAnsi="Yu Gothic"/>
          <w:bCs/>
          <w:sz w:val="18"/>
          <w:szCs w:val="18"/>
        </w:rPr>
      </w:pPr>
      <w:bookmarkStart w:id="0" w:name="_Hlk166841721"/>
      <w:r w:rsidRPr="00DC6FFD">
        <w:rPr>
          <w:rFonts w:ascii="Yu Gothic" w:eastAsia="Yu Gothic" w:hAnsi="Yu Gothic"/>
          <w:b/>
          <w:sz w:val="18"/>
          <w:szCs w:val="18"/>
        </w:rPr>
        <w:t xml:space="preserve">Gross domestic product (GDP) in the </w:t>
      </w:r>
      <w:r w:rsidRPr="004473AE">
        <w:rPr>
          <w:rFonts w:ascii="Yu Gothic" w:eastAsia="Yu Gothic" w:hAnsi="Yu Gothic"/>
          <w:b/>
          <w:sz w:val="18"/>
          <w:szCs w:val="18"/>
        </w:rPr>
        <w:t>OECD</w:t>
      </w:r>
      <w:r w:rsidR="003B73C8" w:rsidRPr="004473AE">
        <w:rPr>
          <w:rFonts w:ascii="Yu Gothic" w:eastAsia="Yu Gothic" w:hAnsi="Yu Gothic"/>
          <w:b/>
          <w:sz w:val="18"/>
          <w:szCs w:val="18"/>
        </w:rPr>
        <w:t xml:space="preserve"> </w:t>
      </w:r>
      <w:r w:rsidRPr="009911D6">
        <w:rPr>
          <w:rFonts w:ascii="Yu Gothic" w:eastAsia="Yu Gothic" w:hAnsi="Yu Gothic"/>
          <w:b/>
          <w:sz w:val="18"/>
          <w:szCs w:val="18"/>
        </w:rPr>
        <w:t xml:space="preserve">rose by </w:t>
      </w:r>
      <w:r w:rsidR="00E97C1F">
        <w:rPr>
          <w:rFonts w:ascii="Yu Gothic" w:eastAsia="Yu Gothic" w:hAnsi="Yu Gothic"/>
          <w:b/>
          <w:sz w:val="18"/>
          <w:szCs w:val="18"/>
        </w:rPr>
        <w:t xml:space="preserve">just </w:t>
      </w:r>
      <w:r w:rsidRPr="009911D6">
        <w:rPr>
          <w:rFonts w:ascii="Yu Gothic" w:eastAsia="Yu Gothic" w:hAnsi="Yu Gothic"/>
          <w:b/>
          <w:sz w:val="18"/>
          <w:szCs w:val="18"/>
        </w:rPr>
        <w:t>0.</w:t>
      </w:r>
      <w:r w:rsidR="009911D6" w:rsidRPr="009911D6">
        <w:rPr>
          <w:rFonts w:ascii="Yu Gothic" w:eastAsia="Yu Gothic" w:hAnsi="Yu Gothic"/>
          <w:b/>
          <w:sz w:val="18"/>
          <w:szCs w:val="18"/>
        </w:rPr>
        <w:t>1</w:t>
      </w:r>
      <w:r w:rsidRPr="009911D6">
        <w:rPr>
          <w:rFonts w:ascii="Yu Gothic" w:eastAsia="Yu Gothic" w:hAnsi="Yu Gothic"/>
          <w:b/>
          <w:sz w:val="18"/>
          <w:szCs w:val="18"/>
        </w:rPr>
        <w:t xml:space="preserve">% in </w:t>
      </w:r>
      <w:r w:rsidR="00E32580" w:rsidRPr="009911D6">
        <w:rPr>
          <w:rFonts w:ascii="Yu Gothic" w:eastAsia="Yu Gothic" w:hAnsi="Yu Gothic"/>
          <w:b/>
          <w:sz w:val="18"/>
          <w:szCs w:val="18"/>
        </w:rPr>
        <w:t xml:space="preserve">the </w:t>
      </w:r>
      <w:r w:rsidR="00267192" w:rsidRPr="009911D6">
        <w:rPr>
          <w:rFonts w:ascii="Yu Gothic" w:eastAsia="Yu Gothic" w:hAnsi="Yu Gothic"/>
          <w:b/>
          <w:sz w:val="18"/>
          <w:szCs w:val="18"/>
        </w:rPr>
        <w:t>first</w:t>
      </w:r>
      <w:r w:rsidR="00E32580" w:rsidRPr="009911D6">
        <w:rPr>
          <w:rFonts w:ascii="Yu Gothic" w:eastAsia="Yu Gothic" w:hAnsi="Yu Gothic"/>
          <w:b/>
          <w:sz w:val="18"/>
          <w:szCs w:val="18"/>
        </w:rPr>
        <w:t xml:space="preserve"> quarter of 202</w:t>
      </w:r>
      <w:r w:rsidR="009911D6" w:rsidRPr="009911D6">
        <w:rPr>
          <w:rFonts w:ascii="Yu Gothic" w:eastAsia="Yu Gothic" w:hAnsi="Yu Gothic"/>
          <w:b/>
          <w:sz w:val="18"/>
          <w:szCs w:val="18"/>
        </w:rPr>
        <w:t>5</w:t>
      </w:r>
      <w:r w:rsidRPr="009911D6">
        <w:rPr>
          <w:rFonts w:ascii="Yu Gothic" w:eastAsia="Yu Gothic" w:hAnsi="Yu Gothic"/>
          <w:b/>
          <w:sz w:val="18"/>
          <w:szCs w:val="18"/>
        </w:rPr>
        <w:t xml:space="preserve">, </w:t>
      </w:r>
      <w:r w:rsidR="009911D6" w:rsidRPr="009911D6">
        <w:rPr>
          <w:rFonts w:ascii="Yu Gothic" w:eastAsia="Yu Gothic" w:hAnsi="Yu Gothic"/>
          <w:b/>
          <w:sz w:val="18"/>
          <w:szCs w:val="18"/>
        </w:rPr>
        <w:t>significantly</w:t>
      </w:r>
      <w:r w:rsidR="000D07BC" w:rsidRPr="009911D6">
        <w:rPr>
          <w:rFonts w:ascii="Yu Gothic" w:eastAsia="Yu Gothic" w:hAnsi="Yu Gothic"/>
          <w:b/>
          <w:sz w:val="18"/>
          <w:szCs w:val="18"/>
        </w:rPr>
        <w:t xml:space="preserve"> </w:t>
      </w:r>
      <w:r w:rsidR="00C50FB3" w:rsidRPr="009911D6">
        <w:rPr>
          <w:rFonts w:ascii="Yu Gothic" w:eastAsia="Yu Gothic" w:hAnsi="Yu Gothic"/>
          <w:b/>
          <w:sz w:val="18"/>
          <w:szCs w:val="18"/>
        </w:rPr>
        <w:t>down</w:t>
      </w:r>
      <w:r w:rsidR="000D07BC" w:rsidRPr="009911D6">
        <w:rPr>
          <w:rFonts w:ascii="Yu Gothic" w:eastAsia="Yu Gothic" w:hAnsi="Yu Gothic"/>
          <w:b/>
          <w:sz w:val="18"/>
          <w:szCs w:val="18"/>
        </w:rPr>
        <w:t xml:space="preserve"> from </w:t>
      </w:r>
      <w:r w:rsidR="00E97C1F">
        <w:rPr>
          <w:rFonts w:ascii="Yu Gothic" w:eastAsia="Yu Gothic" w:hAnsi="Yu Gothic"/>
          <w:b/>
          <w:sz w:val="18"/>
          <w:szCs w:val="18"/>
        </w:rPr>
        <w:t xml:space="preserve">an </w:t>
      </w:r>
      <w:r w:rsidR="000D07BC" w:rsidRPr="009911D6">
        <w:rPr>
          <w:rFonts w:ascii="Yu Gothic" w:eastAsia="Yu Gothic" w:hAnsi="Yu Gothic"/>
          <w:b/>
          <w:sz w:val="18"/>
          <w:szCs w:val="18"/>
        </w:rPr>
        <w:t>0.</w:t>
      </w:r>
      <w:r w:rsidR="00C50FB3" w:rsidRPr="009911D6">
        <w:rPr>
          <w:rFonts w:ascii="Yu Gothic" w:eastAsia="Yu Gothic" w:hAnsi="Yu Gothic"/>
          <w:b/>
          <w:sz w:val="18"/>
          <w:szCs w:val="18"/>
        </w:rPr>
        <w:t>5</w:t>
      </w:r>
      <w:r w:rsidR="000D07BC" w:rsidRPr="009911D6">
        <w:rPr>
          <w:rFonts w:ascii="Yu Gothic" w:eastAsia="Yu Gothic" w:hAnsi="Yu Gothic"/>
          <w:b/>
          <w:sz w:val="18"/>
          <w:szCs w:val="18"/>
        </w:rPr>
        <w:t>%</w:t>
      </w:r>
      <w:r w:rsidR="00E97C1F">
        <w:rPr>
          <w:rFonts w:ascii="Yu Gothic" w:eastAsia="Yu Gothic" w:hAnsi="Yu Gothic"/>
          <w:b/>
          <w:sz w:val="18"/>
          <w:szCs w:val="18"/>
        </w:rPr>
        <w:t xml:space="preserve"> rise</w:t>
      </w:r>
      <w:r w:rsidR="000D07BC">
        <w:rPr>
          <w:rFonts w:ascii="Yu Gothic" w:eastAsia="Yu Gothic" w:hAnsi="Yu Gothic"/>
          <w:bCs/>
          <w:sz w:val="18"/>
          <w:szCs w:val="18"/>
        </w:rPr>
        <w:t xml:space="preserve"> in the</w:t>
      </w:r>
      <w:r w:rsidR="003500E6" w:rsidRPr="004473AE">
        <w:rPr>
          <w:rFonts w:ascii="Yu Gothic" w:eastAsia="Yu Gothic" w:hAnsi="Yu Gothic"/>
          <w:bCs/>
          <w:sz w:val="18"/>
          <w:szCs w:val="18"/>
        </w:rPr>
        <w:t xml:space="preserve"> </w:t>
      </w:r>
      <w:r w:rsidRPr="004473AE">
        <w:rPr>
          <w:rFonts w:ascii="Yu Gothic" w:eastAsia="Yu Gothic" w:hAnsi="Yu Gothic"/>
          <w:bCs/>
          <w:sz w:val="18"/>
          <w:szCs w:val="18"/>
        </w:rPr>
        <w:t>previous quarter</w:t>
      </w:r>
      <w:r w:rsidR="00C06E49">
        <w:rPr>
          <w:rFonts w:ascii="Yu Gothic" w:eastAsia="Yu Gothic" w:hAnsi="Yu Gothic"/>
          <w:bCs/>
          <w:sz w:val="18"/>
          <w:szCs w:val="18"/>
        </w:rPr>
        <w:t>,</w:t>
      </w:r>
      <w:r w:rsidRPr="004473AE">
        <w:rPr>
          <w:rFonts w:ascii="Yu Gothic" w:eastAsia="Yu Gothic" w:hAnsi="Yu Gothic"/>
          <w:bCs/>
          <w:sz w:val="18"/>
          <w:szCs w:val="18"/>
        </w:rPr>
        <w:t xml:space="preserve"> according to provisional estimates (</w:t>
      </w:r>
      <w:r w:rsidRPr="004473AE">
        <w:rPr>
          <w:rFonts w:ascii="Yu Gothic" w:eastAsia="Yu Gothic" w:hAnsi="Yu Gothic"/>
          <w:b/>
          <w:sz w:val="18"/>
          <w:szCs w:val="18"/>
        </w:rPr>
        <w:t>Figure 1</w:t>
      </w:r>
      <w:r w:rsidRPr="004473AE">
        <w:rPr>
          <w:rFonts w:ascii="Yu Gothic" w:eastAsia="Yu Gothic" w:hAnsi="Yu Gothic"/>
          <w:bCs/>
          <w:sz w:val="18"/>
          <w:szCs w:val="18"/>
        </w:rPr>
        <w:t>).</w:t>
      </w:r>
      <w:r w:rsidR="00C50FB3">
        <w:rPr>
          <w:sz w:val="18"/>
          <w:szCs w:val="18"/>
        </w:rPr>
        <w:t xml:space="preserve"> </w:t>
      </w:r>
      <w:r w:rsidR="009911D6" w:rsidRPr="009911D6">
        <w:rPr>
          <w:rFonts w:ascii="Yu Gothic" w:eastAsia="Yu Gothic" w:hAnsi="Yu Gothic"/>
          <w:b/>
          <w:sz w:val="18"/>
          <w:szCs w:val="18"/>
        </w:rPr>
        <w:t xml:space="preserve">This figure </w:t>
      </w:r>
      <w:r w:rsidR="008103A2">
        <w:rPr>
          <w:rFonts w:ascii="Yu Gothic" w:eastAsia="Yu Gothic" w:hAnsi="Yu Gothic"/>
          <w:b/>
          <w:sz w:val="18"/>
          <w:szCs w:val="18"/>
        </w:rPr>
        <w:t>represents a departure from the</w:t>
      </w:r>
      <w:r w:rsidR="009911D6" w:rsidRPr="009911D6">
        <w:rPr>
          <w:rFonts w:ascii="Yu Gothic" w:eastAsia="Yu Gothic" w:hAnsi="Yu Gothic"/>
          <w:b/>
          <w:sz w:val="18"/>
          <w:szCs w:val="18"/>
        </w:rPr>
        <w:t xml:space="preserve"> higher and relatively stable growth</w:t>
      </w:r>
      <w:r w:rsidR="00C50FB3" w:rsidRPr="009911D6">
        <w:rPr>
          <w:rFonts w:ascii="Yu Gothic" w:eastAsia="Yu Gothic" w:hAnsi="Yu Gothic"/>
          <w:b/>
          <w:sz w:val="18"/>
          <w:szCs w:val="18"/>
        </w:rPr>
        <w:t xml:space="preserve"> rates </w:t>
      </w:r>
      <w:r w:rsidR="009911D6" w:rsidRPr="009911D6">
        <w:rPr>
          <w:rFonts w:ascii="Yu Gothic" w:eastAsia="Yu Gothic" w:hAnsi="Yu Gothic"/>
          <w:b/>
          <w:sz w:val="18"/>
          <w:szCs w:val="18"/>
        </w:rPr>
        <w:t>recorded</w:t>
      </w:r>
      <w:r w:rsidR="00C50FB3" w:rsidRPr="009911D6">
        <w:rPr>
          <w:rFonts w:ascii="Yu Gothic" w:eastAsia="Yu Gothic" w:hAnsi="Yu Gothic"/>
          <w:b/>
          <w:sz w:val="18"/>
          <w:szCs w:val="18"/>
        </w:rPr>
        <w:t xml:space="preserve"> </w:t>
      </w:r>
      <w:r w:rsidR="00211834">
        <w:rPr>
          <w:rFonts w:ascii="Yu Gothic" w:eastAsia="Yu Gothic" w:hAnsi="Yu Gothic"/>
          <w:b/>
          <w:sz w:val="18"/>
          <w:szCs w:val="18"/>
        </w:rPr>
        <w:t xml:space="preserve">in the </w:t>
      </w:r>
      <w:r w:rsidR="0001291B">
        <w:rPr>
          <w:rFonts w:ascii="Yu Gothic" w:eastAsia="Yu Gothic" w:hAnsi="Yu Gothic"/>
          <w:b/>
          <w:sz w:val="18"/>
          <w:szCs w:val="18"/>
        </w:rPr>
        <w:t>OECD area</w:t>
      </w:r>
      <w:r w:rsidR="00211834">
        <w:rPr>
          <w:rFonts w:ascii="Yu Gothic" w:eastAsia="Yu Gothic" w:hAnsi="Yu Gothic"/>
          <w:b/>
          <w:sz w:val="18"/>
          <w:szCs w:val="18"/>
        </w:rPr>
        <w:t xml:space="preserve"> </w:t>
      </w:r>
      <w:r w:rsidR="00211834" w:rsidRPr="009911D6">
        <w:rPr>
          <w:rFonts w:ascii="Yu Gothic" w:eastAsia="Yu Gothic" w:hAnsi="Yu Gothic"/>
          <w:b/>
          <w:sz w:val="18"/>
          <w:szCs w:val="18"/>
        </w:rPr>
        <w:t>over the past two years</w:t>
      </w:r>
      <w:r w:rsidR="00211834">
        <w:rPr>
          <w:rFonts w:ascii="Yu Gothic" w:eastAsia="Yu Gothic" w:hAnsi="Yu Gothic"/>
          <w:b/>
          <w:sz w:val="18"/>
          <w:szCs w:val="18"/>
        </w:rPr>
        <w:t xml:space="preserve"> </w:t>
      </w:r>
      <w:r w:rsidR="00C50FB3">
        <w:rPr>
          <w:rFonts w:ascii="Yu Gothic" w:eastAsia="Yu Gothic" w:hAnsi="Yu Gothic"/>
          <w:b/>
          <w:sz w:val="18"/>
          <w:szCs w:val="18"/>
        </w:rPr>
        <w:t>(Table 1)</w:t>
      </w:r>
      <w:r w:rsidR="00C50FB3" w:rsidRPr="00DC6FFD">
        <w:rPr>
          <w:rFonts w:ascii="Yu Gothic" w:eastAsia="Yu Gothic" w:hAnsi="Yu Gothic"/>
          <w:bCs/>
          <w:sz w:val="18"/>
          <w:szCs w:val="18"/>
        </w:rPr>
        <w:t>.</w:t>
      </w:r>
    </w:p>
    <w:p w14:paraId="04BE2EDB" w14:textId="0D6C1ACD" w:rsidR="0001291B" w:rsidRDefault="000D07BC" w:rsidP="00AE7687">
      <w:pPr>
        <w:spacing w:after="80" w:line="192" w:lineRule="auto"/>
        <w:jc w:val="both"/>
        <w:rPr>
          <w:rFonts w:ascii="Yu Gothic" w:eastAsia="Yu Gothic" w:hAnsi="Yu Gothic"/>
          <w:bCs/>
          <w:sz w:val="18"/>
          <w:szCs w:val="18"/>
        </w:rPr>
      </w:pPr>
      <w:r w:rsidRPr="001A6EEC">
        <w:rPr>
          <w:rFonts w:ascii="Yu Gothic" w:eastAsia="Yu Gothic" w:hAnsi="Yu Gothic"/>
          <w:b/>
          <w:sz w:val="18"/>
          <w:szCs w:val="18"/>
        </w:rPr>
        <w:t>The</w:t>
      </w:r>
      <w:r>
        <w:rPr>
          <w:rFonts w:ascii="Yu Gothic" w:eastAsia="Yu Gothic" w:hAnsi="Yu Gothic"/>
          <w:bCs/>
          <w:sz w:val="18"/>
          <w:szCs w:val="18"/>
        </w:rPr>
        <w:t xml:space="preserve"> </w:t>
      </w:r>
      <w:r w:rsidR="008B7E25" w:rsidRPr="000D07BC">
        <w:rPr>
          <w:rFonts w:ascii="Yu Gothic" w:eastAsia="Yu Gothic" w:hAnsi="Yu Gothic"/>
          <w:b/>
          <w:sz w:val="18"/>
          <w:szCs w:val="18"/>
        </w:rPr>
        <w:t xml:space="preserve">overall GDP </w:t>
      </w:r>
      <w:r w:rsidR="008B7E25" w:rsidRPr="00E051F8">
        <w:rPr>
          <w:rFonts w:ascii="Yu Gothic" w:eastAsia="Yu Gothic" w:hAnsi="Yu Gothic"/>
          <w:b/>
          <w:sz w:val="18"/>
          <w:szCs w:val="18"/>
        </w:rPr>
        <w:t xml:space="preserve">growth rate </w:t>
      </w:r>
      <w:r w:rsidR="00E051F8" w:rsidRPr="00E051F8">
        <w:rPr>
          <w:rFonts w:ascii="Yu Gothic" w:eastAsia="Yu Gothic" w:hAnsi="Yu Gothic"/>
          <w:b/>
          <w:sz w:val="18"/>
          <w:szCs w:val="18"/>
        </w:rPr>
        <w:t xml:space="preserve">also slowed </w:t>
      </w:r>
      <w:r w:rsidR="00F94931" w:rsidRPr="00E051F8">
        <w:rPr>
          <w:rFonts w:ascii="Yu Gothic" w:eastAsia="Yu Gothic" w:hAnsi="Yu Gothic"/>
          <w:b/>
          <w:sz w:val="18"/>
          <w:szCs w:val="18"/>
        </w:rPr>
        <w:t xml:space="preserve">for the G7 </w:t>
      </w:r>
      <w:r w:rsidR="008B7E25" w:rsidRPr="00E051F8">
        <w:rPr>
          <w:rFonts w:ascii="Yu Gothic" w:eastAsia="Yu Gothic" w:hAnsi="Yu Gothic"/>
          <w:b/>
          <w:sz w:val="18"/>
          <w:szCs w:val="18"/>
        </w:rPr>
        <w:t xml:space="preserve">in </w:t>
      </w:r>
      <w:r w:rsidR="00267192">
        <w:rPr>
          <w:rFonts w:ascii="Yu Gothic" w:eastAsia="Yu Gothic" w:hAnsi="Yu Gothic"/>
          <w:b/>
          <w:sz w:val="18"/>
          <w:szCs w:val="18"/>
        </w:rPr>
        <w:t>Q1</w:t>
      </w:r>
      <w:r w:rsidR="008B7E25" w:rsidRPr="00E051F8">
        <w:rPr>
          <w:rFonts w:ascii="Yu Gothic" w:eastAsia="Yu Gothic" w:hAnsi="Yu Gothic"/>
          <w:b/>
          <w:sz w:val="18"/>
          <w:szCs w:val="18"/>
        </w:rPr>
        <w:t xml:space="preserve"> 202</w:t>
      </w:r>
      <w:r w:rsidR="00267192">
        <w:rPr>
          <w:rFonts w:ascii="Yu Gothic" w:eastAsia="Yu Gothic" w:hAnsi="Yu Gothic"/>
          <w:b/>
          <w:sz w:val="18"/>
          <w:szCs w:val="18"/>
        </w:rPr>
        <w:t>5</w:t>
      </w:r>
      <w:r w:rsidR="008B7E25" w:rsidRPr="00E051F8">
        <w:rPr>
          <w:rFonts w:ascii="Yu Gothic" w:eastAsia="Yu Gothic" w:hAnsi="Yu Gothic"/>
          <w:b/>
          <w:sz w:val="18"/>
          <w:szCs w:val="18"/>
        </w:rPr>
        <w:t>,</w:t>
      </w:r>
      <w:r w:rsidRPr="00E051F8">
        <w:rPr>
          <w:rFonts w:ascii="Yu Gothic" w:eastAsia="Yu Gothic" w:hAnsi="Yu Gothic"/>
          <w:b/>
          <w:sz w:val="18"/>
          <w:szCs w:val="18"/>
        </w:rPr>
        <w:t xml:space="preserve"> </w:t>
      </w:r>
      <w:r w:rsidR="00E051F8" w:rsidRPr="00E051F8">
        <w:rPr>
          <w:rFonts w:ascii="Yu Gothic" w:eastAsia="Yu Gothic" w:hAnsi="Yu Gothic"/>
          <w:b/>
          <w:sz w:val="18"/>
          <w:szCs w:val="18"/>
        </w:rPr>
        <w:t>from 0.</w:t>
      </w:r>
      <w:r w:rsidR="00623F14">
        <w:rPr>
          <w:rFonts w:ascii="Yu Gothic" w:eastAsia="Yu Gothic" w:hAnsi="Yu Gothic"/>
          <w:b/>
          <w:sz w:val="18"/>
          <w:szCs w:val="18"/>
        </w:rPr>
        <w:t>4</w:t>
      </w:r>
      <w:r w:rsidR="00E051F8" w:rsidRPr="00E051F8">
        <w:rPr>
          <w:rFonts w:ascii="Yu Gothic" w:eastAsia="Yu Gothic" w:hAnsi="Yu Gothic"/>
          <w:b/>
          <w:sz w:val="18"/>
          <w:szCs w:val="18"/>
        </w:rPr>
        <w:t>% to 0.</w:t>
      </w:r>
      <w:r w:rsidR="00623F14">
        <w:rPr>
          <w:rFonts w:ascii="Yu Gothic" w:eastAsia="Yu Gothic" w:hAnsi="Yu Gothic"/>
          <w:b/>
          <w:sz w:val="18"/>
          <w:szCs w:val="18"/>
        </w:rPr>
        <w:t>1</w:t>
      </w:r>
      <w:r w:rsidR="00E051F8" w:rsidRPr="00E051F8">
        <w:rPr>
          <w:rFonts w:ascii="Yu Gothic" w:eastAsia="Yu Gothic" w:hAnsi="Yu Gothic"/>
          <w:b/>
          <w:sz w:val="18"/>
          <w:szCs w:val="18"/>
        </w:rPr>
        <w:t>%</w:t>
      </w:r>
      <w:r w:rsidR="00D43996">
        <w:rPr>
          <w:rFonts w:ascii="Yu Gothic" w:eastAsia="Yu Gothic" w:hAnsi="Yu Gothic"/>
          <w:b/>
          <w:sz w:val="18"/>
          <w:szCs w:val="18"/>
        </w:rPr>
        <w:t xml:space="preserve">, </w:t>
      </w:r>
      <w:r w:rsidR="00E340BA" w:rsidRPr="00E051F8">
        <w:rPr>
          <w:rFonts w:ascii="Yu Gothic" w:eastAsia="Yu Gothic" w:hAnsi="Yu Gothic"/>
          <w:b/>
          <w:sz w:val="18"/>
          <w:szCs w:val="18"/>
        </w:rPr>
        <w:t>reflect</w:t>
      </w:r>
      <w:r w:rsidR="00D43996">
        <w:rPr>
          <w:rFonts w:ascii="Yu Gothic" w:eastAsia="Yu Gothic" w:hAnsi="Yu Gothic"/>
          <w:b/>
          <w:sz w:val="18"/>
          <w:szCs w:val="18"/>
        </w:rPr>
        <w:t>ing</w:t>
      </w:r>
      <w:r w:rsidR="00E340BA" w:rsidRPr="00E051F8">
        <w:rPr>
          <w:rFonts w:ascii="Yu Gothic" w:eastAsia="Yu Gothic" w:hAnsi="Yu Gothic"/>
          <w:b/>
          <w:sz w:val="18"/>
          <w:szCs w:val="18"/>
        </w:rPr>
        <w:t xml:space="preserve"> a mixed picture among G7 countries</w:t>
      </w:r>
      <w:r w:rsidR="00E340BA" w:rsidRPr="00E051F8">
        <w:rPr>
          <w:rFonts w:ascii="Yu Gothic" w:eastAsia="Yu Gothic" w:hAnsi="Yu Gothic"/>
          <w:bCs/>
          <w:sz w:val="18"/>
          <w:szCs w:val="18"/>
        </w:rPr>
        <w:t xml:space="preserve">. </w:t>
      </w:r>
      <w:r w:rsidR="00204AE4">
        <w:rPr>
          <w:rFonts w:ascii="Yu Gothic" w:eastAsia="Yu Gothic" w:hAnsi="Yu Gothic"/>
          <w:bCs/>
          <w:sz w:val="18"/>
          <w:szCs w:val="18"/>
        </w:rPr>
        <w:t>GDP</w:t>
      </w:r>
      <w:r w:rsidR="00204AE4" w:rsidRPr="00E051F8">
        <w:rPr>
          <w:rFonts w:ascii="Yu Gothic" w:eastAsia="Yu Gothic" w:hAnsi="Yu Gothic"/>
          <w:bCs/>
          <w:sz w:val="18"/>
          <w:szCs w:val="18"/>
        </w:rPr>
        <w:t xml:space="preserve"> 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 xml:space="preserve">contracted in </w:t>
      </w:r>
      <w:r w:rsidR="0001291B">
        <w:rPr>
          <w:rFonts w:ascii="Yu Gothic" w:eastAsia="Yu Gothic" w:hAnsi="Yu Gothic"/>
          <w:bCs/>
          <w:sz w:val="18"/>
          <w:szCs w:val="18"/>
        </w:rPr>
        <w:t>Japan and the United States</w:t>
      </w:r>
      <w:r w:rsidR="00F965BD">
        <w:rPr>
          <w:rFonts w:ascii="Yu Gothic" w:eastAsia="Yu Gothic" w:hAnsi="Yu Gothic"/>
          <w:bCs/>
          <w:sz w:val="18"/>
          <w:szCs w:val="18"/>
        </w:rPr>
        <w:t>,</w:t>
      </w:r>
      <w:r w:rsidR="00F965BD" w:rsidRPr="00E051F8">
        <w:rPr>
          <w:rFonts w:ascii="Yu Gothic" w:eastAsia="Yu Gothic" w:hAnsi="Yu Gothic"/>
          <w:bCs/>
          <w:sz w:val="18"/>
          <w:szCs w:val="18"/>
        </w:rPr>
        <w:t xml:space="preserve"> from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 xml:space="preserve"> 0.</w:t>
      </w:r>
      <w:r w:rsidR="0001291B">
        <w:rPr>
          <w:rFonts w:ascii="Yu Gothic" w:eastAsia="Yu Gothic" w:hAnsi="Yu Gothic"/>
          <w:bCs/>
          <w:sz w:val="18"/>
          <w:szCs w:val="18"/>
        </w:rPr>
        <w:t>6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 xml:space="preserve">% </w:t>
      </w:r>
      <w:r w:rsidR="0001291B">
        <w:rPr>
          <w:rFonts w:ascii="Yu Gothic" w:eastAsia="Yu Gothic" w:hAnsi="Yu Gothic"/>
          <w:bCs/>
          <w:sz w:val="18"/>
          <w:szCs w:val="18"/>
        </w:rPr>
        <w:t xml:space="preserve">in both countries 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>to -0.</w:t>
      </w:r>
      <w:r w:rsidR="0001291B">
        <w:rPr>
          <w:rFonts w:ascii="Yu Gothic" w:eastAsia="Yu Gothic" w:hAnsi="Yu Gothic"/>
          <w:bCs/>
          <w:sz w:val="18"/>
          <w:szCs w:val="18"/>
        </w:rPr>
        <w:t>2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>%</w:t>
      </w:r>
      <w:r w:rsidR="0001291B">
        <w:rPr>
          <w:rFonts w:ascii="Yu Gothic" w:eastAsia="Yu Gothic" w:hAnsi="Yu Gothic"/>
          <w:bCs/>
          <w:sz w:val="18"/>
          <w:szCs w:val="18"/>
        </w:rPr>
        <w:t xml:space="preserve"> and -0.1%, respectively.</w:t>
      </w:r>
      <w:r w:rsidR="0041349A">
        <w:rPr>
          <w:rFonts w:ascii="Yu Gothic" w:eastAsia="Yu Gothic" w:hAnsi="Yu Gothic"/>
          <w:bCs/>
          <w:sz w:val="18"/>
          <w:szCs w:val="18"/>
        </w:rPr>
        <w:t xml:space="preserve"> </w:t>
      </w:r>
      <w:r w:rsidR="00BD4514">
        <w:rPr>
          <w:rFonts w:ascii="Yu Gothic" w:eastAsia="Yu Gothic" w:hAnsi="Yu Gothic"/>
          <w:bCs/>
          <w:sz w:val="18"/>
          <w:szCs w:val="18"/>
        </w:rPr>
        <w:t>In</w:t>
      </w:r>
      <w:r w:rsidR="00E01469">
        <w:rPr>
          <w:rFonts w:ascii="Yu Gothic" w:eastAsia="Yu Gothic" w:hAnsi="Yu Gothic"/>
          <w:bCs/>
          <w:sz w:val="18"/>
          <w:szCs w:val="18"/>
        </w:rPr>
        <w:t xml:space="preserve"> Japan, </w:t>
      </w:r>
      <w:r w:rsidR="00E01469" w:rsidRPr="00C338D1">
        <w:rPr>
          <w:rFonts w:ascii="Yu Gothic" w:eastAsia="Yu Gothic" w:hAnsi="Yu Gothic"/>
          <w:bCs/>
          <w:sz w:val="18"/>
          <w:szCs w:val="18"/>
        </w:rPr>
        <w:t>imports of goods increased by 2.4% in Q1</w:t>
      </w:r>
      <w:r w:rsidR="00571528">
        <w:rPr>
          <w:rFonts w:ascii="Yu Gothic" w:eastAsia="Yu Gothic" w:hAnsi="Yu Gothic"/>
          <w:bCs/>
          <w:sz w:val="18"/>
          <w:szCs w:val="18"/>
        </w:rPr>
        <w:t xml:space="preserve"> 2025</w:t>
      </w:r>
      <w:r w:rsidR="00E01469" w:rsidRPr="00C338D1">
        <w:rPr>
          <w:rFonts w:ascii="Yu Gothic" w:eastAsia="Yu Gothic" w:hAnsi="Yu Gothic"/>
          <w:bCs/>
          <w:sz w:val="18"/>
          <w:szCs w:val="18"/>
        </w:rPr>
        <w:t xml:space="preserve">, compared with a contraction of 1.6% in Q4 2024. In </w:t>
      </w:r>
      <w:r w:rsidR="00BD4514" w:rsidRPr="00C338D1">
        <w:rPr>
          <w:rFonts w:ascii="Yu Gothic" w:eastAsia="Yu Gothic" w:hAnsi="Yu Gothic"/>
          <w:bCs/>
          <w:sz w:val="18"/>
          <w:szCs w:val="18"/>
        </w:rPr>
        <w:t xml:space="preserve">the United States, </w:t>
      </w:r>
      <w:r w:rsidR="00AC2709" w:rsidRPr="00C338D1">
        <w:rPr>
          <w:rFonts w:ascii="Yu Gothic" w:eastAsia="Yu Gothic" w:hAnsi="Yu Gothic"/>
          <w:bCs/>
          <w:sz w:val="18"/>
          <w:szCs w:val="18"/>
        </w:rPr>
        <w:t xml:space="preserve">imports of goods increased </w:t>
      </w:r>
      <w:r w:rsidR="00E01469" w:rsidRPr="00C338D1">
        <w:rPr>
          <w:rFonts w:ascii="Yu Gothic" w:eastAsia="Yu Gothic" w:hAnsi="Yu Gothic"/>
          <w:bCs/>
          <w:sz w:val="18"/>
          <w:szCs w:val="18"/>
        </w:rPr>
        <w:t xml:space="preserve">sharply </w:t>
      </w:r>
      <w:r w:rsidR="00AC2709" w:rsidRPr="00C338D1">
        <w:rPr>
          <w:rFonts w:ascii="Yu Gothic" w:eastAsia="Yu Gothic" w:hAnsi="Yu Gothic"/>
          <w:bCs/>
          <w:sz w:val="18"/>
          <w:szCs w:val="18"/>
        </w:rPr>
        <w:t>by 10.8% in Q1, compared with a contraction of 1.3% in Q</w:t>
      </w:r>
      <w:r w:rsidR="00EA0554">
        <w:rPr>
          <w:rFonts w:ascii="Yu Gothic" w:eastAsia="Yu Gothic" w:hAnsi="Yu Gothic"/>
          <w:bCs/>
          <w:sz w:val="18"/>
          <w:szCs w:val="18"/>
        </w:rPr>
        <w:t>4</w:t>
      </w:r>
      <w:r w:rsidR="00AC2709">
        <w:rPr>
          <w:rFonts w:ascii="Yu Gothic" w:eastAsia="Yu Gothic" w:hAnsi="Yu Gothic"/>
          <w:bCs/>
          <w:sz w:val="18"/>
          <w:szCs w:val="18"/>
        </w:rPr>
        <w:t>.</w:t>
      </w:r>
      <w:r w:rsidR="00E01469">
        <w:rPr>
          <w:rFonts w:ascii="Yu Gothic" w:eastAsia="Yu Gothic" w:hAnsi="Yu Gothic"/>
          <w:bCs/>
          <w:sz w:val="18"/>
          <w:szCs w:val="18"/>
        </w:rPr>
        <w:t xml:space="preserve"> </w:t>
      </w:r>
      <w:r w:rsidR="00083A6E" w:rsidRPr="00083A6E">
        <w:rPr>
          <w:rFonts w:ascii="Yu Gothic" w:eastAsia="Yu Gothic" w:hAnsi="Yu Gothic"/>
          <w:bCs/>
          <w:sz w:val="18"/>
          <w:szCs w:val="18"/>
        </w:rPr>
        <w:t xml:space="preserve">The </w:t>
      </w:r>
      <w:r w:rsidR="00083A6E" w:rsidRPr="00EB75C9">
        <w:rPr>
          <w:rFonts w:ascii="Yu Gothic" w:eastAsia="Yu Gothic" w:hAnsi="Yu Gothic"/>
          <w:b/>
          <w:sz w:val="18"/>
          <w:szCs w:val="18"/>
        </w:rPr>
        <w:t>rise in US imports of goods, likely influenced by anticipated changes to trade tariffs</w:t>
      </w:r>
      <w:r w:rsidR="00083A6E" w:rsidRPr="00083A6E">
        <w:rPr>
          <w:rFonts w:ascii="Yu Gothic" w:eastAsia="Yu Gothic" w:hAnsi="Yu Gothic"/>
          <w:bCs/>
          <w:sz w:val="18"/>
          <w:szCs w:val="18"/>
        </w:rPr>
        <w:t>,</w:t>
      </w:r>
      <w:r w:rsidR="00EB75C9">
        <w:rPr>
          <w:rStyle w:val="FootnoteReference"/>
          <w:rFonts w:ascii="Yu Gothic" w:eastAsia="Yu Gothic" w:hAnsi="Yu Gothic"/>
          <w:b/>
          <w:sz w:val="18"/>
          <w:szCs w:val="18"/>
        </w:rPr>
        <w:footnoteReference w:id="1"/>
      </w:r>
      <w:r w:rsidR="00EB75C9">
        <w:rPr>
          <w:rFonts w:ascii="Yu Gothic" w:eastAsia="Yu Gothic" w:hAnsi="Yu Gothic"/>
          <w:bCs/>
          <w:sz w:val="18"/>
          <w:szCs w:val="18"/>
        </w:rPr>
        <w:t xml:space="preserve"> </w:t>
      </w:r>
      <w:r w:rsidR="00083A6E" w:rsidRPr="00083A6E">
        <w:rPr>
          <w:rFonts w:ascii="Yu Gothic" w:eastAsia="Yu Gothic" w:hAnsi="Yu Gothic"/>
          <w:bCs/>
          <w:sz w:val="18"/>
          <w:szCs w:val="18"/>
        </w:rPr>
        <w:t>was the main drag on growth</w:t>
      </w:r>
      <w:r w:rsidR="00083A6E">
        <w:rPr>
          <w:rFonts w:ascii="Yu Gothic" w:eastAsia="Yu Gothic" w:hAnsi="Yu Gothic"/>
          <w:bCs/>
          <w:sz w:val="18"/>
          <w:szCs w:val="18"/>
        </w:rPr>
        <w:t>.</w:t>
      </w:r>
      <w:r w:rsidR="00EB75C9">
        <w:rPr>
          <w:rFonts w:ascii="Yu Gothic" w:eastAsia="Yu Gothic" w:hAnsi="Yu Gothic"/>
          <w:bCs/>
          <w:sz w:val="18"/>
          <w:szCs w:val="18"/>
        </w:rPr>
        <w:t xml:space="preserve"> </w:t>
      </w:r>
      <w:r w:rsidR="0001291B">
        <w:rPr>
          <w:rFonts w:ascii="Yu Gothic" w:eastAsia="Yu Gothic" w:hAnsi="Yu Gothic"/>
          <w:bCs/>
          <w:sz w:val="18"/>
          <w:szCs w:val="18"/>
        </w:rPr>
        <w:t xml:space="preserve">Growth </w:t>
      </w:r>
      <w:r w:rsidR="0041349A">
        <w:rPr>
          <w:rFonts w:ascii="Yu Gothic" w:eastAsia="Yu Gothic" w:hAnsi="Yu Gothic"/>
          <w:bCs/>
          <w:sz w:val="18"/>
          <w:szCs w:val="18"/>
        </w:rPr>
        <w:t xml:space="preserve">also </w:t>
      </w:r>
      <w:r w:rsidR="0001291B">
        <w:rPr>
          <w:rFonts w:ascii="Yu Gothic" w:eastAsia="Yu Gothic" w:hAnsi="Yu Gothic"/>
          <w:bCs/>
          <w:sz w:val="18"/>
          <w:szCs w:val="18"/>
        </w:rPr>
        <w:t xml:space="preserve">slowed in Canada, 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>from 0.</w:t>
      </w:r>
      <w:r w:rsidR="0001291B">
        <w:rPr>
          <w:rFonts w:ascii="Yu Gothic" w:eastAsia="Yu Gothic" w:hAnsi="Yu Gothic"/>
          <w:bCs/>
          <w:sz w:val="18"/>
          <w:szCs w:val="18"/>
        </w:rPr>
        <w:t>6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 xml:space="preserve">% to </w:t>
      </w:r>
      <w:r w:rsidR="0001291B">
        <w:rPr>
          <w:rFonts w:ascii="Yu Gothic" w:eastAsia="Yu Gothic" w:hAnsi="Yu Gothic"/>
          <w:bCs/>
          <w:sz w:val="18"/>
          <w:szCs w:val="18"/>
        </w:rPr>
        <w:t>0.4</w:t>
      </w:r>
      <w:r w:rsidR="001B5AC0" w:rsidRPr="00E051F8">
        <w:rPr>
          <w:rFonts w:ascii="Yu Gothic" w:eastAsia="Yu Gothic" w:hAnsi="Yu Gothic"/>
          <w:bCs/>
          <w:sz w:val="18"/>
          <w:szCs w:val="18"/>
        </w:rPr>
        <w:t>%</w:t>
      </w:r>
      <w:r w:rsidR="00782388">
        <w:rPr>
          <w:rFonts w:ascii="Yu Gothic" w:eastAsia="Yu Gothic" w:hAnsi="Yu Gothic"/>
          <w:bCs/>
          <w:sz w:val="18"/>
          <w:szCs w:val="18"/>
        </w:rPr>
        <w:t>.</w:t>
      </w:r>
    </w:p>
    <w:p w14:paraId="457BECD2" w14:textId="3CF2FF37" w:rsidR="0001291B" w:rsidRDefault="0001291B" w:rsidP="00AE7687">
      <w:pPr>
        <w:spacing w:after="80" w:line="192" w:lineRule="auto"/>
        <w:jc w:val="both"/>
        <w:rPr>
          <w:rFonts w:ascii="Yu Gothic" w:eastAsia="Yu Gothic" w:hAnsi="Yu Gothic"/>
          <w:bCs/>
          <w:sz w:val="18"/>
          <w:szCs w:val="18"/>
        </w:rPr>
      </w:pPr>
      <w:r>
        <w:rPr>
          <w:rFonts w:ascii="Yu Gothic" w:eastAsia="Yu Gothic" w:hAnsi="Yu Gothic"/>
          <w:bCs/>
          <w:sz w:val="18"/>
          <w:szCs w:val="18"/>
        </w:rPr>
        <w:t xml:space="preserve">By contrast, growth accelerated significantly in the United Kingdom, from 0.1% to 0.7%, mainly </w:t>
      </w:r>
      <w:r w:rsidR="009203C4">
        <w:rPr>
          <w:rFonts w:ascii="Yu Gothic" w:eastAsia="Yu Gothic" w:hAnsi="Yu Gothic"/>
          <w:bCs/>
          <w:sz w:val="18"/>
          <w:szCs w:val="18"/>
        </w:rPr>
        <w:t xml:space="preserve">driven by </w:t>
      </w:r>
      <w:r w:rsidR="00DF10D0">
        <w:rPr>
          <w:rFonts w:ascii="Yu Gothic" w:eastAsia="Yu Gothic" w:hAnsi="Yu Gothic"/>
          <w:bCs/>
          <w:sz w:val="18"/>
          <w:szCs w:val="18"/>
        </w:rPr>
        <w:t>i</w:t>
      </w:r>
      <w:r w:rsidR="009203C4">
        <w:rPr>
          <w:rFonts w:ascii="Yu Gothic" w:eastAsia="Yu Gothic" w:hAnsi="Yu Gothic"/>
          <w:bCs/>
          <w:sz w:val="18"/>
          <w:szCs w:val="18"/>
        </w:rPr>
        <w:t>ncrease</w:t>
      </w:r>
      <w:r w:rsidR="00DF10D0">
        <w:rPr>
          <w:rFonts w:ascii="Yu Gothic" w:eastAsia="Yu Gothic" w:hAnsi="Yu Gothic"/>
          <w:bCs/>
          <w:sz w:val="18"/>
          <w:szCs w:val="18"/>
        </w:rPr>
        <w:t>s</w:t>
      </w:r>
      <w:r w:rsidR="009203C4">
        <w:rPr>
          <w:rFonts w:ascii="Yu Gothic" w:eastAsia="Yu Gothic" w:hAnsi="Yu Gothic"/>
          <w:bCs/>
          <w:sz w:val="18"/>
          <w:szCs w:val="18"/>
        </w:rPr>
        <w:t xml:space="preserve"> in investment (2.9% in Q1</w:t>
      </w:r>
      <w:r w:rsidR="00571528">
        <w:rPr>
          <w:rFonts w:ascii="Yu Gothic" w:eastAsia="Yu Gothic" w:hAnsi="Yu Gothic"/>
          <w:bCs/>
          <w:sz w:val="18"/>
          <w:szCs w:val="18"/>
        </w:rPr>
        <w:t>,</w:t>
      </w:r>
      <w:r w:rsidR="009203C4">
        <w:rPr>
          <w:rFonts w:ascii="Yu Gothic" w:eastAsia="Yu Gothic" w:hAnsi="Yu Gothic"/>
          <w:bCs/>
          <w:sz w:val="18"/>
          <w:szCs w:val="18"/>
        </w:rPr>
        <w:t xml:space="preserve"> after </w:t>
      </w:r>
      <w:r w:rsidR="00A53545">
        <w:rPr>
          <w:rFonts w:ascii="Yu Gothic" w:eastAsia="Yu Gothic" w:hAnsi="Yu Gothic"/>
          <w:bCs/>
          <w:sz w:val="18"/>
          <w:szCs w:val="18"/>
        </w:rPr>
        <w:t xml:space="preserve">a contraction of </w:t>
      </w:r>
      <w:r w:rsidR="009203C4">
        <w:rPr>
          <w:rFonts w:ascii="Yu Gothic" w:eastAsia="Yu Gothic" w:hAnsi="Yu Gothic"/>
          <w:bCs/>
          <w:sz w:val="18"/>
          <w:szCs w:val="18"/>
        </w:rPr>
        <w:t>0.6% in Q4)</w:t>
      </w:r>
      <w:r w:rsidR="00DF10D0">
        <w:rPr>
          <w:rFonts w:ascii="Yu Gothic" w:eastAsia="Yu Gothic" w:hAnsi="Yu Gothic"/>
          <w:bCs/>
          <w:sz w:val="18"/>
          <w:szCs w:val="18"/>
        </w:rPr>
        <w:t xml:space="preserve"> and exports of goods (5.6% in Q1, after a contraction of 7.3% in Q4)</w:t>
      </w:r>
      <w:r w:rsidR="004200F1">
        <w:rPr>
          <w:rFonts w:ascii="Yu Gothic" w:eastAsia="Yu Gothic" w:hAnsi="Yu Gothic"/>
          <w:bCs/>
          <w:sz w:val="18"/>
          <w:szCs w:val="18"/>
        </w:rPr>
        <w:t xml:space="preserve">. </w:t>
      </w:r>
      <w:r>
        <w:rPr>
          <w:rFonts w:ascii="Yu Gothic" w:eastAsia="Yu Gothic" w:hAnsi="Yu Gothic"/>
          <w:bCs/>
          <w:sz w:val="18"/>
          <w:szCs w:val="18"/>
        </w:rPr>
        <w:t xml:space="preserve">Growth increased marginally </w:t>
      </w:r>
      <w:r w:rsidRPr="00E051F8">
        <w:rPr>
          <w:rFonts w:ascii="Yu Gothic" w:eastAsia="Yu Gothic" w:hAnsi="Yu Gothic"/>
          <w:bCs/>
          <w:sz w:val="18"/>
          <w:szCs w:val="18"/>
        </w:rPr>
        <w:t xml:space="preserve">in </w:t>
      </w:r>
      <w:r>
        <w:rPr>
          <w:rFonts w:ascii="Yu Gothic" w:eastAsia="Yu Gothic" w:hAnsi="Yu Gothic"/>
          <w:bCs/>
          <w:sz w:val="18"/>
          <w:szCs w:val="18"/>
        </w:rPr>
        <w:t>Italy</w:t>
      </w:r>
      <w:r w:rsidRPr="00E051F8">
        <w:rPr>
          <w:rFonts w:ascii="Yu Gothic" w:eastAsia="Yu Gothic" w:hAnsi="Yu Gothic"/>
          <w:bCs/>
          <w:sz w:val="18"/>
          <w:szCs w:val="18"/>
        </w:rPr>
        <w:t xml:space="preserve"> (from 0.</w:t>
      </w:r>
      <w:r>
        <w:rPr>
          <w:rFonts w:ascii="Yu Gothic" w:eastAsia="Yu Gothic" w:hAnsi="Yu Gothic"/>
          <w:bCs/>
          <w:sz w:val="18"/>
          <w:szCs w:val="18"/>
        </w:rPr>
        <w:t>2</w:t>
      </w:r>
      <w:r w:rsidRPr="00E051F8">
        <w:rPr>
          <w:rFonts w:ascii="Yu Gothic" w:eastAsia="Yu Gothic" w:hAnsi="Yu Gothic"/>
          <w:bCs/>
          <w:sz w:val="18"/>
          <w:szCs w:val="18"/>
        </w:rPr>
        <w:t>% to 0.</w:t>
      </w:r>
      <w:r>
        <w:rPr>
          <w:rFonts w:ascii="Yu Gothic" w:eastAsia="Yu Gothic" w:hAnsi="Yu Gothic"/>
          <w:bCs/>
          <w:sz w:val="18"/>
          <w:szCs w:val="18"/>
        </w:rPr>
        <w:t>3</w:t>
      </w:r>
      <w:r w:rsidRPr="00E051F8">
        <w:rPr>
          <w:rFonts w:ascii="Yu Gothic" w:eastAsia="Yu Gothic" w:hAnsi="Yu Gothic"/>
          <w:bCs/>
          <w:sz w:val="18"/>
          <w:szCs w:val="18"/>
        </w:rPr>
        <w:t>%)</w:t>
      </w:r>
      <w:r>
        <w:rPr>
          <w:rFonts w:ascii="Yu Gothic" w:eastAsia="Yu Gothic" w:hAnsi="Yu Gothic"/>
          <w:bCs/>
          <w:sz w:val="18"/>
          <w:szCs w:val="18"/>
        </w:rPr>
        <w:t>, and it turned positive in Germany (0.2%) and France (0.1%).</w:t>
      </w:r>
    </w:p>
    <w:p w14:paraId="358E6361" w14:textId="5C43ACD9" w:rsidR="00212EDA" w:rsidRDefault="00132546" w:rsidP="008B7E25">
      <w:pPr>
        <w:spacing w:after="80" w:line="192" w:lineRule="auto"/>
        <w:jc w:val="both"/>
        <w:rPr>
          <w:rFonts w:ascii="Yu Gothic" w:eastAsia="Yu Gothic" w:hAnsi="Yu Gothic"/>
          <w:bCs/>
          <w:sz w:val="18"/>
          <w:szCs w:val="18"/>
        </w:rPr>
      </w:pPr>
      <w:r>
        <w:rPr>
          <w:rFonts w:ascii="Yu Gothic" w:eastAsia="Yu Gothic" w:hAnsi="Yu Gothic"/>
          <w:b/>
          <w:sz w:val="18"/>
          <w:szCs w:val="18"/>
        </w:rPr>
        <w:t>Among</w:t>
      </w:r>
      <w:r w:rsidR="008B7E25" w:rsidRPr="008B7E25">
        <w:rPr>
          <w:rFonts w:ascii="Yu Gothic" w:eastAsia="Yu Gothic" w:hAnsi="Yu Gothic"/>
          <w:b/>
          <w:sz w:val="18"/>
          <w:szCs w:val="18"/>
        </w:rPr>
        <w:t xml:space="preserve"> other OECD economies for which data is </w:t>
      </w:r>
      <w:r w:rsidR="008B7E25" w:rsidRPr="00C63D85">
        <w:rPr>
          <w:rFonts w:ascii="Yu Gothic" w:eastAsia="Yu Gothic" w:hAnsi="Yu Gothic"/>
          <w:b/>
          <w:sz w:val="18"/>
          <w:szCs w:val="18"/>
        </w:rPr>
        <w:t>available,</w:t>
      </w:r>
      <w:r w:rsidR="00C63D85" w:rsidRPr="00C63D85">
        <w:rPr>
          <w:rFonts w:ascii="Yu Gothic" w:eastAsia="Yu Gothic" w:hAnsi="Yu Gothic"/>
          <w:b/>
          <w:sz w:val="18"/>
          <w:szCs w:val="18"/>
        </w:rPr>
        <w:t xml:space="preserve"> </w:t>
      </w:r>
      <w:r w:rsidR="0008187A">
        <w:rPr>
          <w:rFonts w:ascii="Yu Gothic" w:eastAsia="Yu Gothic" w:hAnsi="Yu Gothic"/>
          <w:b/>
          <w:sz w:val="18"/>
          <w:szCs w:val="18"/>
        </w:rPr>
        <w:t>17</w:t>
      </w:r>
      <w:r w:rsidR="00E603E2">
        <w:rPr>
          <w:rFonts w:ascii="Yu Gothic" w:eastAsia="Yu Gothic" w:hAnsi="Yu Gothic"/>
          <w:b/>
          <w:sz w:val="18"/>
          <w:szCs w:val="18"/>
        </w:rPr>
        <w:t xml:space="preserve"> countries</w:t>
      </w:r>
      <w:r w:rsidR="00446708">
        <w:rPr>
          <w:rFonts w:ascii="Yu Gothic" w:eastAsia="Yu Gothic" w:hAnsi="Yu Gothic"/>
          <w:b/>
          <w:sz w:val="18"/>
          <w:szCs w:val="18"/>
        </w:rPr>
        <w:t xml:space="preserve"> experienced slowdowns in growth in Q1 </w:t>
      </w:r>
      <w:r w:rsidR="00191170">
        <w:rPr>
          <w:rFonts w:ascii="Yu Gothic" w:eastAsia="Yu Gothic" w:hAnsi="Yu Gothic"/>
          <w:b/>
          <w:sz w:val="18"/>
          <w:szCs w:val="18"/>
        </w:rPr>
        <w:t xml:space="preserve">2025 </w:t>
      </w:r>
      <w:r w:rsidR="00446708">
        <w:rPr>
          <w:rFonts w:ascii="Yu Gothic" w:eastAsia="Yu Gothic" w:hAnsi="Yu Gothic"/>
          <w:b/>
          <w:sz w:val="18"/>
          <w:szCs w:val="18"/>
        </w:rPr>
        <w:t>compared with Q4</w:t>
      </w:r>
      <w:r w:rsidR="00191170">
        <w:rPr>
          <w:rFonts w:ascii="Yu Gothic" w:eastAsia="Yu Gothic" w:hAnsi="Yu Gothic"/>
          <w:b/>
          <w:sz w:val="18"/>
          <w:szCs w:val="18"/>
        </w:rPr>
        <w:t xml:space="preserve"> 2024</w:t>
      </w:r>
      <w:r w:rsidR="0008187A">
        <w:rPr>
          <w:rFonts w:ascii="Yu Gothic" w:eastAsia="Yu Gothic" w:hAnsi="Yu Gothic"/>
          <w:b/>
          <w:sz w:val="18"/>
          <w:szCs w:val="18"/>
        </w:rPr>
        <w:t>, resulting in negative growth in four countries</w:t>
      </w:r>
      <w:r w:rsidR="00E603E2">
        <w:rPr>
          <w:rFonts w:ascii="Yu Gothic" w:eastAsia="Yu Gothic" w:hAnsi="Yu Gothic"/>
          <w:b/>
          <w:sz w:val="18"/>
          <w:szCs w:val="18"/>
        </w:rPr>
        <w:t xml:space="preserve">. </w:t>
      </w:r>
      <w:r w:rsidR="00E603E2" w:rsidRPr="00E603E2">
        <w:rPr>
          <w:rFonts w:ascii="Yu Gothic" w:eastAsia="Yu Gothic" w:hAnsi="Yu Gothic"/>
          <w:bCs/>
          <w:sz w:val="18"/>
          <w:szCs w:val="18"/>
        </w:rPr>
        <w:t>Slovenia</w:t>
      </w:r>
      <w:r w:rsidR="008B7E25" w:rsidRPr="00E603E2">
        <w:rPr>
          <w:rFonts w:ascii="Yu Gothic" w:eastAsia="Yu Gothic" w:hAnsi="Yu Gothic"/>
          <w:bCs/>
          <w:sz w:val="18"/>
          <w:szCs w:val="18"/>
        </w:rPr>
        <w:t xml:space="preserve"> </w:t>
      </w:r>
      <w:r w:rsidR="00C63D85" w:rsidRPr="00E603E2">
        <w:rPr>
          <w:rFonts w:ascii="Yu Gothic" w:eastAsia="Yu Gothic" w:hAnsi="Yu Gothic"/>
          <w:bCs/>
          <w:sz w:val="18"/>
          <w:szCs w:val="18"/>
        </w:rPr>
        <w:t>recorded</w:t>
      </w:r>
      <w:r w:rsidR="008B7E25" w:rsidRPr="00E603E2">
        <w:rPr>
          <w:rFonts w:ascii="Yu Gothic" w:eastAsia="Yu Gothic" w:hAnsi="Yu Gothic"/>
          <w:bCs/>
          <w:sz w:val="18"/>
          <w:szCs w:val="18"/>
        </w:rPr>
        <w:t xml:space="preserve"> the </w:t>
      </w:r>
      <w:r w:rsidR="00C63D85" w:rsidRPr="00E603E2">
        <w:rPr>
          <w:rFonts w:ascii="Yu Gothic" w:eastAsia="Yu Gothic" w:hAnsi="Yu Gothic"/>
          <w:bCs/>
          <w:sz w:val="18"/>
          <w:szCs w:val="18"/>
        </w:rPr>
        <w:t xml:space="preserve">largest fall </w:t>
      </w:r>
      <w:r w:rsidR="00213999" w:rsidRPr="00E603E2">
        <w:rPr>
          <w:rFonts w:ascii="Yu Gothic" w:eastAsia="Yu Gothic" w:hAnsi="Yu Gothic"/>
          <w:bCs/>
          <w:sz w:val="18"/>
          <w:szCs w:val="18"/>
        </w:rPr>
        <w:t>in GDP</w:t>
      </w:r>
      <w:r w:rsidR="00CC6430" w:rsidRPr="00E603E2">
        <w:rPr>
          <w:rFonts w:ascii="Yu Gothic" w:eastAsia="Yu Gothic" w:hAnsi="Yu Gothic"/>
          <w:bCs/>
          <w:sz w:val="18"/>
          <w:szCs w:val="18"/>
        </w:rPr>
        <w:t xml:space="preserve"> in </w:t>
      </w:r>
      <w:r w:rsidR="00267192" w:rsidRPr="00E603E2">
        <w:rPr>
          <w:rFonts w:ascii="Yu Gothic" w:eastAsia="Yu Gothic" w:hAnsi="Yu Gothic"/>
          <w:bCs/>
          <w:sz w:val="18"/>
          <w:szCs w:val="18"/>
        </w:rPr>
        <w:t>Q1</w:t>
      </w:r>
      <w:r w:rsidR="00213999" w:rsidRPr="00E603E2">
        <w:rPr>
          <w:rFonts w:ascii="Yu Gothic" w:eastAsia="Yu Gothic" w:hAnsi="Yu Gothic"/>
          <w:bCs/>
          <w:sz w:val="18"/>
          <w:szCs w:val="18"/>
        </w:rPr>
        <w:t xml:space="preserve"> </w:t>
      </w:r>
      <w:r w:rsidR="00C63D85" w:rsidRPr="00E603E2">
        <w:rPr>
          <w:rFonts w:ascii="Yu Gothic" w:eastAsia="Yu Gothic" w:hAnsi="Yu Gothic"/>
          <w:bCs/>
          <w:sz w:val="18"/>
          <w:szCs w:val="18"/>
        </w:rPr>
        <w:t>(</w:t>
      </w:r>
      <w:r w:rsidR="00AF74F3">
        <w:rPr>
          <w:rFonts w:ascii="Yu Gothic" w:eastAsia="Yu Gothic" w:hAnsi="Yu Gothic"/>
          <w:bCs/>
          <w:sz w:val="18"/>
          <w:szCs w:val="18"/>
        </w:rPr>
        <w:noBreakHyphen/>
      </w:r>
      <w:r w:rsidR="00E603E2" w:rsidRPr="00E603E2">
        <w:rPr>
          <w:rFonts w:ascii="Yu Gothic" w:eastAsia="Yu Gothic" w:hAnsi="Yu Gothic"/>
          <w:bCs/>
          <w:sz w:val="18"/>
          <w:szCs w:val="18"/>
        </w:rPr>
        <w:t>0.8</w:t>
      </w:r>
      <w:r w:rsidR="00C63D85" w:rsidRPr="00E603E2">
        <w:rPr>
          <w:rFonts w:ascii="Yu Gothic" w:eastAsia="Yu Gothic" w:hAnsi="Yu Gothic"/>
          <w:bCs/>
          <w:sz w:val="18"/>
          <w:szCs w:val="18"/>
        </w:rPr>
        <w:t>%), followed by</w:t>
      </w:r>
      <w:r w:rsidR="00C63D85" w:rsidRPr="00C63D85">
        <w:rPr>
          <w:rFonts w:ascii="Yu Gothic" w:eastAsia="Yu Gothic" w:hAnsi="Yu Gothic"/>
          <w:bCs/>
          <w:sz w:val="18"/>
          <w:szCs w:val="18"/>
        </w:rPr>
        <w:t xml:space="preserve"> </w:t>
      </w:r>
      <w:r w:rsidR="00E603E2">
        <w:rPr>
          <w:rFonts w:ascii="Yu Gothic" w:eastAsia="Yu Gothic" w:hAnsi="Yu Gothic"/>
          <w:bCs/>
          <w:sz w:val="18"/>
          <w:szCs w:val="18"/>
        </w:rPr>
        <w:t>Portugal</w:t>
      </w:r>
      <w:r w:rsidR="00C63D85" w:rsidRPr="00C63D85">
        <w:rPr>
          <w:rFonts w:ascii="Yu Gothic" w:eastAsia="Yu Gothic" w:hAnsi="Yu Gothic"/>
          <w:bCs/>
          <w:sz w:val="18"/>
          <w:szCs w:val="18"/>
        </w:rPr>
        <w:t xml:space="preserve"> (</w:t>
      </w:r>
      <w:r w:rsidR="001E5890">
        <w:rPr>
          <w:rFonts w:ascii="Yu Gothic" w:eastAsia="Yu Gothic" w:hAnsi="Yu Gothic"/>
          <w:bCs/>
          <w:sz w:val="18"/>
          <w:szCs w:val="18"/>
        </w:rPr>
        <w:t>-</w:t>
      </w:r>
      <w:r w:rsidR="00C63D85" w:rsidRPr="00C63D85">
        <w:rPr>
          <w:rFonts w:ascii="Yu Gothic" w:eastAsia="Yu Gothic" w:hAnsi="Yu Gothic"/>
          <w:bCs/>
          <w:sz w:val="18"/>
          <w:szCs w:val="18"/>
        </w:rPr>
        <w:t>0.</w:t>
      </w:r>
      <w:r w:rsidR="00E603E2">
        <w:rPr>
          <w:rFonts w:ascii="Yu Gothic" w:eastAsia="Yu Gothic" w:hAnsi="Yu Gothic"/>
          <w:bCs/>
          <w:sz w:val="18"/>
          <w:szCs w:val="18"/>
        </w:rPr>
        <w:t>5</w:t>
      </w:r>
      <w:r w:rsidR="00C63D85" w:rsidRPr="00C63D85">
        <w:rPr>
          <w:rFonts w:ascii="Yu Gothic" w:eastAsia="Yu Gothic" w:hAnsi="Yu Gothic"/>
          <w:bCs/>
          <w:sz w:val="18"/>
          <w:szCs w:val="18"/>
        </w:rPr>
        <w:t>%)</w:t>
      </w:r>
      <w:r w:rsidR="00C63D85">
        <w:rPr>
          <w:rFonts w:ascii="Yu Gothic" w:eastAsia="Yu Gothic" w:hAnsi="Yu Gothic"/>
          <w:bCs/>
          <w:sz w:val="18"/>
          <w:szCs w:val="18"/>
        </w:rPr>
        <w:t xml:space="preserve">. </w:t>
      </w:r>
      <w:r w:rsidR="00E603E2">
        <w:rPr>
          <w:rFonts w:ascii="Yu Gothic" w:eastAsia="Yu Gothic" w:hAnsi="Yu Gothic"/>
          <w:bCs/>
          <w:sz w:val="18"/>
          <w:szCs w:val="18"/>
        </w:rPr>
        <w:t>Ireland</w:t>
      </w:r>
      <w:r w:rsidR="00212EDA">
        <w:rPr>
          <w:rFonts w:ascii="Yu Gothic" w:eastAsia="Yu Gothic" w:hAnsi="Yu Gothic"/>
          <w:bCs/>
          <w:sz w:val="18"/>
          <w:szCs w:val="18"/>
        </w:rPr>
        <w:t xml:space="preserve"> </w:t>
      </w:r>
      <w:r w:rsidR="00C63D85">
        <w:rPr>
          <w:rFonts w:ascii="Yu Gothic" w:eastAsia="Yu Gothic" w:hAnsi="Yu Gothic"/>
          <w:bCs/>
          <w:sz w:val="18"/>
          <w:szCs w:val="18"/>
        </w:rPr>
        <w:t xml:space="preserve">recorded the highest quarter-on-quarter growth rate in </w:t>
      </w:r>
      <w:r w:rsidR="00267192">
        <w:rPr>
          <w:rFonts w:ascii="Yu Gothic" w:eastAsia="Yu Gothic" w:hAnsi="Yu Gothic"/>
          <w:bCs/>
          <w:sz w:val="18"/>
          <w:szCs w:val="18"/>
        </w:rPr>
        <w:t>Q1</w:t>
      </w:r>
      <w:r w:rsidR="00C63D85">
        <w:rPr>
          <w:rFonts w:ascii="Yu Gothic" w:eastAsia="Yu Gothic" w:hAnsi="Yu Gothic"/>
          <w:bCs/>
          <w:sz w:val="18"/>
          <w:szCs w:val="18"/>
        </w:rPr>
        <w:t xml:space="preserve"> (</w:t>
      </w:r>
      <w:r w:rsidR="00E603E2">
        <w:rPr>
          <w:rFonts w:ascii="Yu Gothic" w:eastAsia="Yu Gothic" w:hAnsi="Yu Gothic"/>
          <w:bCs/>
          <w:sz w:val="18"/>
          <w:szCs w:val="18"/>
        </w:rPr>
        <w:t>3.2</w:t>
      </w:r>
      <w:r w:rsidR="00C63D85">
        <w:rPr>
          <w:rFonts w:ascii="Yu Gothic" w:eastAsia="Yu Gothic" w:hAnsi="Yu Gothic"/>
          <w:bCs/>
          <w:sz w:val="18"/>
          <w:szCs w:val="18"/>
        </w:rPr>
        <w:t>%)</w:t>
      </w:r>
      <w:r w:rsidR="00212EDA">
        <w:rPr>
          <w:rFonts w:ascii="Yu Gothic" w:eastAsia="Yu Gothic" w:hAnsi="Yu Gothic"/>
          <w:bCs/>
          <w:sz w:val="18"/>
          <w:szCs w:val="18"/>
        </w:rPr>
        <w:t>.</w:t>
      </w:r>
    </w:p>
    <w:p w14:paraId="6F1E6F49" w14:textId="0FD8535E" w:rsidR="002D5E34" w:rsidRDefault="00854385" w:rsidP="002D5E34">
      <w:pPr>
        <w:spacing w:line="192" w:lineRule="auto"/>
        <w:jc w:val="both"/>
        <w:rPr>
          <w:rFonts w:ascii="Yu Gothic" w:eastAsia="Yu Gothic" w:hAnsi="Yu Gothic"/>
          <w:bCs/>
          <w:sz w:val="18"/>
          <w:szCs w:val="18"/>
        </w:rPr>
      </w:pPr>
      <w:bookmarkStart w:id="1" w:name="_Hlk166837523"/>
      <w:bookmarkEnd w:id="0"/>
      <w:r w:rsidRPr="00854385">
        <w:rPr>
          <w:rStyle w:val="cf01"/>
          <w:rFonts w:ascii="Yu Gothic" w:hAnsi="Yu Gothic"/>
        </w:rPr>
        <w:t>Year-on-year, GDP growth in the OECD was 1.6% in Q1 2025, down from 1.9% in Q4 2024 (</w:t>
      </w:r>
      <w:r w:rsidRPr="00854385">
        <w:rPr>
          <w:rStyle w:val="cf01"/>
          <w:rFonts w:ascii="Yu Gothic" w:hAnsi="Yu Gothic"/>
          <w:b/>
          <w:bCs/>
        </w:rPr>
        <w:t>Table</w:t>
      </w:r>
      <w:r w:rsidRPr="00854385">
        <w:rPr>
          <w:rStyle w:val="cf01"/>
          <w:rFonts w:ascii="Yu Gothic" w:hAnsi="Yu Gothic"/>
        </w:rPr>
        <w:t xml:space="preserve"> </w:t>
      </w:r>
      <w:r w:rsidRPr="00854385">
        <w:rPr>
          <w:rStyle w:val="cf01"/>
          <w:rFonts w:ascii="Yu Gothic" w:hAnsi="Yu Gothic"/>
          <w:b/>
          <w:bCs/>
        </w:rPr>
        <w:t>2</w:t>
      </w:r>
      <w:r w:rsidRPr="00854385">
        <w:rPr>
          <w:rStyle w:val="cf01"/>
          <w:rFonts w:ascii="Yu Gothic" w:hAnsi="Yu Gothic"/>
        </w:rPr>
        <w:t>)</w:t>
      </w:r>
      <w:r w:rsidR="002D5E34">
        <w:rPr>
          <w:rStyle w:val="cf01"/>
          <w:rFonts w:ascii="Yu Gothic" w:hAnsi="Yu Gothic"/>
        </w:rPr>
        <w:t xml:space="preserve">. </w:t>
      </w:r>
      <w:r w:rsidR="002D5E34" w:rsidRPr="00B21A74">
        <w:rPr>
          <w:rStyle w:val="cf01"/>
          <w:rFonts w:ascii="Yu Gothic" w:hAnsi="Yu Gothic"/>
        </w:rPr>
        <w:t xml:space="preserve">Among G7 economies, </w:t>
      </w:r>
      <w:r w:rsidR="002D5E34">
        <w:rPr>
          <w:rStyle w:val="cf01"/>
          <w:rFonts w:ascii="Yu Gothic" w:hAnsi="Yu Gothic"/>
        </w:rPr>
        <w:t>Canada</w:t>
      </w:r>
      <w:r w:rsidR="002D5E34" w:rsidRPr="00B21A74">
        <w:rPr>
          <w:rStyle w:val="cf01"/>
          <w:rFonts w:ascii="Yu Gothic" w:hAnsi="Yu Gothic"/>
        </w:rPr>
        <w:t xml:space="preserve"> recorded</w:t>
      </w:r>
      <w:r w:rsidR="002D5E34" w:rsidRPr="000E1F60">
        <w:rPr>
          <w:rStyle w:val="cf01"/>
          <w:rFonts w:ascii="Yu Gothic" w:hAnsi="Yu Gothic"/>
        </w:rPr>
        <w:t xml:space="preserve"> the highest growth over the last four quarters (</w:t>
      </w:r>
      <w:r w:rsidR="002D5E34">
        <w:rPr>
          <w:rStyle w:val="cf01"/>
          <w:rFonts w:ascii="Yu Gothic" w:hAnsi="Yu Gothic"/>
        </w:rPr>
        <w:t>2.3</w:t>
      </w:r>
      <w:r w:rsidR="002D5E34" w:rsidRPr="000E1F60">
        <w:rPr>
          <w:rStyle w:val="cf01"/>
          <w:rFonts w:ascii="Yu Gothic" w:hAnsi="Yu Gothic"/>
        </w:rPr>
        <w:t xml:space="preserve">%), </w:t>
      </w:r>
      <w:r w:rsidR="002D5E34">
        <w:rPr>
          <w:rStyle w:val="cf01"/>
          <w:rFonts w:ascii="Yu Gothic" w:hAnsi="Yu Gothic"/>
        </w:rPr>
        <w:t xml:space="preserve">followed by the United States (2.0%), </w:t>
      </w:r>
      <w:r w:rsidR="002D5E34" w:rsidRPr="000E1F60">
        <w:rPr>
          <w:rStyle w:val="cf01"/>
          <w:rFonts w:ascii="Yu Gothic" w:hAnsi="Yu Gothic"/>
        </w:rPr>
        <w:t>while</w:t>
      </w:r>
      <w:r w:rsidR="002D5E34">
        <w:rPr>
          <w:rStyle w:val="cf01"/>
          <w:rFonts w:ascii="Yu Gothic" w:hAnsi="Yu Gothic"/>
        </w:rPr>
        <w:t xml:space="preserve"> Germany </w:t>
      </w:r>
      <w:r w:rsidR="002D5E34" w:rsidRPr="000E1F60">
        <w:rPr>
          <w:rStyle w:val="cf01"/>
          <w:rFonts w:ascii="Yu Gothic" w:hAnsi="Yu Gothic"/>
        </w:rPr>
        <w:t>recorded the largest fall (-</w:t>
      </w:r>
      <w:r w:rsidR="002D5E34">
        <w:rPr>
          <w:rStyle w:val="cf01"/>
          <w:rFonts w:ascii="Yu Gothic" w:hAnsi="Yu Gothic"/>
        </w:rPr>
        <w:t>0.2</w:t>
      </w:r>
      <w:r w:rsidR="002D5E34" w:rsidRPr="000E1F60">
        <w:rPr>
          <w:rStyle w:val="cf01"/>
          <w:rFonts w:ascii="Yu Gothic" w:hAnsi="Yu Gothic"/>
        </w:rPr>
        <w:t>%).</w:t>
      </w:r>
      <w:bookmarkEnd w:id="1"/>
    </w:p>
    <w:p w14:paraId="574BE36E" w14:textId="580A614B" w:rsidR="00F85FF4" w:rsidRPr="00286E08" w:rsidRDefault="00F85FF4" w:rsidP="006C5A9F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20"/>
          <w:szCs w:val="20"/>
        </w:rPr>
      </w:pPr>
      <w:r w:rsidRPr="00286E08">
        <w:rPr>
          <w:rFonts w:ascii="Yu Gothic" w:eastAsia="Yu Gothic" w:hAnsi="Yu Gothic"/>
          <w:b/>
          <w:sz w:val="20"/>
          <w:szCs w:val="20"/>
        </w:rPr>
        <w:t>Figure 1 – Gross domestic product (quarter-on-quarter change)</w:t>
      </w:r>
    </w:p>
    <w:p w14:paraId="47B67954" w14:textId="0DF5AF12" w:rsidR="00052882" w:rsidRPr="00286E08" w:rsidRDefault="00F85FF4" w:rsidP="006C5A9F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sz w:val="18"/>
          <w:szCs w:val="18"/>
        </w:rPr>
      </w:pPr>
      <w:r w:rsidRPr="00286E08">
        <w:rPr>
          <w:rFonts w:ascii="Yu Gothic" w:eastAsia="Yu Gothic" w:hAnsi="Yu Gothic"/>
          <w:sz w:val="18"/>
          <w:szCs w:val="18"/>
        </w:rPr>
        <w:t>Percentage change on the previous quarter, seasonally adjusted</w:t>
      </w:r>
      <w:r w:rsidR="00D02692" w:rsidRPr="00286E08">
        <w:rPr>
          <w:rFonts w:ascii="Yu Gothic" w:eastAsia="Yu Gothic" w:hAnsi="Yu Gothic"/>
          <w:sz w:val="18"/>
          <w:szCs w:val="18"/>
        </w:rPr>
        <w:t xml:space="preserve"> data</w:t>
      </w:r>
    </w:p>
    <w:p w14:paraId="787CA8B1" w14:textId="391F2C07" w:rsidR="00663EEF" w:rsidRDefault="00663EEF" w:rsidP="00C9562F">
      <w:pPr>
        <w:spacing w:after="80" w:line="192" w:lineRule="auto"/>
        <w:jc w:val="center"/>
        <w:rPr>
          <w:rFonts w:ascii="Yu Gothic" w:eastAsia="Yu Gothic" w:hAnsi="Yu Gothic"/>
          <w:bCs/>
          <w:noProof/>
          <w:sz w:val="16"/>
          <w:szCs w:val="16"/>
          <w:lang w:eastAsia="en-GB"/>
        </w:rPr>
      </w:pPr>
    </w:p>
    <w:p w14:paraId="363E8178" w14:textId="778950C2" w:rsidR="00A97C5A" w:rsidRDefault="00A97C5A" w:rsidP="00C9562F">
      <w:pPr>
        <w:spacing w:after="80" w:line="192" w:lineRule="auto"/>
        <w:jc w:val="center"/>
        <w:rPr>
          <w:rFonts w:ascii="Yu Gothic" w:eastAsia="Yu Gothic" w:hAnsi="Yu Gothic"/>
          <w:bCs/>
          <w:noProof/>
          <w:sz w:val="16"/>
          <w:szCs w:val="16"/>
          <w:lang w:eastAsia="en-GB"/>
        </w:rPr>
      </w:pPr>
      <w:r>
        <w:rPr>
          <w:noProof/>
        </w:rPr>
        <w:drawing>
          <wp:inline distT="0" distB="0" distL="0" distR="0" wp14:anchorId="69EC2599" wp14:editId="236B59FE">
            <wp:extent cx="5701748" cy="2906367"/>
            <wp:effectExtent l="0" t="0" r="0" b="889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0D289F7" w14:textId="2AC24688" w:rsidR="004B4E90" w:rsidRDefault="004B4E90" w:rsidP="00A97C5A">
      <w:pPr>
        <w:rPr>
          <w:rFonts w:ascii="Yu Gothic" w:eastAsia="Yu Gothic" w:hAnsi="Yu Gothic"/>
          <w:b/>
          <w:sz w:val="18"/>
        </w:rPr>
      </w:pPr>
      <w:r>
        <w:rPr>
          <w:rFonts w:ascii="Yu Gothic" w:eastAsia="Yu Gothic" w:hAnsi="Yu Gothic"/>
          <w:b/>
          <w:sz w:val="18"/>
        </w:rPr>
        <w:br w:type="page"/>
      </w:r>
    </w:p>
    <w:p w14:paraId="73D82C2E" w14:textId="6E321E25" w:rsidR="009862D5" w:rsidRDefault="009862D5" w:rsidP="009862D5">
      <w:pPr>
        <w:jc w:val="center"/>
        <w:rPr>
          <w:rFonts w:ascii="Yu Gothic" w:eastAsia="Yu Gothic" w:hAnsi="Yu Gothic"/>
          <w:b/>
          <w:sz w:val="18"/>
        </w:rPr>
      </w:pPr>
      <w:r w:rsidRPr="00286E08">
        <w:rPr>
          <w:rFonts w:ascii="Yu Gothic" w:eastAsia="Yu Gothic" w:hAnsi="Yu Gothic"/>
          <w:b/>
          <w:sz w:val="18"/>
        </w:rPr>
        <w:lastRenderedPageBreak/>
        <w:t>Table 1 – Quarterly (quarter-on-quarter) real GDP growth</w:t>
      </w:r>
    </w:p>
    <w:p w14:paraId="4156D506" w14:textId="39855ABA" w:rsidR="00F7209E" w:rsidRDefault="00F7209E" w:rsidP="00F7209E">
      <w:pPr>
        <w:tabs>
          <w:tab w:val="left" w:pos="6230"/>
        </w:tabs>
        <w:spacing w:after="120"/>
        <w:jc w:val="center"/>
        <w:rPr>
          <w:rFonts w:ascii="Yu Gothic" w:eastAsia="Yu Gothic" w:hAnsi="Yu Gothic"/>
          <w:i/>
          <w:sz w:val="16"/>
        </w:rPr>
      </w:pPr>
      <w:r w:rsidRPr="00286E08">
        <w:rPr>
          <w:rFonts w:ascii="Yu Gothic" w:eastAsia="Yu Gothic" w:hAnsi="Yu Gothic"/>
          <w:i/>
          <w:sz w:val="16"/>
        </w:rPr>
        <w:t>Percentage change on the previous quarter, seasonally adjusted data</w:t>
      </w:r>
      <w:r w:rsidRPr="00F7209E">
        <w:rPr>
          <w:rFonts w:ascii="Yu Gothic" w:eastAsia="Yu Gothic" w:hAnsi="Yu Gothic" w:hint="eastAsia"/>
          <w:i/>
          <w:sz w:val="16"/>
        </w:rPr>
        <w:t> </w:t>
      </w:r>
    </w:p>
    <w:tbl>
      <w:tblPr>
        <w:tblW w:w="9281" w:type="dxa"/>
        <w:jc w:val="center"/>
        <w:tblLook w:val="04A0" w:firstRow="1" w:lastRow="0" w:firstColumn="1" w:lastColumn="0" w:noHBand="0" w:noVBand="1"/>
      </w:tblPr>
      <w:tblGrid>
        <w:gridCol w:w="2080"/>
        <w:gridCol w:w="807"/>
        <w:gridCol w:w="793"/>
        <w:gridCol w:w="793"/>
        <w:gridCol w:w="807"/>
        <w:gridCol w:w="858"/>
        <w:gridCol w:w="843"/>
        <w:gridCol w:w="642"/>
        <w:gridCol w:w="858"/>
        <w:gridCol w:w="800"/>
      </w:tblGrid>
      <w:tr w:rsidR="00A97C5A" w:rsidRPr="00A97C5A" w14:paraId="32E034E8" w14:textId="77777777" w:rsidTr="00C40077">
        <w:trPr>
          <w:trHeight w:val="495"/>
          <w:jc w:val="center"/>
        </w:trPr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0F2FF"/>
            <w:noWrap/>
            <w:hideMark/>
          </w:tcPr>
          <w:p w14:paraId="20EB1764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75ED29AC" w14:textId="77777777" w:rsidR="00A97C5A" w:rsidRPr="00A97C5A" w:rsidRDefault="00A97C5A" w:rsidP="00C40077">
            <w:pPr>
              <w:spacing w:after="0" w:line="240" w:lineRule="auto"/>
              <w:jc w:val="center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3201" w:type="dxa"/>
            <w:gridSpan w:val="4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26649D3A" w14:textId="77777777" w:rsidR="00A97C5A" w:rsidRPr="00A97C5A" w:rsidRDefault="00A97C5A" w:rsidP="00C40077">
            <w:pPr>
              <w:spacing w:after="0" w:line="240" w:lineRule="auto"/>
              <w:jc w:val="center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800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7CF089B7" w14:textId="77777777" w:rsidR="00A97C5A" w:rsidRPr="00A97C5A" w:rsidRDefault="00A97C5A" w:rsidP="00C40077">
            <w:pPr>
              <w:spacing w:after="0" w:line="240" w:lineRule="auto"/>
              <w:jc w:val="center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2025</w:t>
            </w:r>
          </w:p>
        </w:tc>
      </w:tr>
      <w:tr w:rsidR="00A97C5A" w:rsidRPr="00A97C5A" w14:paraId="70296C34" w14:textId="77777777" w:rsidTr="00C40077">
        <w:trPr>
          <w:trHeight w:val="495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0F2FF"/>
            <w:noWrap/>
            <w:vAlign w:val="center"/>
            <w:hideMark/>
          </w:tcPr>
          <w:p w14:paraId="5E5A72D5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4EF44B5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0CFA388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765714D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05C763B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4D49DED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25F7ADA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29CD088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39CCF35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06A12C3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Q1</w:t>
            </w:r>
          </w:p>
        </w:tc>
      </w:tr>
      <w:tr w:rsidR="00A97C5A" w:rsidRPr="00A97C5A" w14:paraId="09943B94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28F244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OECD area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D96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B8F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7EF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78181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09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F87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A8C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0CC9C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A4E28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</w:tr>
      <w:tr w:rsidR="00A97C5A" w:rsidRPr="00A97C5A" w14:paraId="5B99D6CC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0F2FF"/>
            <w:noWrap/>
            <w:vAlign w:val="bottom"/>
            <w:hideMark/>
          </w:tcPr>
          <w:p w14:paraId="16BE5604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G20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EF6823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1EF2D2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FA35C6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391D8AC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D62C62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15853F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499A1A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14DBD16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4FFDEDD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..</w:t>
            </w:r>
          </w:p>
        </w:tc>
      </w:tr>
      <w:tr w:rsidR="00A97C5A" w:rsidRPr="00A97C5A" w14:paraId="00D7F5B9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D248D2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European Union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BA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4E9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F8E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83EF1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C6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D0C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A76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25D6B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ABCCA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</w:tr>
      <w:tr w:rsidR="00A97C5A" w:rsidRPr="00A97C5A" w14:paraId="11323AF3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0F2FF"/>
            <w:noWrap/>
            <w:vAlign w:val="bottom"/>
            <w:hideMark/>
          </w:tcPr>
          <w:p w14:paraId="77FA6AC2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Euro area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CDE894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045C82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01C6C1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0D6A913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C52622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F8CEE6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CA1C22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54A20D8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67ED2F0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</w:tr>
      <w:tr w:rsidR="00A97C5A" w:rsidRPr="00A97C5A" w14:paraId="3579F808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0C251D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G7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A32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BF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759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E67BD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CA0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CC0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60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DD7DB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2CA9C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</w:tr>
      <w:tr w:rsidR="00A97C5A" w:rsidRPr="00A97C5A" w14:paraId="373F7822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0F2FF"/>
            <w:noWrap/>
            <w:vAlign w:val="bottom"/>
            <w:hideMark/>
          </w:tcPr>
          <w:p w14:paraId="232D225A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Canada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58B893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51B2D5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EA724D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0D3D3BD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12CE0D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1B9C9F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F85848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003A5A8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59AF5AE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</w:tr>
      <w:tr w:rsidR="00A97C5A" w:rsidRPr="00A97C5A" w14:paraId="294AA87F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F09043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France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20F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B7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6F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D2FCA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EBB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D4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134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45E27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0CB36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</w:tr>
      <w:tr w:rsidR="00A97C5A" w:rsidRPr="00A97C5A" w14:paraId="4A99EC43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0F2FF"/>
            <w:noWrap/>
            <w:vAlign w:val="bottom"/>
            <w:hideMark/>
          </w:tcPr>
          <w:p w14:paraId="302EC736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Germany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D9D298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14DE6E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49FBF6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7F7E8E9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530E4D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FC8BA2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299D85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230D2C3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4B67079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</w:tr>
      <w:tr w:rsidR="00A97C5A" w:rsidRPr="00A97C5A" w14:paraId="77E7A86A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09B516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Italy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D24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AE7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B51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AD4E3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F27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7D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F8B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7BC2F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F2B3C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</w:tr>
      <w:tr w:rsidR="00A97C5A" w:rsidRPr="00A97C5A" w14:paraId="6F6D94BD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0F2FF"/>
            <w:noWrap/>
            <w:vAlign w:val="bottom"/>
            <w:hideMark/>
          </w:tcPr>
          <w:p w14:paraId="0D34E385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Japan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109264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70E5E2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D3E579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-1.0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7BB2B40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1B2A7D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DDE082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9EC5FB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1C21DB1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59DF87E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</w:tr>
      <w:tr w:rsidR="00A97C5A" w:rsidRPr="00A97C5A" w14:paraId="7B17FC0E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EFFF1C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United Kingdom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71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49C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96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17D48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0F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68C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802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88B31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4C099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</w:tr>
      <w:tr w:rsidR="00A97C5A" w:rsidRPr="00A97C5A" w14:paraId="4CBAAB50" w14:textId="77777777" w:rsidTr="00C400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0F2FF"/>
            <w:noWrap/>
            <w:vAlign w:val="bottom"/>
            <w:hideMark/>
          </w:tcPr>
          <w:p w14:paraId="622D9301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United States </w:t>
            </w:r>
          </w:p>
        </w:tc>
        <w:tc>
          <w:tcPr>
            <w:tcW w:w="80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096D793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47CEE88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67BB3E7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1558104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6E7564B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28A569B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6CD4818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2F7A8DF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0BA4CF8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</w:tr>
    </w:tbl>
    <w:p w14:paraId="3F7AC81E" w14:textId="0D4C02C0" w:rsidR="002543BC" w:rsidRDefault="00A97C5A" w:rsidP="002543BC">
      <w:pPr>
        <w:tabs>
          <w:tab w:val="left" w:pos="6230"/>
        </w:tabs>
        <w:spacing w:after="80"/>
        <w:ind w:left="113"/>
        <w:rPr>
          <w:rFonts w:ascii="Yu Gothic" w:eastAsia="Yu Gothic" w:hAnsi="Yu Gothic"/>
          <w:sz w:val="16"/>
        </w:rPr>
      </w:pPr>
      <w:r>
        <w:rPr>
          <w:rFonts w:ascii="Yu Gothic" w:eastAsia="Yu Gothic" w:hAnsi="Yu Gothic"/>
          <w:sz w:val="16"/>
        </w:rPr>
        <w:t xml:space="preserve">          </w:t>
      </w:r>
      <w:r w:rsidR="00B05D71">
        <w:rPr>
          <w:rFonts w:ascii="Yu Gothic" w:eastAsia="Yu Gothic" w:hAnsi="Yu Gothic"/>
          <w:sz w:val="16"/>
        </w:rPr>
        <w:t>.</w:t>
      </w:r>
      <w:r w:rsidR="009862D5" w:rsidRPr="00264823">
        <w:rPr>
          <w:rFonts w:ascii="Yu Gothic" w:eastAsia="Yu Gothic" w:hAnsi="Yu Gothic"/>
          <w:sz w:val="16"/>
        </w:rPr>
        <w:t>.: not</w:t>
      </w:r>
      <w:r w:rsidR="00286E08" w:rsidRPr="00264823">
        <w:rPr>
          <w:rFonts w:ascii="Yu Gothic" w:eastAsia="Yu Gothic" w:hAnsi="Yu Gothic"/>
          <w:sz w:val="16"/>
        </w:rPr>
        <w:t xml:space="preserve"> </w:t>
      </w:r>
      <w:r w:rsidR="009862D5" w:rsidRPr="00264823">
        <w:rPr>
          <w:rFonts w:ascii="Yu Gothic" w:eastAsia="Yu Gothic" w:hAnsi="Yu Gothic"/>
          <w:sz w:val="16"/>
        </w:rPr>
        <w:t>available</w:t>
      </w:r>
    </w:p>
    <w:p w14:paraId="041B1BD1" w14:textId="4BF23AB8" w:rsidR="00ED5660" w:rsidRDefault="00A97C5A" w:rsidP="002543BC">
      <w:pPr>
        <w:tabs>
          <w:tab w:val="left" w:pos="6230"/>
        </w:tabs>
        <w:spacing w:after="120"/>
        <w:ind w:left="113"/>
        <w:rPr>
          <w:rStyle w:val="Hyperlink"/>
          <w:rFonts w:ascii="Yu Gothic" w:eastAsia="Yu Gothic" w:hAnsi="Yu Gothic" w:cstheme="minorBidi"/>
          <w:sz w:val="16"/>
          <w:szCs w:val="22"/>
        </w:rPr>
      </w:pPr>
      <w:r>
        <w:rPr>
          <w:rFonts w:ascii="Yu Gothic" w:eastAsia="Yu Gothic" w:hAnsi="Yu Gothic"/>
          <w:sz w:val="16"/>
        </w:rPr>
        <w:t xml:space="preserve">          </w:t>
      </w:r>
      <w:r w:rsidR="00ED4650" w:rsidRPr="00ED4650">
        <w:rPr>
          <w:rFonts w:ascii="Yu Gothic" w:eastAsia="Yu Gothic" w:hAnsi="Yu Gothic"/>
          <w:sz w:val="16"/>
        </w:rPr>
        <w:t xml:space="preserve">Source: </w:t>
      </w:r>
      <w:r w:rsidR="00ED4650" w:rsidRPr="000441B4">
        <w:rPr>
          <w:rFonts w:ascii="Yu Gothic" w:eastAsia="Yu Gothic" w:hAnsi="Yu Gothic"/>
          <w:sz w:val="16"/>
        </w:rPr>
        <w:t>OECD (202</w:t>
      </w:r>
      <w:r w:rsidR="0073159C">
        <w:rPr>
          <w:rFonts w:ascii="Yu Gothic" w:eastAsia="Yu Gothic" w:hAnsi="Yu Gothic"/>
          <w:sz w:val="16"/>
        </w:rPr>
        <w:t>5</w:t>
      </w:r>
      <w:r w:rsidR="00ED4650" w:rsidRPr="000441B4">
        <w:rPr>
          <w:rFonts w:ascii="Yu Gothic" w:eastAsia="Yu Gothic" w:hAnsi="Yu Gothic"/>
          <w:sz w:val="16"/>
        </w:rPr>
        <w:t xml:space="preserve">) </w:t>
      </w:r>
      <w:hyperlink r:id="rId18" w:history="1">
        <w:r w:rsidR="00ED4650" w:rsidRPr="000441B4">
          <w:rPr>
            <w:rStyle w:val="Hyperlink"/>
            <w:rFonts w:ascii="Yu Gothic" w:eastAsia="Yu Gothic" w:hAnsi="Yu Gothic" w:cstheme="minorBidi"/>
            <w:sz w:val="16"/>
            <w:szCs w:val="22"/>
          </w:rPr>
          <w:t>Quarterly National Accounts (Database)</w:t>
        </w:r>
      </w:hyperlink>
    </w:p>
    <w:p w14:paraId="6E275159" w14:textId="77777777" w:rsidR="00AC04EB" w:rsidRDefault="00AC04EB" w:rsidP="002543BC">
      <w:pPr>
        <w:tabs>
          <w:tab w:val="left" w:pos="6230"/>
        </w:tabs>
        <w:spacing w:after="120"/>
        <w:ind w:left="113"/>
        <w:rPr>
          <w:rStyle w:val="Hyperlink"/>
          <w:rFonts w:ascii="Yu Gothic" w:eastAsia="Yu Gothic" w:hAnsi="Yu Gothic" w:cstheme="minorBidi"/>
          <w:sz w:val="16"/>
          <w:szCs w:val="22"/>
        </w:rPr>
      </w:pPr>
    </w:p>
    <w:p w14:paraId="16236503" w14:textId="77777777" w:rsidR="00AC04EB" w:rsidRPr="002543BC" w:rsidRDefault="00AC04EB" w:rsidP="002543BC">
      <w:pPr>
        <w:tabs>
          <w:tab w:val="left" w:pos="6230"/>
        </w:tabs>
        <w:spacing w:after="120"/>
        <w:ind w:left="113"/>
        <w:rPr>
          <w:rStyle w:val="Hyperlink"/>
          <w:rFonts w:ascii="Yu Gothic" w:eastAsia="Yu Gothic" w:hAnsi="Yu Gothic" w:cstheme="minorBidi"/>
          <w:b w:val="0"/>
          <w:bCs w:val="0"/>
          <w:color w:val="auto"/>
          <w:sz w:val="16"/>
          <w:szCs w:val="22"/>
          <w:u w:val="none"/>
        </w:rPr>
      </w:pPr>
    </w:p>
    <w:p w14:paraId="252F32FB" w14:textId="08113F14" w:rsidR="00D8497E" w:rsidRPr="00264823" w:rsidRDefault="00D8497E" w:rsidP="00AC04EB">
      <w:pPr>
        <w:jc w:val="center"/>
        <w:rPr>
          <w:rFonts w:ascii="Yu Gothic" w:eastAsia="Yu Gothic" w:hAnsi="Yu Gothic"/>
          <w:b/>
          <w:sz w:val="18"/>
        </w:rPr>
      </w:pPr>
      <w:r w:rsidRPr="00264823">
        <w:rPr>
          <w:rFonts w:ascii="Yu Gothic" w:eastAsia="Yu Gothic" w:hAnsi="Yu Gothic"/>
          <w:b/>
          <w:sz w:val="18"/>
        </w:rPr>
        <w:t xml:space="preserve">Table 2 – </w:t>
      </w:r>
      <w:r w:rsidR="00795C88">
        <w:rPr>
          <w:rFonts w:ascii="Yu Gothic" w:eastAsia="Yu Gothic" w:hAnsi="Yu Gothic"/>
          <w:b/>
          <w:sz w:val="18"/>
        </w:rPr>
        <w:t>Q</w:t>
      </w:r>
      <w:r w:rsidRPr="00264823">
        <w:rPr>
          <w:rFonts w:ascii="Yu Gothic" w:eastAsia="Yu Gothic" w:hAnsi="Yu Gothic"/>
          <w:b/>
          <w:sz w:val="18"/>
        </w:rPr>
        <w:t>uarterly (year-on-year) real GDP growth</w:t>
      </w:r>
    </w:p>
    <w:p w14:paraId="197D6326" w14:textId="77777777" w:rsidR="00795C88" w:rsidRDefault="00795C88" w:rsidP="00795C88">
      <w:pPr>
        <w:tabs>
          <w:tab w:val="left" w:pos="6230"/>
        </w:tabs>
        <w:spacing w:after="120"/>
        <w:jc w:val="center"/>
        <w:rPr>
          <w:rFonts w:ascii="Yu Gothic" w:eastAsia="Yu Gothic" w:hAnsi="Yu Gothic"/>
          <w:i/>
          <w:sz w:val="16"/>
        </w:rPr>
      </w:pPr>
      <w:r w:rsidRPr="00264823">
        <w:rPr>
          <w:rFonts w:ascii="Yu Gothic" w:eastAsia="Yu Gothic" w:hAnsi="Yu Gothic"/>
          <w:i/>
          <w:sz w:val="16"/>
        </w:rPr>
        <w:t>Percentage change on the same quarter</w:t>
      </w:r>
      <w:r>
        <w:rPr>
          <w:rFonts w:ascii="Yu Gothic" w:eastAsia="Yu Gothic" w:hAnsi="Yu Gothic"/>
          <w:i/>
          <w:sz w:val="16"/>
        </w:rPr>
        <w:t xml:space="preserve"> </w:t>
      </w:r>
      <w:r w:rsidRPr="00264823">
        <w:rPr>
          <w:rFonts w:ascii="Yu Gothic" w:eastAsia="Yu Gothic" w:hAnsi="Yu Gothic"/>
          <w:i/>
          <w:sz w:val="16"/>
        </w:rPr>
        <w:t>of the previous year</w:t>
      </w:r>
      <w:r>
        <w:rPr>
          <w:rFonts w:ascii="Yu Gothic" w:eastAsia="Yu Gothic" w:hAnsi="Yu Gothic"/>
          <w:i/>
          <w:sz w:val="16"/>
        </w:rPr>
        <w:t>, seasonally adjusted data</w:t>
      </w: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1860"/>
        <w:gridCol w:w="770"/>
        <w:gridCol w:w="753"/>
        <w:gridCol w:w="990"/>
        <w:gridCol w:w="1007"/>
        <w:gridCol w:w="888"/>
        <w:gridCol w:w="872"/>
        <w:gridCol w:w="872"/>
        <w:gridCol w:w="888"/>
        <w:gridCol w:w="880"/>
      </w:tblGrid>
      <w:tr w:rsidR="00A97C5A" w:rsidRPr="00A97C5A" w14:paraId="6903467B" w14:textId="77777777" w:rsidTr="00C40077">
        <w:trPr>
          <w:trHeight w:val="360"/>
          <w:jc w:val="center"/>
        </w:trPr>
        <w:tc>
          <w:tcPr>
            <w:tcW w:w="186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0F2FF"/>
            <w:noWrap/>
            <w:hideMark/>
          </w:tcPr>
          <w:p w14:paraId="5C9623BF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20" w:type="dxa"/>
            <w:gridSpan w:val="4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06E639BF" w14:textId="77777777" w:rsidR="00A97C5A" w:rsidRPr="00A97C5A" w:rsidRDefault="00A97C5A" w:rsidP="00C40077">
            <w:pPr>
              <w:spacing w:after="0" w:line="240" w:lineRule="auto"/>
              <w:jc w:val="center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3520" w:type="dxa"/>
            <w:gridSpan w:val="4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49420251" w14:textId="77777777" w:rsidR="00A97C5A" w:rsidRPr="00A97C5A" w:rsidRDefault="00A97C5A" w:rsidP="00C40077">
            <w:pPr>
              <w:spacing w:after="0" w:line="240" w:lineRule="auto"/>
              <w:jc w:val="center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880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045FC488" w14:textId="77777777" w:rsidR="00A97C5A" w:rsidRPr="00A97C5A" w:rsidRDefault="00A97C5A" w:rsidP="00C40077">
            <w:pPr>
              <w:spacing w:after="0" w:line="240" w:lineRule="auto"/>
              <w:jc w:val="center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2025</w:t>
            </w:r>
          </w:p>
        </w:tc>
      </w:tr>
      <w:tr w:rsidR="00A97C5A" w:rsidRPr="00A97C5A" w14:paraId="5440D7DC" w14:textId="77777777" w:rsidTr="00C40077">
        <w:trPr>
          <w:trHeight w:val="36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3DB3DBEA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380863D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34EA318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177AD16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5DC0093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2B2EC16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3BBD486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0F2FF"/>
            <w:noWrap/>
            <w:vAlign w:val="center"/>
            <w:hideMark/>
          </w:tcPr>
          <w:p w14:paraId="678F910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09BB8BD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7AEF955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Q1</w:t>
            </w:r>
          </w:p>
        </w:tc>
      </w:tr>
      <w:tr w:rsidR="00A97C5A" w:rsidRPr="00A97C5A" w14:paraId="1C391C71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A60809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OECD area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177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F92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3D3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E9F493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7B7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F8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A66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0AF17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DE74F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1.6</w:t>
            </w:r>
          </w:p>
        </w:tc>
      </w:tr>
      <w:tr w:rsidR="00A97C5A" w:rsidRPr="00A97C5A" w14:paraId="2DB67E74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5604DB30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G20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359ACD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249476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044AE8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65E7695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9C1570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93535D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95E26E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0C08656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392724A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..</w:t>
            </w:r>
          </w:p>
        </w:tc>
      </w:tr>
      <w:tr w:rsidR="00A97C5A" w:rsidRPr="00A97C5A" w14:paraId="606AB93B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1DE2CF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European Union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01A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576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92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21F01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654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98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CBF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E35F6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CF0E7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1.4</w:t>
            </w:r>
          </w:p>
        </w:tc>
      </w:tr>
      <w:tr w:rsidR="00A97C5A" w:rsidRPr="00A97C5A" w14:paraId="2959BAA0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7950E9A4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Euro area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020374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EF5A4F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0C763F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4C52BD5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D369EC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377036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7CA539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47F5CB8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3B8CF32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</w:tr>
      <w:tr w:rsidR="00A97C5A" w:rsidRPr="00A97C5A" w14:paraId="75B74DFF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594538" w14:textId="77777777" w:rsidR="00A97C5A" w:rsidRPr="00A97C5A" w:rsidRDefault="00A97C5A" w:rsidP="00C40077">
            <w:pPr>
              <w:spacing w:after="0" w:line="240" w:lineRule="auto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G7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EE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4A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28A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6DB3F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D8C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816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96E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389B0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A107D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1.5</w:t>
            </w:r>
          </w:p>
        </w:tc>
      </w:tr>
      <w:tr w:rsidR="00A97C5A" w:rsidRPr="00A97C5A" w14:paraId="03173DAB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14382FFE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Canada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A95DC9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23C8B5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7BA2D1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5C60DD3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B14601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7B7915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84FDD3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3AE7928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60ED1A4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2.3</w:t>
            </w:r>
          </w:p>
        </w:tc>
      </w:tr>
      <w:tr w:rsidR="00A97C5A" w:rsidRPr="00A97C5A" w14:paraId="3FE58015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A56AFD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France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49A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38B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B3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FBDF5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6DE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652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1C4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0BB59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41AF0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</w:tr>
      <w:tr w:rsidR="00A97C5A" w:rsidRPr="00A97C5A" w14:paraId="1BC718C0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626F70DB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Germany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849697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360916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AB7616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38209AB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5DC205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8D19CD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C7AF23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33AC246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6DFCF16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</w:tr>
      <w:tr w:rsidR="00A97C5A" w:rsidRPr="00A97C5A" w14:paraId="680E02EF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0D471B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Italy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A9FA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CD7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CF0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9D7CC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876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C6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70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CA5F0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AB9F6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0.6</w:t>
            </w:r>
          </w:p>
        </w:tc>
      </w:tr>
      <w:tr w:rsidR="00A97C5A" w:rsidRPr="00A97C5A" w14:paraId="60822A39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7C937B97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>Japan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0F937D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3E0AAE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D08E0F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68AB526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F84F7C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B21AC1C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5D497D2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57D1319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0F6994E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1.6</w:t>
            </w:r>
          </w:p>
        </w:tc>
      </w:tr>
      <w:tr w:rsidR="00A97C5A" w:rsidRPr="00A97C5A" w14:paraId="07BACDF3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9AB168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United Kingdom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E7C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704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299B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790163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-0.2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2A4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B9A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3FA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328B4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1744E5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1.3</w:t>
            </w:r>
          </w:p>
        </w:tc>
      </w:tr>
      <w:tr w:rsidR="00A97C5A" w:rsidRPr="00A97C5A" w14:paraId="5C54BB2B" w14:textId="77777777" w:rsidTr="00C40077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247BA511" w14:textId="77777777" w:rsidR="00A97C5A" w:rsidRPr="00A97C5A" w:rsidRDefault="00A97C5A" w:rsidP="00C40077">
            <w:pPr>
              <w:spacing w:after="0" w:line="240" w:lineRule="auto"/>
              <w:ind w:firstLineChars="200" w:firstLine="320"/>
              <w:rPr>
                <w:rFonts w:ascii="Yu Gothic" w:eastAsia="Yu Gothic" w:hAnsi="Yu Gothic" w:cs="Times"/>
                <w:b/>
                <w:bCs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b/>
                <w:bCs/>
                <w:sz w:val="16"/>
                <w:szCs w:val="16"/>
                <w:lang w:eastAsia="en-GB"/>
              </w:rPr>
              <w:t xml:space="preserve">United States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36784316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3EB26887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5D60CC1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6582B8BE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62F62CCF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1921EE99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3.0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E0F2FF"/>
            <w:noWrap/>
            <w:vAlign w:val="center"/>
            <w:hideMark/>
          </w:tcPr>
          <w:p w14:paraId="45CB1E8D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center"/>
            <w:hideMark/>
          </w:tcPr>
          <w:p w14:paraId="1C5FDF31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0F2FF"/>
            <w:noWrap/>
            <w:vAlign w:val="bottom"/>
            <w:hideMark/>
          </w:tcPr>
          <w:p w14:paraId="250217B8" w14:textId="77777777" w:rsidR="00A97C5A" w:rsidRPr="00A97C5A" w:rsidRDefault="00A97C5A" w:rsidP="00C40077">
            <w:pPr>
              <w:spacing w:after="0" w:line="240" w:lineRule="auto"/>
              <w:jc w:val="right"/>
              <w:rPr>
                <w:rFonts w:ascii="Yu Gothic" w:eastAsia="Yu Gothic" w:hAnsi="Yu Gothic" w:cs="Times"/>
                <w:sz w:val="16"/>
                <w:szCs w:val="16"/>
                <w:lang w:eastAsia="en-GB"/>
              </w:rPr>
            </w:pPr>
            <w:r w:rsidRPr="00A97C5A">
              <w:rPr>
                <w:rFonts w:ascii="Yu Gothic" w:eastAsia="Yu Gothic" w:hAnsi="Yu Gothic" w:cs="Times" w:hint="eastAsia"/>
                <w:sz w:val="16"/>
                <w:szCs w:val="16"/>
                <w:lang w:eastAsia="en-GB"/>
              </w:rPr>
              <w:t>2.0</w:t>
            </w:r>
          </w:p>
        </w:tc>
      </w:tr>
    </w:tbl>
    <w:p w14:paraId="19DD90DC" w14:textId="20672265" w:rsidR="00264823" w:rsidRDefault="00A97C5A" w:rsidP="002543BC">
      <w:pPr>
        <w:tabs>
          <w:tab w:val="left" w:pos="6230"/>
        </w:tabs>
        <w:spacing w:after="80"/>
        <w:rPr>
          <w:rFonts w:ascii="Yu Gothic" w:eastAsia="Yu Gothic" w:hAnsi="Yu Gothic"/>
          <w:sz w:val="16"/>
        </w:rPr>
      </w:pPr>
      <w:r>
        <w:rPr>
          <w:rFonts w:ascii="Yu Gothic" w:eastAsia="Yu Gothic" w:hAnsi="Yu Gothic"/>
          <w:sz w:val="16"/>
        </w:rPr>
        <w:t xml:space="preserve">       </w:t>
      </w:r>
      <w:r w:rsidR="00264823" w:rsidRPr="00264823">
        <w:rPr>
          <w:rFonts w:ascii="Yu Gothic" w:eastAsia="Yu Gothic" w:hAnsi="Yu Gothic"/>
          <w:sz w:val="16"/>
        </w:rPr>
        <w:t>..: not available</w:t>
      </w:r>
    </w:p>
    <w:p w14:paraId="237E81F7" w14:textId="0BF5F18B" w:rsidR="00BD6BE9" w:rsidRDefault="00A97C5A" w:rsidP="009201E3">
      <w:pPr>
        <w:spacing w:after="0"/>
        <w:rPr>
          <w:rStyle w:val="Hyperlink"/>
          <w:rFonts w:ascii="Yu Gothic" w:eastAsia="Yu Gothic" w:hAnsi="Yu Gothic" w:cstheme="minorBidi"/>
          <w:sz w:val="16"/>
          <w:szCs w:val="22"/>
        </w:rPr>
      </w:pPr>
      <w:r>
        <w:rPr>
          <w:rFonts w:ascii="Yu Gothic" w:eastAsia="Yu Gothic" w:hAnsi="Yu Gothic"/>
          <w:sz w:val="16"/>
        </w:rPr>
        <w:t xml:space="preserve">        </w:t>
      </w:r>
      <w:r w:rsidR="00ED4650" w:rsidRPr="00ED4650">
        <w:rPr>
          <w:rFonts w:ascii="Yu Gothic" w:eastAsia="Yu Gothic" w:hAnsi="Yu Gothic"/>
          <w:sz w:val="16"/>
        </w:rPr>
        <w:t>Source: OECD (202</w:t>
      </w:r>
      <w:r w:rsidR="0073159C">
        <w:rPr>
          <w:rFonts w:ascii="Yu Gothic" w:eastAsia="Yu Gothic" w:hAnsi="Yu Gothic"/>
          <w:sz w:val="16"/>
        </w:rPr>
        <w:t>5</w:t>
      </w:r>
      <w:r w:rsidR="00ED4650" w:rsidRPr="00ED4650">
        <w:rPr>
          <w:rFonts w:ascii="Yu Gothic" w:eastAsia="Yu Gothic" w:hAnsi="Yu Gothic"/>
          <w:sz w:val="16"/>
        </w:rPr>
        <w:t xml:space="preserve">) </w:t>
      </w:r>
      <w:hyperlink r:id="rId19" w:history="1">
        <w:r w:rsidR="00ED4650" w:rsidRPr="00ED4650">
          <w:rPr>
            <w:rStyle w:val="Hyperlink"/>
            <w:rFonts w:ascii="Yu Gothic" w:eastAsia="Yu Gothic" w:hAnsi="Yu Gothic" w:cstheme="minorBidi"/>
            <w:sz w:val="16"/>
            <w:szCs w:val="22"/>
          </w:rPr>
          <w:t>Quarterly National Accounts (Database)</w:t>
        </w:r>
      </w:hyperlink>
    </w:p>
    <w:p w14:paraId="32DC148F" w14:textId="3307B72A" w:rsidR="00BD6BE9" w:rsidRDefault="00BD6BE9">
      <w:pPr>
        <w:rPr>
          <w:rStyle w:val="Hyperlink"/>
          <w:rFonts w:ascii="Yu Gothic" w:eastAsia="Yu Gothic" w:hAnsi="Yu Gothic" w:cstheme="minorBidi"/>
          <w:sz w:val="16"/>
          <w:szCs w:val="22"/>
        </w:rPr>
      </w:pPr>
      <w:r>
        <w:rPr>
          <w:rStyle w:val="Hyperlink"/>
          <w:rFonts w:ascii="Yu Gothic" w:eastAsia="Yu Gothic" w:hAnsi="Yu Gothic" w:cstheme="minorBidi"/>
          <w:sz w:val="16"/>
          <w:szCs w:val="22"/>
        </w:rPr>
        <w:br w:type="page"/>
      </w:r>
    </w:p>
    <w:p w14:paraId="5DC99C25" w14:textId="77777777" w:rsidR="00611E2D" w:rsidRDefault="00611E2D" w:rsidP="009201E3">
      <w:pPr>
        <w:spacing w:after="0"/>
        <w:rPr>
          <w:rFonts w:ascii="Yu Gothic" w:eastAsia="Yu Gothic" w:hAnsi="Yu Gothic"/>
          <w:b/>
          <w:sz w:val="8"/>
          <w:szCs w:val="8"/>
        </w:rPr>
      </w:pPr>
    </w:p>
    <w:p w14:paraId="39B89BF5" w14:textId="77777777" w:rsidR="00611E2D" w:rsidRDefault="00611E2D" w:rsidP="009201E3">
      <w:pPr>
        <w:spacing w:after="0"/>
        <w:rPr>
          <w:rFonts w:ascii="Yu Gothic" w:eastAsia="Yu Gothic" w:hAnsi="Yu Gothic"/>
          <w:b/>
          <w:sz w:val="8"/>
          <w:szCs w:val="8"/>
        </w:rPr>
      </w:pPr>
    </w:p>
    <w:p w14:paraId="235BBDD9" w14:textId="666B340C" w:rsidR="00BD786E" w:rsidRPr="000B490C" w:rsidRDefault="00BD6BE9" w:rsidP="009201E3">
      <w:pPr>
        <w:spacing w:after="0"/>
        <w:rPr>
          <w:rFonts w:ascii="Yu Gothic" w:eastAsia="Yu Gothic" w:hAnsi="Yu Gothic"/>
          <w:b/>
          <w:sz w:val="8"/>
          <w:szCs w:val="8"/>
        </w:rPr>
      </w:pPr>
      <w:r>
        <w:rPr>
          <w:rFonts w:ascii="Yu Gothic Medium" w:eastAsia="Yu Gothic Medium" w:hAnsi="Yu Gothic Medium"/>
          <w:b/>
          <w:noProof/>
          <w:color w:val="FF0000"/>
          <w:sz w:val="32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AD6755" wp14:editId="33E330D2">
                <wp:simplePos x="0" y="0"/>
                <wp:positionH relativeFrom="margin">
                  <wp:align>left</wp:align>
                </wp:positionH>
                <wp:positionV relativeFrom="paragraph">
                  <wp:posOffset>497988</wp:posOffset>
                </wp:positionV>
                <wp:extent cx="6381750" cy="4779034"/>
                <wp:effectExtent l="0" t="0" r="19050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779034"/>
                        </a:xfrm>
                        <a:prstGeom prst="rect">
                          <a:avLst/>
                        </a:prstGeom>
                        <a:solidFill>
                          <a:srgbClr val="E0F2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881C" w14:textId="5477F610" w:rsidR="00DE2050" w:rsidRPr="0047104E" w:rsidRDefault="00DE2050" w:rsidP="00921F01">
                            <w:pPr>
                              <w:spacing w:after="0"/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</w:pPr>
                            <w:r w:rsidRPr="0047104E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 xml:space="preserve">Data shown in this release was </w:t>
                            </w:r>
                            <w:r w:rsidRPr="00185243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 xml:space="preserve">last </w:t>
                            </w:r>
                            <w:r w:rsidR="00006D00" w:rsidRPr="00185243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 xml:space="preserve">updated on the </w:t>
                            </w:r>
                            <w:r w:rsidR="00595BBE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Pr="00185243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185243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4C6904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 xml:space="preserve">May </w:t>
                            </w:r>
                            <w:r w:rsidR="00DF4461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2660F8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185243"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F1EBC9D" w14:textId="77777777" w:rsidR="002D7BF5" w:rsidRDefault="002D7BF5" w:rsidP="00B65B30">
                            <w:pPr>
                              <w:spacing w:after="8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BDB669" w14:textId="09FD226F" w:rsidR="00DE2050" w:rsidRPr="000441B4" w:rsidRDefault="00DE2050" w:rsidP="00B65B30">
                            <w:pPr>
                              <w:spacing w:after="8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  <w:r w:rsidRPr="000441B4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 xml:space="preserve">Methodological information: </w:t>
                            </w:r>
                          </w:p>
                          <w:p w14:paraId="5B0BD6D3" w14:textId="6FF407BC" w:rsidR="00DE2050" w:rsidRPr="000441B4" w:rsidRDefault="00DE2050" w:rsidP="00627285">
                            <w:pPr>
                              <w:spacing w:after="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OECD GDP growth – </w:t>
                            </w:r>
                            <w:hyperlink r:id="rId20" w:history="1">
                              <w:r w:rsidRPr="000441B4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</w:rPr>
                                <w:t>Methodological Notes for OECD GDP News Release</w:t>
                              </w:r>
                            </w:hyperlink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D3F685" w14:textId="77777777" w:rsidR="00611E2D" w:rsidRDefault="00DE2050" w:rsidP="00611E2D">
                            <w:pPr>
                              <w:spacing w:after="8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G20 GDP growth – </w:t>
                            </w:r>
                            <w:hyperlink r:id="rId21" w:history="1">
                              <w:r w:rsidRPr="000441B4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</w:rPr>
                                <w:t>Methodological Notes for G20 GDP News Release</w:t>
                              </w:r>
                            </w:hyperlink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97CA3B" w14:textId="51046C84" w:rsidR="00384089" w:rsidRDefault="00384089" w:rsidP="00611E2D">
                            <w:pPr>
                              <w:spacing w:after="80"/>
                              <w:rPr>
                                <w:rStyle w:val="cf01"/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Style w:val="cf01"/>
                                <w:rFonts w:ascii="Yu Gothic" w:eastAsia="Yu Gothic" w:hAnsi="Yu Gothic"/>
                              </w:rPr>
                              <w:t xml:space="preserve">Interested in understanding the </w:t>
                            </w:r>
                            <w:r w:rsidRPr="00384089">
                              <w:rPr>
                                <w:rStyle w:val="cf01"/>
                                <w:rFonts w:ascii="Yu Gothic" w:eastAsia="Yu Gothic" w:hAnsi="Yu Gothic"/>
                              </w:rPr>
                              <w:t>impact of changing tariffs on GDP</w:t>
                            </w:r>
                            <w:r>
                              <w:rPr>
                                <w:rStyle w:val="cf01"/>
                                <w:rFonts w:ascii="Yu Gothic" w:eastAsia="Yu Gothic" w:hAnsi="Yu Gothic"/>
                              </w:rPr>
                              <w:t xml:space="preserve">? </w:t>
                            </w:r>
                            <w:r w:rsidR="00A466CF">
                              <w:rPr>
                                <w:rStyle w:val="cf01"/>
                                <w:rFonts w:ascii="Yu Gothic" w:eastAsia="Yu Gothic" w:hAnsi="Yu Gothic"/>
                              </w:rPr>
                              <w:t xml:space="preserve">Read </w:t>
                            </w:r>
                            <w:r>
                              <w:rPr>
                                <w:rStyle w:val="cf01"/>
                                <w:rFonts w:ascii="Yu Gothic" w:eastAsia="Yu Gothic" w:hAnsi="Yu Gothic"/>
                              </w:rPr>
                              <w:t>our latest blog</w:t>
                            </w:r>
                            <w:r w:rsidR="005E2FEA">
                              <w:rPr>
                                <w:rStyle w:val="cf01"/>
                                <w:rFonts w:ascii="Yu Gothic" w:eastAsia="Yu Gothic" w:hAnsi="Yu Gothic"/>
                              </w:rPr>
                              <w:t xml:space="preserve"> </w:t>
                            </w:r>
                            <w:r w:rsidR="005E2FEA" w:rsidRPr="004C5DE6">
                              <w:rPr>
                                <w:rFonts w:ascii="Yu Gothic Medium" w:eastAsia="Yu Gothic Medium" w:hAnsi="Yu Gothic Medium"/>
                                <w:sz w:val="17"/>
                                <w:szCs w:val="17"/>
                              </w:rPr>
                              <w:t>"</w:t>
                            </w:r>
                            <w:hyperlink r:id="rId22" w:history="1">
                              <w:r w:rsidR="005E2FEA" w:rsidRPr="00625DC6">
                                <w:rPr>
                                  <w:rStyle w:val="Hyperlink"/>
                                  <w:rFonts w:ascii="Yu Gothic Medium" w:eastAsia="Yu Gothic Medium" w:hAnsi="Yu Gothic Medium" w:cstheme="minorBidi"/>
                                  <w:b w:val="0"/>
                                  <w:bCs w:val="0"/>
                                  <w:sz w:val="17"/>
                                  <w:szCs w:val="17"/>
                                </w:rPr>
                                <w:t>Understanding the impact of changing tariffs on GDP</w:t>
                              </w:r>
                            </w:hyperlink>
                            <w:r w:rsidR="005E2FEA" w:rsidRPr="00625DC6">
                              <w:rPr>
                                <w:rFonts w:ascii="Yu Gothic Medium" w:eastAsia="Yu Gothic Medium" w:hAnsi="Yu Gothic Medium"/>
                                <w:sz w:val="17"/>
                                <w:szCs w:val="17"/>
                              </w:rPr>
                              <w:t>"</w:t>
                            </w:r>
                            <w:r w:rsidR="005E2FEA">
                              <w:rPr>
                                <w:rFonts w:ascii="Yu Gothic Medium" w:eastAsia="Yu Gothic Medium" w:hAnsi="Yu Gothic Medium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0CDE638" w14:textId="0176F9B9" w:rsidR="00611E2D" w:rsidRPr="005E2FEA" w:rsidRDefault="000676DB" w:rsidP="00611E2D">
                            <w:pPr>
                              <w:spacing w:after="80"/>
                              <w:rPr>
                                <w:rStyle w:val="cf01"/>
                                <w:rFonts w:ascii="Yu Gothic" w:hAnsi="Yu Gothic"/>
                                <w:b/>
                                <w:bCs/>
                              </w:rPr>
                            </w:pPr>
                            <w:r w:rsidRPr="000676DB">
                              <w:rPr>
                                <w:rStyle w:val="cf01"/>
                                <w:rFonts w:ascii="Yu Gothic" w:eastAsia="Yu Gothic" w:hAnsi="Yu Gothic"/>
                              </w:rPr>
                              <w:t>Interested in learning more about GDP and its compilation? Listen</w:t>
                            </w:r>
                            <w:r w:rsidRPr="005E2FEA">
                              <w:rPr>
                                <w:rStyle w:val="cf01"/>
                                <w:rFonts w:ascii="Yu Gothic" w:eastAsia="Yu Gothic" w:hAnsi="Yu Gothic"/>
                              </w:rPr>
                              <w:t xml:space="preserve"> to our podcast </w:t>
                            </w:r>
                            <w:r w:rsidR="00611E2D" w:rsidRPr="005E2FEA">
                              <w:rPr>
                                <w:rStyle w:val="cf01"/>
                                <w:rFonts w:ascii="Yu Gothic" w:eastAsia="Yu Gothic" w:hAnsi="Yu Gothic"/>
                              </w:rPr>
                              <w:t>"</w:t>
                            </w:r>
                            <w:hyperlink r:id="rId23" w:history="1">
                              <w:r w:rsidR="00611E2D" w:rsidRPr="005E2FEA">
                                <w:rPr>
                                  <w:rStyle w:val="Hyperlink"/>
                                  <w:rFonts w:ascii="Yu Gothic" w:hAnsi="Yu Gothic" w:cs="Segoe UI"/>
                                  <w:b w:val="0"/>
                                  <w:bCs w:val="0"/>
                                </w:rPr>
                                <w:t>Decoding GDP: how to measure pastries, pencils and pyjamas</w:t>
                              </w:r>
                            </w:hyperlink>
                            <w:r w:rsidR="00611E2D" w:rsidRPr="005E2FEA">
                              <w:rPr>
                                <w:rStyle w:val="cf01"/>
                                <w:rFonts w:ascii="Yu Gothic" w:eastAsia="Yu Gothic" w:hAnsi="Yu Gothic"/>
                              </w:rPr>
                              <w:t>".</w:t>
                            </w:r>
                          </w:p>
                          <w:p w14:paraId="78D040E3" w14:textId="77777777" w:rsidR="00DE2050" w:rsidRPr="000441B4" w:rsidRDefault="00DE2050" w:rsidP="00921F01">
                            <w:pPr>
                              <w:spacing w:after="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0441B4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>Access Data:</w:t>
                            </w:r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564DF5" w14:textId="79159496" w:rsidR="00DE2050" w:rsidRPr="000441B4" w:rsidRDefault="00DE2050" w:rsidP="00B65B30">
                            <w:pPr>
                              <w:spacing w:after="8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OECD Database:</w:t>
                            </w:r>
                            <w:r w:rsidRPr="000441B4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F0D">
                              <w:rPr>
                                <w:rStyle w:val="Hyperlink"/>
                                <w:rFonts w:ascii="Yu Gothic" w:hAnsi="Yu Gothic" w:cs="Times New Roman"/>
                                <w:b w:val="0"/>
                                <w:color w:val="1F4E79" w:themeColor="accent1" w:themeShade="80"/>
                              </w:rPr>
                              <w:t>OECD GDP News release underlying data</w:t>
                            </w:r>
                            <w:r w:rsidR="00501F0D">
                              <w:rPr>
                                <w:rFonts w:ascii="Yu Gothic" w:eastAsia="Yu Gothic" w:hAnsi="Yu Gothic" w:cs="Times New Roman"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4" w:history="1">
                              <w:r w:rsidR="00501F0D" w:rsidRPr="00501F0D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</w:rPr>
                                <w:t>quarterly</w:t>
                              </w:r>
                            </w:hyperlink>
                            <w:r w:rsidR="00501F0D">
                              <w:rPr>
                                <w:rFonts w:ascii="Yu Gothic" w:eastAsia="Yu Gothic" w:hAnsi="Yu Gothic" w:cs="Times New Roman"/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hyperlink r:id="rId25" w:history="1">
                              <w:r w:rsidR="00501F0D" w:rsidRPr="00501F0D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</w:rPr>
                                <w:t>annual</w:t>
                              </w:r>
                            </w:hyperlink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6" w:history="1">
                              <w:r w:rsidRPr="000441B4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</w:rPr>
                                <w:t>G7 countries and OECD aggregates, GDP and components, growth and contributions to growth</w:t>
                              </w:r>
                            </w:hyperlink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7" w:history="1">
                              <w:r w:rsidRPr="000441B4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</w:rPr>
                                <w:t>G20 countries and G20 aggregates, GDP growth</w:t>
                              </w:r>
                            </w:hyperlink>
                            <w:r w:rsidRPr="000441B4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1F995D5" w14:textId="77777777" w:rsidR="00DE2050" w:rsidRPr="0047104E" w:rsidRDefault="00DE2050" w:rsidP="00921F01">
                            <w:pPr>
                              <w:spacing w:after="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41B4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>Contacts:</w:t>
                            </w:r>
                            <w:r w:rsidRPr="0047104E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6EF5E072" w14:textId="77777777" w:rsidR="00DE2050" w:rsidRPr="0047104E" w:rsidRDefault="00DE2050" w:rsidP="00B65B30">
                            <w:pPr>
                              <w:spacing w:after="80"/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7104E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For further information contact the OECD's Media Relations Division on (33) 1 45 24 97 00 or e-mail </w:t>
                            </w:r>
                            <w:hyperlink r:id="rId28" w:history="1">
                              <w:r w:rsidRPr="0047104E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  <w:lang w:val="en-US"/>
                                </w:rPr>
                                <w:t>news.contact@oecd.org</w:t>
                              </w:r>
                            </w:hyperlink>
                            <w:r w:rsidRPr="0047104E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47104E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for further information on data contact OECD’s Statistics and Data Directorate: </w:t>
                            </w:r>
                            <w:hyperlink r:id="rId29" w:history="1">
                              <w:r w:rsidRPr="0047104E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  <w:lang w:val="en-US"/>
                                </w:rPr>
                                <w:t>stat.contact@oecd.org</w:t>
                              </w:r>
                            </w:hyperlink>
                            <w:r w:rsidRPr="0047104E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9B06DF9" w14:textId="77777777" w:rsidR="00DE2050" w:rsidRPr="0047104E" w:rsidRDefault="00B4093D" w:rsidP="00921F01">
                            <w:pPr>
                              <w:spacing w:after="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0" w:history="1">
                              <w:r w:rsidR="00DE2050" w:rsidRPr="0047104E">
                                <w:rPr>
                                  <w:rStyle w:val="Hyperlink"/>
                                  <w:rFonts w:ascii="Yu Gothic" w:eastAsia="Yu Gothic" w:hAnsi="Yu Gothic" w:cstheme="minorBidi"/>
                                  <w:color w:val="auto"/>
                                  <w:u w:val="none"/>
                                  <w:lang w:val="en-US"/>
                                </w:rPr>
                                <w:t>Next releases</w:t>
                              </w:r>
                            </w:hyperlink>
                            <w:r w:rsidR="00DE2050" w:rsidRPr="0047104E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  <w:p w14:paraId="3077CD56" w14:textId="1497F578" w:rsidR="00DE2050" w:rsidRPr="0047104E" w:rsidRDefault="00006D00" w:rsidP="00627285">
                            <w:pPr>
                              <w:spacing w:after="120"/>
                              <w:jc w:val="both"/>
                              <w:outlineLvl w:val="0"/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</w:pPr>
                            <w:bookmarkStart w:id="2" w:name="_Hlk108186218"/>
                            <w:bookmarkStart w:id="3" w:name="_Hlk108186219"/>
                            <w:r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>G20 GDP growth – Q</w:t>
                            </w:r>
                            <w:r w:rsidR="00677430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>1</w:t>
                            </w:r>
                            <w:r w:rsidR="00623C35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 xml:space="preserve"> 202</w:t>
                            </w:r>
                            <w:r w:rsidR="00677430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>5</w:t>
                            </w:r>
                            <w:r w:rsidR="00DE2050" w:rsidRPr="0047104E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 xml:space="preserve">: </w:t>
                            </w:r>
                            <w:hyperlink r:id="rId31" w:history="1">
                              <w:r w:rsidR="00DE2050" w:rsidRPr="0047104E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1</w:t>
                              </w:r>
                              <w:r w:rsidR="00677430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1</w:t>
                              </w:r>
                              <w:r w:rsidR="002660F8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 xml:space="preserve"> </w:t>
                              </w:r>
                              <w:r w:rsidR="00677430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June</w:t>
                              </w:r>
                              <w:r w:rsidR="00E26E64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 xml:space="preserve"> </w:t>
                              </w:r>
                              <w:r w:rsidR="00623C35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202</w:t>
                              </w:r>
                              <w:r w:rsidR="00AD4B0F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5</w:t>
                              </w:r>
                            </w:hyperlink>
                          </w:p>
                          <w:p w14:paraId="7F0D3AF3" w14:textId="79C5346C" w:rsidR="00DE2050" w:rsidRPr="0047104E" w:rsidRDefault="00DE2050" w:rsidP="00627285">
                            <w:pPr>
                              <w:spacing w:after="120"/>
                              <w:jc w:val="both"/>
                              <w:outlineLvl w:val="0"/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</w:pPr>
                            <w:r w:rsidRPr="0047104E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>OECD GDP growth – Q</w:t>
                            </w:r>
                            <w:r w:rsidR="00677430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>2</w:t>
                            </w:r>
                            <w:r w:rsidR="00623C35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 xml:space="preserve"> 202</w:t>
                            </w:r>
                            <w:r w:rsidR="002660F8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>5</w:t>
                            </w:r>
                            <w:r w:rsidR="00623C35">
                              <w:rPr>
                                <w:rStyle w:val="Hyperlink"/>
                                <w:rFonts w:ascii="Yu Gothic" w:eastAsia="Yu Gothic" w:hAnsi="Yu Gothic" w:cs="Times New Roman"/>
                                <w:b w:val="0"/>
                                <w:bCs w:val="0"/>
                                <w:color w:val="auto"/>
                                <w:u w:val="none"/>
                                <w:lang w:val="en-US"/>
                              </w:rPr>
                              <w:t xml:space="preserve">: </w:t>
                            </w:r>
                            <w:hyperlink r:id="rId32" w:history="1">
                              <w:r w:rsidR="002660F8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2</w:t>
                              </w:r>
                              <w:r w:rsidR="00677430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 xml:space="preserve">7 August </w:t>
                              </w:r>
                              <w:r w:rsidR="00DF4461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202</w:t>
                              </w:r>
                              <w:r w:rsidR="00611E2D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bCs w:val="0"/>
                                  <w:lang w:val="en-US"/>
                                </w:rPr>
                                <w:t>5</w:t>
                              </w:r>
                            </w:hyperlink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6755" id="Text Box 22" o:spid="_x0000_s1027" type="#_x0000_t202" style="position:absolute;margin-left:0;margin-top:39.2pt;width:502.5pt;height:376.3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" fillcolor="#e0f2ff" strokecolor="black [3213]" strokeweight="1pt">
                <v:textbox>
                  <w:txbxContent>
                    <w:p w14:paraId="2C83881C" w14:textId="5477F610" w:rsidR="00DE2050" w:rsidRPr="0047104E" w:rsidRDefault="00DE2050" w:rsidP="00921F01">
                      <w:pPr>
                        <w:spacing w:after="0"/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</w:pPr>
                      <w:r w:rsidRPr="0047104E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 xml:space="preserve">Data shown in this release was </w:t>
                      </w:r>
                      <w:r w:rsidRPr="00185243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 xml:space="preserve">last </w:t>
                      </w:r>
                      <w:r w:rsidR="00006D00" w:rsidRPr="00185243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 xml:space="preserve">updated on the </w:t>
                      </w:r>
                      <w:r w:rsidR="00595BBE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>20</w:t>
                      </w:r>
                      <w:r w:rsidRPr="00185243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185243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 xml:space="preserve"> of </w:t>
                      </w:r>
                      <w:r w:rsidR="004C6904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 xml:space="preserve">May </w:t>
                      </w:r>
                      <w:r w:rsidR="00DF4461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>202</w:t>
                      </w:r>
                      <w:r w:rsidR="002660F8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>5</w:t>
                      </w:r>
                      <w:r w:rsidRPr="00185243"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F1EBC9D" w14:textId="77777777" w:rsidR="002D7BF5" w:rsidRDefault="002D7BF5" w:rsidP="00B65B30">
                      <w:pPr>
                        <w:spacing w:after="80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</w:p>
                    <w:p w14:paraId="7ABDB669" w14:textId="09FD226F" w:rsidR="00DE2050" w:rsidRPr="000441B4" w:rsidRDefault="00DE2050" w:rsidP="00B65B30">
                      <w:pPr>
                        <w:spacing w:after="80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  <w:r w:rsidRPr="000441B4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 xml:space="preserve">Methodological information: </w:t>
                      </w:r>
                    </w:p>
                    <w:p w14:paraId="5B0BD6D3" w14:textId="6FF407BC" w:rsidR="00DE2050" w:rsidRPr="000441B4" w:rsidRDefault="00DE2050" w:rsidP="00627285">
                      <w:pPr>
                        <w:spacing w:after="0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OECD GDP growth – </w:t>
                      </w:r>
                      <w:hyperlink r:id="rId33" w:history="1">
                        <w:r w:rsidRPr="000441B4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</w:rPr>
                          <w:t>Methodological Notes for OECD GDP News Release</w:t>
                        </w:r>
                      </w:hyperlink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.</w:t>
                      </w:r>
                    </w:p>
                    <w:p w14:paraId="1CD3F685" w14:textId="77777777" w:rsidR="00611E2D" w:rsidRDefault="00DE2050" w:rsidP="00611E2D">
                      <w:pPr>
                        <w:spacing w:after="8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G20 GDP growth – </w:t>
                      </w:r>
                      <w:hyperlink r:id="rId34" w:history="1">
                        <w:r w:rsidRPr="000441B4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</w:rPr>
                          <w:t>Methodological Notes for G20 GDP News Release</w:t>
                        </w:r>
                      </w:hyperlink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.</w:t>
                      </w:r>
                    </w:p>
                    <w:p w14:paraId="1297CA3B" w14:textId="51046C84" w:rsidR="00384089" w:rsidRDefault="00384089" w:rsidP="00611E2D">
                      <w:pPr>
                        <w:spacing w:after="80"/>
                        <w:rPr>
                          <w:rStyle w:val="cf01"/>
                          <w:rFonts w:ascii="Yu Gothic" w:eastAsia="Yu Gothic" w:hAnsi="Yu Gothic"/>
                        </w:rPr>
                      </w:pPr>
                      <w:r>
                        <w:rPr>
                          <w:rStyle w:val="cf01"/>
                          <w:rFonts w:ascii="Yu Gothic" w:eastAsia="Yu Gothic" w:hAnsi="Yu Gothic"/>
                        </w:rPr>
                        <w:t xml:space="preserve">Interested in understanding the </w:t>
                      </w:r>
                      <w:r w:rsidRPr="00384089">
                        <w:rPr>
                          <w:rStyle w:val="cf01"/>
                          <w:rFonts w:ascii="Yu Gothic" w:eastAsia="Yu Gothic" w:hAnsi="Yu Gothic"/>
                        </w:rPr>
                        <w:t>impact of changing tariffs on GDP</w:t>
                      </w:r>
                      <w:r>
                        <w:rPr>
                          <w:rStyle w:val="cf01"/>
                          <w:rFonts w:ascii="Yu Gothic" w:eastAsia="Yu Gothic" w:hAnsi="Yu Gothic"/>
                        </w:rPr>
                        <w:t xml:space="preserve">? </w:t>
                      </w:r>
                      <w:r w:rsidR="00A466CF">
                        <w:rPr>
                          <w:rStyle w:val="cf01"/>
                          <w:rFonts w:ascii="Yu Gothic" w:eastAsia="Yu Gothic" w:hAnsi="Yu Gothic"/>
                        </w:rPr>
                        <w:t xml:space="preserve">Read </w:t>
                      </w:r>
                      <w:r>
                        <w:rPr>
                          <w:rStyle w:val="cf01"/>
                          <w:rFonts w:ascii="Yu Gothic" w:eastAsia="Yu Gothic" w:hAnsi="Yu Gothic"/>
                        </w:rPr>
                        <w:t>our latest blog</w:t>
                      </w:r>
                      <w:r w:rsidR="005E2FEA">
                        <w:rPr>
                          <w:rStyle w:val="cf01"/>
                          <w:rFonts w:ascii="Yu Gothic" w:eastAsia="Yu Gothic" w:hAnsi="Yu Gothic"/>
                        </w:rPr>
                        <w:t xml:space="preserve"> </w:t>
                      </w:r>
                      <w:r w:rsidR="005E2FEA" w:rsidRPr="004C5DE6">
                        <w:rPr>
                          <w:rFonts w:ascii="Yu Gothic Medium" w:eastAsia="Yu Gothic Medium" w:hAnsi="Yu Gothic Medium"/>
                          <w:sz w:val="17"/>
                          <w:szCs w:val="17"/>
                        </w:rPr>
                        <w:t>"</w:t>
                      </w:r>
                      <w:hyperlink r:id="rId35" w:history="1">
                        <w:r w:rsidR="005E2FEA" w:rsidRPr="00625DC6">
                          <w:rPr>
                            <w:rStyle w:val="Hyperlink"/>
                            <w:rFonts w:ascii="Yu Gothic Medium" w:eastAsia="Yu Gothic Medium" w:hAnsi="Yu Gothic Medium" w:cstheme="minorBidi"/>
                            <w:b w:val="0"/>
                            <w:bCs w:val="0"/>
                            <w:sz w:val="17"/>
                            <w:szCs w:val="17"/>
                          </w:rPr>
                          <w:t>Understanding the impact of changing tariffs on GDP</w:t>
                        </w:r>
                      </w:hyperlink>
                      <w:r w:rsidR="005E2FEA" w:rsidRPr="00625DC6">
                        <w:rPr>
                          <w:rFonts w:ascii="Yu Gothic Medium" w:eastAsia="Yu Gothic Medium" w:hAnsi="Yu Gothic Medium"/>
                          <w:sz w:val="17"/>
                          <w:szCs w:val="17"/>
                        </w:rPr>
                        <w:t>"</w:t>
                      </w:r>
                      <w:r w:rsidR="005E2FEA">
                        <w:rPr>
                          <w:rFonts w:ascii="Yu Gothic Medium" w:eastAsia="Yu Gothic Medium" w:hAnsi="Yu Gothic Medium"/>
                          <w:sz w:val="17"/>
                          <w:szCs w:val="17"/>
                        </w:rPr>
                        <w:t>.</w:t>
                      </w:r>
                    </w:p>
                    <w:p w14:paraId="00CDE638" w14:textId="0176F9B9" w:rsidR="00611E2D" w:rsidRPr="005E2FEA" w:rsidRDefault="000676DB" w:rsidP="00611E2D">
                      <w:pPr>
                        <w:spacing w:after="80"/>
                        <w:rPr>
                          <w:rStyle w:val="cf01"/>
                          <w:rFonts w:ascii="Yu Gothic" w:hAnsi="Yu Gothic"/>
                          <w:b/>
                          <w:bCs/>
                        </w:rPr>
                      </w:pPr>
                      <w:r w:rsidRPr="000676DB">
                        <w:rPr>
                          <w:rStyle w:val="cf01"/>
                          <w:rFonts w:ascii="Yu Gothic" w:eastAsia="Yu Gothic" w:hAnsi="Yu Gothic"/>
                        </w:rPr>
                        <w:t>Interested in learning more about GDP and its compilation? Listen</w:t>
                      </w:r>
                      <w:r w:rsidRPr="005E2FEA">
                        <w:rPr>
                          <w:rStyle w:val="cf01"/>
                          <w:rFonts w:ascii="Yu Gothic" w:eastAsia="Yu Gothic" w:hAnsi="Yu Gothic"/>
                        </w:rPr>
                        <w:t xml:space="preserve"> to our podcast </w:t>
                      </w:r>
                      <w:r w:rsidR="00611E2D" w:rsidRPr="005E2FEA">
                        <w:rPr>
                          <w:rStyle w:val="cf01"/>
                          <w:rFonts w:ascii="Yu Gothic" w:eastAsia="Yu Gothic" w:hAnsi="Yu Gothic"/>
                        </w:rPr>
                        <w:t>"</w:t>
                      </w:r>
                      <w:hyperlink r:id="rId36" w:history="1">
                        <w:r w:rsidR="00611E2D" w:rsidRPr="005E2FEA">
                          <w:rPr>
                            <w:rStyle w:val="Hyperlink"/>
                            <w:rFonts w:ascii="Yu Gothic" w:hAnsi="Yu Gothic" w:cs="Segoe UI"/>
                            <w:b w:val="0"/>
                            <w:bCs w:val="0"/>
                          </w:rPr>
                          <w:t>Decoding GDP: how to measure pastries, pencils and pyjamas</w:t>
                        </w:r>
                      </w:hyperlink>
                      <w:r w:rsidR="00611E2D" w:rsidRPr="005E2FEA">
                        <w:rPr>
                          <w:rStyle w:val="cf01"/>
                          <w:rFonts w:ascii="Yu Gothic" w:eastAsia="Yu Gothic" w:hAnsi="Yu Gothic"/>
                        </w:rPr>
                        <w:t>".</w:t>
                      </w:r>
                    </w:p>
                    <w:p w14:paraId="78D040E3" w14:textId="77777777" w:rsidR="00DE2050" w:rsidRPr="000441B4" w:rsidRDefault="00DE2050" w:rsidP="00921F01">
                      <w:pPr>
                        <w:spacing w:after="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0441B4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>Access Data:</w:t>
                      </w:r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564DF5" w14:textId="79159496" w:rsidR="00DE2050" w:rsidRPr="000441B4" w:rsidRDefault="00DE2050" w:rsidP="00B65B30">
                      <w:pPr>
                        <w:spacing w:after="8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OECD Database:</w:t>
                      </w:r>
                      <w:r w:rsidRPr="000441B4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01F0D">
                        <w:rPr>
                          <w:rStyle w:val="Hyperlink"/>
                          <w:rFonts w:ascii="Yu Gothic" w:hAnsi="Yu Gothic" w:cs="Times New Roman"/>
                          <w:b w:val="0"/>
                          <w:color w:val="1F4E79" w:themeColor="accent1" w:themeShade="80"/>
                        </w:rPr>
                        <w:t>OECD GDP News release underlying data</w:t>
                      </w:r>
                      <w:r w:rsidR="00501F0D">
                        <w:rPr>
                          <w:rFonts w:ascii="Yu Gothic" w:eastAsia="Yu Gothic" w:hAnsi="Yu Gothic" w:cs="Times New Roman"/>
                          <w:bCs/>
                          <w:sz w:val="18"/>
                          <w:szCs w:val="18"/>
                        </w:rPr>
                        <w:t xml:space="preserve">: </w:t>
                      </w:r>
                      <w:hyperlink r:id="rId37" w:history="1">
                        <w:r w:rsidR="00501F0D" w:rsidRPr="00501F0D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</w:rPr>
                          <w:t>quarterly</w:t>
                        </w:r>
                      </w:hyperlink>
                      <w:r w:rsidR="00501F0D">
                        <w:rPr>
                          <w:rFonts w:ascii="Yu Gothic" w:eastAsia="Yu Gothic" w:hAnsi="Yu Gothic" w:cs="Times New Roman"/>
                          <w:bCs/>
                          <w:sz w:val="18"/>
                          <w:szCs w:val="18"/>
                        </w:rPr>
                        <w:t xml:space="preserve"> and </w:t>
                      </w:r>
                      <w:hyperlink r:id="rId38" w:history="1">
                        <w:r w:rsidR="00501F0D" w:rsidRPr="00501F0D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</w:rPr>
                          <w:t>annual</w:t>
                        </w:r>
                      </w:hyperlink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; </w:t>
                      </w:r>
                      <w:hyperlink r:id="rId39" w:history="1">
                        <w:r w:rsidRPr="000441B4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</w:rPr>
                          <w:t>G7 countries and OECD aggregates, GDP and components, growth and contributions to growth</w:t>
                        </w:r>
                      </w:hyperlink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; </w:t>
                      </w:r>
                      <w:hyperlink r:id="rId40" w:history="1">
                        <w:r w:rsidRPr="000441B4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</w:rPr>
                          <w:t>G20 countries and G20 aggregates, GDP growth</w:t>
                        </w:r>
                      </w:hyperlink>
                      <w:r w:rsidRPr="000441B4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.</w:t>
                      </w:r>
                    </w:p>
                    <w:p w14:paraId="51F995D5" w14:textId="77777777" w:rsidR="00DE2050" w:rsidRPr="0047104E" w:rsidRDefault="00DE2050" w:rsidP="00921F01">
                      <w:pPr>
                        <w:spacing w:after="0"/>
                        <w:rPr>
                          <w:rFonts w:ascii="Yu Gothic" w:eastAsia="Yu Gothic" w:hAnsi="Yu Gothic"/>
                          <w:sz w:val="18"/>
                          <w:szCs w:val="18"/>
                          <w:lang w:val="en-US"/>
                        </w:rPr>
                      </w:pPr>
                      <w:r w:rsidRPr="000441B4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lang w:val="en-US"/>
                        </w:rPr>
                        <w:t>Contacts:</w:t>
                      </w:r>
                      <w:r w:rsidRPr="0047104E">
                        <w:rPr>
                          <w:rFonts w:ascii="Yu Gothic" w:eastAsia="Yu Gothic" w:hAnsi="Yu Gothic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6EF5E072" w14:textId="77777777" w:rsidR="00DE2050" w:rsidRPr="0047104E" w:rsidRDefault="00DE2050" w:rsidP="00B65B30">
                      <w:pPr>
                        <w:spacing w:after="80"/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47104E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For further information contact the OECD's Media Relations Division on (33) 1 45 24 97 00 or e-mail </w:t>
                      </w:r>
                      <w:hyperlink r:id="rId41" w:history="1">
                        <w:r w:rsidRPr="0047104E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  <w:lang w:val="en-US"/>
                          </w:rPr>
                          <w:t>news.contact@oecd.org</w:t>
                        </w:r>
                      </w:hyperlink>
                      <w:r w:rsidRPr="0047104E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; </w:t>
                      </w:r>
                      <w:r w:rsidRPr="0047104E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for further information on data contact OECD’s Statistics and Data Directorate: </w:t>
                      </w:r>
                      <w:hyperlink r:id="rId42" w:history="1">
                        <w:r w:rsidRPr="0047104E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  <w:lang w:val="en-US"/>
                          </w:rPr>
                          <w:t>stat.contact@oecd.org</w:t>
                        </w:r>
                      </w:hyperlink>
                      <w:r w:rsidRPr="0047104E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9B06DF9" w14:textId="77777777" w:rsidR="00DE2050" w:rsidRPr="0047104E" w:rsidRDefault="00B4093D" w:rsidP="00921F01">
                      <w:pPr>
                        <w:spacing w:after="0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lang w:val="en-US"/>
                        </w:rPr>
                      </w:pPr>
                      <w:hyperlink r:id="rId43" w:history="1">
                        <w:r w:rsidR="00DE2050" w:rsidRPr="0047104E">
                          <w:rPr>
                            <w:rStyle w:val="Hyperlink"/>
                            <w:rFonts w:ascii="Yu Gothic" w:eastAsia="Yu Gothic" w:hAnsi="Yu Gothic" w:cstheme="minorBidi"/>
                            <w:color w:val="auto"/>
                            <w:u w:val="none"/>
                            <w:lang w:val="en-US"/>
                          </w:rPr>
                          <w:t>Next releases</w:t>
                        </w:r>
                      </w:hyperlink>
                      <w:r w:rsidR="00DE2050" w:rsidRPr="0047104E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  <w:p w14:paraId="3077CD56" w14:textId="1497F578" w:rsidR="00DE2050" w:rsidRPr="0047104E" w:rsidRDefault="00006D00" w:rsidP="00627285">
                      <w:pPr>
                        <w:spacing w:after="120"/>
                        <w:jc w:val="both"/>
                        <w:outlineLvl w:val="0"/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</w:pPr>
                      <w:bookmarkStart w:id="4" w:name="_Hlk108186218"/>
                      <w:bookmarkStart w:id="5" w:name="_Hlk108186219"/>
                      <w:r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>G20 GDP growth – Q</w:t>
                      </w:r>
                      <w:r w:rsidR="00677430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>1</w:t>
                      </w:r>
                      <w:r w:rsidR="00623C35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 xml:space="preserve"> 202</w:t>
                      </w:r>
                      <w:r w:rsidR="00677430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>5</w:t>
                      </w:r>
                      <w:r w:rsidR="00DE2050" w:rsidRPr="0047104E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 xml:space="preserve">: </w:t>
                      </w:r>
                      <w:hyperlink r:id="rId44" w:history="1">
                        <w:r w:rsidR="00DE2050" w:rsidRPr="0047104E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1</w:t>
                        </w:r>
                        <w:r w:rsidR="00677430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1</w:t>
                        </w:r>
                        <w:r w:rsidR="002660F8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 xml:space="preserve"> </w:t>
                        </w:r>
                        <w:r w:rsidR="00677430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June</w:t>
                        </w:r>
                        <w:r w:rsidR="00E26E64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 xml:space="preserve"> </w:t>
                        </w:r>
                        <w:r w:rsidR="00623C35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202</w:t>
                        </w:r>
                        <w:r w:rsidR="00AD4B0F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5</w:t>
                        </w:r>
                      </w:hyperlink>
                    </w:p>
                    <w:p w14:paraId="7F0D3AF3" w14:textId="79C5346C" w:rsidR="00DE2050" w:rsidRPr="0047104E" w:rsidRDefault="00DE2050" w:rsidP="00627285">
                      <w:pPr>
                        <w:spacing w:after="120"/>
                        <w:jc w:val="both"/>
                        <w:outlineLvl w:val="0"/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</w:pPr>
                      <w:r w:rsidRPr="0047104E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>OECD GDP growth – Q</w:t>
                      </w:r>
                      <w:r w:rsidR="00677430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>2</w:t>
                      </w:r>
                      <w:r w:rsidR="00623C35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 xml:space="preserve"> 202</w:t>
                      </w:r>
                      <w:r w:rsidR="002660F8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>5</w:t>
                      </w:r>
                      <w:r w:rsidR="00623C35">
                        <w:rPr>
                          <w:rStyle w:val="Hyperlink"/>
                          <w:rFonts w:ascii="Yu Gothic" w:eastAsia="Yu Gothic" w:hAnsi="Yu Gothic" w:cs="Times New Roman"/>
                          <w:b w:val="0"/>
                          <w:bCs w:val="0"/>
                          <w:color w:val="auto"/>
                          <w:u w:val="none"/>
                          <w:lang w:val="en-US"/>
                        </w:rPr>
                        <w:t xml:space="preserve">: </w:t>
                      </w:r>
                      <w:hyperlink r:id="rId45" w:history="1">
                        <w:r w:rsidR="002660F8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2</w:t>
                        </w:r>
                        <w:r w:rsidR="00677430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 xml:space="preserve">7 August </w:t>
                        </w:r>
                        <w:r w:rsidR="00DF4461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202</w:t>
                        </w:r>
                        <w:r w:rsidR="00611E2D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bCs w:val="0"/>
                            <w:lang w:val="en-US"/>
                          </w:rPr>
                          <w:t>5</w:t>
                        </w:r>
                      </w:hyperlink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786E" w:rsidRPr="000B490C" w:rsidSect="003F11C6">
      <w:headerReference w:type="default" r:id="rId46"/>
      <w:footerReference w:type="even" r:id="rId47"/>
      <w:footerReference w:type="default" r:id="rId48"/>
      <w:footerReference w:type="first" r:id="rId4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D86C" w14:textId="77777777" w:rsidR="00F2774B" w:rsidRDefault="00F2774B" w:rsidP="00B32222">
      <w:pPr>
        <w:spacing w:after="0" w:line="240" w:lineRule="auto"/>
      </w:pPr>
      <w:r>
        <w:separator/>
      </w:r>
    </w:p>
  </w:endnote>
  <w:endnote w:type="continuationSeparator" w:id="0">
    <w:p w14:paraId="545E3494" w14:textId="77777777" w:rsidR="00F2774B" w:rsidRDefault="00F2774B" w:rsidP="00B3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7333" w14:textId="7B89510F" w:rsidR="00E32580" w:rsidRDefault="00350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1248" behindDoc="0" locked="0" layoutInCell="1" allowOverlap="1" wp14:anchorId="5DF79EDD" wp14:editId="7E8938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6" name="Text Box 16" descr="Highly Sensitive - Très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22AFC" w14:textId="5BF7D798" w:rsidR="003500E6" w:rsidRPr="003500E6" w:rsidRDefault="003500E6" w:rsidP="00350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00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Highly Sensitive - Très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9ED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Highly Sensitive - Très sensible" style="position:absolute;margin-left:0;margin-top:0;width:34.95pt;height:34.95pt;z-index:25170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C22AFC" w14:textId="5BF7D798" w:rsidR="003500E6" w:rsidRPr="003500E6" w:rsidRDefault="003500E6" w:rsidP="00350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500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Highly Sensitive - Très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83DD" w14:textId="7FE86884" w:rsidR="00DE2050" w:rsidRDefault="006C5A9F">
    <w:pPr>
      <w:pStyle w:val="Footer"/>
      <w:jc w:val="right"/>
    </w:pPr>
    <w:r w:rsidRPr="00030C9B">
      <w:rPr>
        <w:noProof/>
        <w:lang w:eastAsia="en-GB"/>
      </w:rPr>
      <w:drawing>
        <wp:anchor distT="0" distB="0" distL="114300" distR="114300" simplePos="0" relativeHeight="251696128" behindDoc="1" locked="0" layoutInCell="1" allowOverlap="1" wp14:anchorId="0BC3A6DB" wp14:editId="45820173">
          <wp:simplePos x="0" y="0"/>
          <wp:positionH relativeFrom="margin">
            <wp:posOffset>6157595</wp:posOffset>
          </wp:positionH>
          <wp:positionV relativeFrom="paragraph">
            <wp:posOffset>138430</wp:posOffset>
          </wp:positionV>
          <wp:extent cx="517525" cy="2997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97246" name="Picture 465697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" r="1202"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0E6">
      <w:rPr>
        <w:noProof/>
        <w:lang w:eastAsia="en-GB"/>
      </w:rPr>
      <mc:AlternateContent>
        <mc:Choice Requires="wps">
          <w:drawing>
            <wp:anchor distT="0" distB="0" distL="0" distR="0" simplePos="0" relativeHeight="251702272" behindDoc="0" locked="0" layoutInCell="1" allowOverlap="1" wp14:anchorId="5FFF1EA5" wp14:editId="1C961A77">
              <wp:simplePos x="457200" y="9842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7" name="Text Box 17" descr="Highly Sensitive - Très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5A68E" w14:textId="12D368E9" w:rsidR="003500E6" w:rsidRPr="003500E6" w:rsidRDefault="003500E6" w:rsidP="00350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00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Highly Sensitive - Très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F1EA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alt="Highly Sensitive - Très sensible" style="position:absolute;left:0;text-align:left;margin-left:0;margin-top:0;width:34.95pt;height:34.95pt;z-index:251702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05A68E" w14:textId="12D368E9" w:rsidR="003500E6" w:rsidRPr="003500E6" w:rsidRDefault="003500E6" w:rsidP="00350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500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Highly Sensitive - Très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6E99B1" w14:textId="277E77CA" w:rsidR="00DE2050" w:rsidRPr="00870105" w:rsidRDefault="00B4093D" w:rsidP="00870105">
    <w:pPr>
      <w:pStyle w:val="Footer"/>
      <w:ind w:left="9360"/>
      <w:jc w:val="center"/>
      <w:rPr>
        <w:rFonts w:ascii="Yu Gothic" w:eastAsia="Yu Gothic" w:hAnsi="Yu Gothic"/>
      </w:rPr>
    </w:pPr>
    <w:sdt>
      <w:sdtPr>
        <w:id w:val="-799993691"/>
        <w:docPartObj>
          <w:docPartGallery w:val="Page Numbers (Bottom of Page)"/>
          <w:docPartUnique/>
        </w:docPartObj>
      </w:sdtPr>
      <w:sdtEndPr>
        <w:rPr>
          <w:rFonts w:ascii="Yu Gothic" w:eastAsia="Yu Gothic" w:hAnsi="Yu Gothic"/>
          <w:noProof/>
        </w:rPr>
      </w:sdtEndPr>
      <w:sdtContent>
        <w:r w:rsidR="00DE2050" w:rsidRPr="00870105">
          <w:rPr>
            <w:rFonts w:ascii="Yu Gothic" w:eastAsia="Yu Gothic" w:hAnsi="Yu Gothic"/>
          </w:rPr>
          <w:fldChar w:fldCharType="begin"/>
        </w:r>
        <w:r w:rsidR="00DE2050" w:rsidRPr="00870105">
          <w:rPr>
            <w:rFonts w:ascii="Yu Gothic" w:eastAsia="Yu Gothic" w:hAnsi="Yu Gothic"/>
          </w:rPr>
          <w:instrText xml:space="preserve"> PAGE   \* MERGEFORMAT </w:instrText>
        </w:r>
        <w:r w:rsidR="00DE2050" w:rsidRPr="00870105">
          <w:rPr>
            <w:rFonts w:ascii="Yu Gothic" w:eastAsia="Yu Gothic" w:hAnsi="Yu Gothic"/>
          </w:rPr>
          <w:fldChar w:fldCharType="separate"/>
        </w:r>
        <w:r w:rsidR="00EB6608">
          <w:rPr>
            <w:rFonts w:ascii="Yu Gothic" w:eastAsia="Yu Gothic" w:hAnsi="Yu Gothic"/>
            <w:noProof/>
          </w:rPr>
          <w:t>1</w:t>
        </w:r>
        <w:r w:rsidR="00DE2050" w:rsidRPr="00870105">
          <w:rPr>
            <w:rFonts w:ascii="Yu Gothic" w:eastAsia="Yu Gothic" w:hAnsi="Yu Gothic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831A" w14:textId="33206D1F" w:rsidR="00E32580" w:rsidRDefault="00350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7E07079D" wp14:editId="14D2EA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" name="Text Box 15" descr="Highly Sensitive - Très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4AB7E" w14:textId="1703D752" w:rsidR="003500E6" w:rsidRPr="003500E6" w:rsidRDefault="003500E6" w:rsidP="00350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00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Highly Sensitive - Très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7079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alt="Highly Sensitive - Très sensible" style="position:absolute;margin-left:0;margin-top:0;width:34.95pt;height:34.95pt;z-index:25170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14AB7E" w14:textId="1703D752" w:rsidR="003500E6" w:rsidRPr="003500E6" w:rsidRDefault="003500E6" w:rsidP="00350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500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Highly Sensitive - Très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DE" w14:textId="4DDD3741" w:rsidR="00E32580" w:rsidRDefault="00350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3A9D953A" wp14:editId="00C444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" name="Text Box 19" descr="Highly Sensitive - Très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57BE8" w14:textId="354F4F5E" w:rsidR="003500E6" w:rsidRPr="003500E6" w:rsidRDefault="003500E6" w:rsidP="00350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00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Highly Sensitive - Très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D953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alt="Highly Sensitive - Très sensible" style="position:absolute;margin-left:0;margin-top:0;width:34.95pt;height:34.95pt;z-index:251704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9657BE8" w14:textId="354F4F5E" w:rsidR="003500E6" w:rsidRPr="003500E6" w:rsidRDefault="003500E6" w:rsidP="00350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500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Highly Sensitive - Très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160F" w14:textId="09B4D7DA" w:rsidR="00DE2050" w:rsidRDefault="006C5A9F" w:rsidP="00870105">
    <w:pPr>
      <w:pStyle w:val="Footer"/>
      <w:ind w:left="9360"/>
      <w:jc w:val="center"/>
      <w:rPr>
        <w:noProof/>
        <w:lang w:eastAsia="en-GB"/>
      </w:rPr>
    </w:pPr>
    <w:r w:rsidRPr="00030C9B">
      <w:rPr>
        <w:noProof/>
        <w:lang w:eastAsia="en-GB"/>
      </w:rPr>
      <w:drawing>
        <wp:anchor distT="0" distB="0" distL="114300" distR="114300" simplePos="0" relativeHeight="251694080" behindDoc="1" locked="0" layoutInCell="1" allowOverlap="1" wp14:anchorId="0C9BE6DF" wp14:editId="4DB907C1">
          <wp:simplePos x="0" y="0"/>
          <wp:positionH relativeFrom="margin">
            <wp:posOffset>6161405</wp:posOffset>
          </wp:positionH>
          <wp:positionV relativeFrom="paragraph">
            <wp:posOffset>138430</wp:posOffset>
          </wp:positionV>
          <wp:extent cx="517525" cy="29972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" r="1202"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0E6">
      <w:rPr>
        <w:noProof/>
        <w:lang w:eastAsia="en-GB"/>
      </w:rPr>
      <mc:AlternateContent>
        <mc:Choice Requires="wps">
          <w:drawing>
            <wp:anchor distT="0" distB="0" distL="0" distR="0" simplePos="0" relativeHeight="251705344" behindDoc="0" locked="0" layoutInCell="1" allowOverlap="1" wp14:anchorId="0DF86693" wp14:editId="2875E403">
              <wp:simplePos x="457200" y="9842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" name="Text Box 20" descr="Highly Sensitive - Très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25AE9" w14:textId="76565B82" w:rsidR="003500E6" w:rsidRPr="003500E6" w:rsidRDefault="003500E6" w:rsidP="00350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00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Highly Sensitive - Très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8669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Highly Sensitive - Très sensible" style="position:absolute;left:0;text-align:left;margin-left:0;margin-top:0;width:34.95pt;height:34.95pt;z-index:251705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5B25AE9" w14:textId="76565B82" w:rsidR="003500E6" w:rsidRPr="003500E6" w:rsidRDefault="003500E6" w:rsidP="00350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500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Highly Sensitive - Très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DC04EF" w14:textId="297A036A" w:rsidR="00DE2050" w:rsidRPr="00870105" w:rsidRDefault="00DE2050" w:rsidP="00870105">
    <w:pPr>
      <w:pStyle w:val="Footer"/>
      <w:ind w:left="9360"/>
      <w:jc w:val="center"/>
      <w:rPr>
        <w:rFonts w:ascii="Yu Gothic" w:eastAsia="Yu Gothic" w:hAnsi="Yu Gothic"/>
        <w:noProof/>
      </w:rPr>
    </w:pPr>
    <w:r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6B4537B2" wp14:editId="5976865F">
          <wp:simplePos x="0" y="0"/>
          <wp:positionH relativeFrom="margin">
            <wp:posOffset>0</wp:posOffset>
          </wp:positionH>
          <wp:positionV relativeFrom="paragraph">
            <wp:posOffset>81307</wp:posOffset>
          </wp:positionV>
          <wp:extent cx="635267" cy="154343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ECD_10c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5267" cy="15434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879710765"/>
        <w:docPartObj>
          <w:docPartGallery w:val="Page Numbers (Bottom of Page)"/>
          <w:docPartUnique/>
        </w:docPartObj>
      </w:sdtPr>
      <w:sdtEndPr>
        <w:rPr>
          <w:rFonts w:ascii="Yu Gothic" w:eastAsia="Yu Gothic" w:hAnsi="Yu Gothic"/>
          <w:noProof/>
        </w:rPr>
      </w:sdtEndPr>
      <w:sdtContent>
        <w:r w:rsidRPr="00870105">
          <w:rPr>
            <w:rFonts w:ascii="Yu Gothic" w:eastAsia="Yu Gothic" w:hAnsi="Yu Gothic"/>
          </w:rPr>
          <w:fldChar w:fldCharType="begin"/>
        </w:r>
        <w:r w:rsidRPr="00870105">
          <w:rPr>
            <w:rFonts w:ascii="Yu Gothic" w:eastAsia="Yu Gothic" w:hAnsi="Yu Gothic"/>
          </w:rPr>
          <w:instrText xml:space="preserve"> PAGE   \* MERGEFORMAT </w:instrText>
        </w:r>
        <w:r w:rsidRPr="00870105">
          <w:rPr>
            <w:rFonts w:ascii="Yu Gothic" w:eastAsia="Yu Gothic" w:hAnsi="Yu Gothic"/>
          </w:rPr>
          <w:fldChar w:fldCharType="separate"/>
        </w:r>
        <w:r w:rsidR="00EB6608">
          <w:rPr>
            <w:rFonts w:ascii="Yu Gothic" w:eastAsia="Yu Gothic" w:hAnsi="Yu Gothic"/>
            <w:noProof/>
          </w:rPr>
          <w:t>2</w:t>
        </w:r>
        <w:r w:rsidRPr="00870105">
          <w:rPr>
            <w:rFonts w:ascii="Yu Gothic" w:eastAsia="Yu Gothic" w:hAnsi="Yu Gothic"/>
            <w:noProof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2BC0" w14:textId="4BF6A696" w:rsidR="00E32580" w:rsidRDefault="00350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3296" behindDoc="0" locked="0" layoutInCell="1" allowOverlap="1" wp14:anchorId="5061AEFE" wp14:editId="38AE0C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" name="Text Box 18" descr="Highly Sensitive - Très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CAA23" w14:textId="2457C188" w:rsidR="003500E6" w:rsidRPr="003500E6" w:rsidRDefault="003500E6" w:rsidP="00350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00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Highly Sensitive - Très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1AEF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Highly Sensitive - Très sensible" style="position:absolute;margin-left:0;margin-top:0;width:34.95pt;height:34.95pt;z-index:25170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3CAA23" w14:textId="2457C188" w:rsidR="003500E6" w:rsidRPr="003500E6" w:rsidRDefault="003500E6" w:rsidP="00350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500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Highly Sensitive - Très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5710" w14:textId="77777777" w:rsidR="00F2774B" w:rsidRDefault="00F2774B" w:rsidP="00B32222">
      <w:pPr>
        <w:spacing w:after="0" w:line="240" w:lineRule="auto"/>
      </w:pPr>
      <w:r>
        <w:separator/>
      </w:r>
    </w:p>
  </w:footnote>
  <w:footnote w:type="continuationSeparator" w:id="0">
    <w:p w14:paraId="1A821F09" w14:textId="77777777" w:rsidR="00F2774B" w:rsidRDefault="00F2774B" w:rsidP="00B32222">
      <w:pPr>
        <w:spacing w:after="0" w:line="240" w:lineRule="auto"/>
      </w:pPr>
      <w:r>
        <w:continuationSeparator/>
      </w:r>
    </w:p>
  </w:footnote>
  <w:footnote w:id="1">
    <w:p w14:paraId="1C209FB1" w14:textId="43A6CBB1" w:rsidR="00EB75C9" w:rsidRPr="002B2D53" w:rsidRDefault="00EB75C9" w:rsidP="00EB75C9">
      <w:pPr>
        <w:pStyle w:val="FootnoteText"/>
      </w:pPr>
      <w:r w:rsidRPr="005F5AE1">
        <w:rPr>
          <w:rStyle w:val="FootnoteReference"/>
        </w:rPr>
        <w:footnoteRef/>
      </w:r>
      <w:r w:rsidRPr="005F5AE1">
        <w:t xml:space="preserve"> Consult our latest</w:t>
      </w:r>
      <w:r w:rsidRPr="00AF05D8">
        <w:t xml:space="preserve"> blog: “</w:t>
      </w:r>
      <w:hyperlink r:id="rId1" w:history="1">
        <w:r w:rsidRPr="00AF05D8">
          <w:rPr>
            <w:rStyle w:val="Hyperlink"/>
            <w:rFonts w:asciiTheme="minorHAnsi" w:hAnsiTheme="minorHAnsi" w:cstheme="minorBidi"/>
            <w:b w:val="0"/>
            <w:bCs w:val="0"/>
            <w:sz w:val="20"/>
            <w:szCs w:val="20"/>
          </w:rPr>
          <w:t>Understanding the impact of changing tariffs on GDP</w:t>
        </w:r>
      </w:hyperlink>
      <w:r w:rsidRPr="00AF05D8">
        <w:t>”</w:t>
      </w:r>
      <w:r w:rsidR="00AC27E1" w:rsidRPr="00AF05D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DA2B" w14:textId="5566ECC8" w:rsidR="006C5A9F" w:rsidRDefault="006C5A9F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689687D3" wp14:editId="5288220A">
          <wp:simplePos x="0" y="0"/>
          <wp:positionH relativeFrom="column">
            <wp:posOffset>-472440</wp:posOffset>
          </wp:positionH>
          <wp:positionV relativeFrom="paragraph">
            <wp:posOffset>-445770</wp:posOffset>
          </wp:positionV>
          <wp:extent cx="7568565" cy="1575435"/>
          <wp:effectExtent l="0" t="0" r="0" b="5715"/>
          <wp:wrapSquare wrapText="bothSides"/>
          <wp:docPr id="2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565486" name="Picture 2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57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8DC7" w14:textId="77777777" w:rsidR="00DE2050" w:rsidRDefault="00DE2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D6AC0"/>
    <w:multiLevelType w:val="hybridMultilevel"/>
    <w:tmpl w:val="6E121F76"/>
    <w:lvl w:ilvl="0" w:tplc="58A4F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shadow w14:blurRad="50800" w14:dist="50800" w14:dir="5400000" w14:sx="0" w14:sy="0" w14:kx="0" w14:ky="0" w14:algn="ctr">
          <w14:schemeClr w14:val="accent1"/>
        </w14:shadow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1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8BBBC6518B93740DE871B3C8A6F0D729FDF00B5231B9CEE5FF1C72AA70D28BC8"/>
  </w:docVars>
  <w:rsids>
    <w:rsidRoot w:val="00B32222"/>
    <w:rsid w:val="00000C3B"/>
    <w:rsid w:val="00005632"/>
    <w:rsid w:val="0000567F"/>
    <w:rsid w:val="000059AD"/>
    <w:rsid w:val="00005C61"/>
    <w:rsid w:val="00006D00"/>
    <w:rsid w:val="00010057"/>
    <w:rsid w:val="00010D71"/>
    <w:rsid w:val="00011080"/>
    <w:rsid w:val="000124DD"/>
    <w:rsid w:val="0001291B"/>
    <w:rsid w:val="00014285"/>
    <w:rsid w:val="00014706"/>
    <w:rsid w:val="00014BBF"/>
    <w:rsid w:val="000159A1"/>
    <w:rsid w:val="00016D67"/>
    <w:rsid w:val="00020FC3"/>
    <w:rsid w:val="00025FEF"/>
    <w:rsid w:val="0002628E"/>
    <w:rsid w:val="000268A2"/>
    <w:rsid w:val="00030C9B"/>
    <w:rsid w:val="00031C26"/>
    <w:rsid w:val="0003650E"/>
    <w:rsid w:val="00037DE5"/>
    <w:rsid w:val="0004035E"/>
    <w:rsid w:val="00041EB3"/>
    <w:rsid w:val="00043590"/>
    <w:rsid w:val="000441B4"/>
    <w:rsid w:val="00044C87"/>
    <w:rsid w:val="000450AD"/>
    <w:rsid w:val="00050DB2"/>
    <w:rsid w:val="000514C8"/>
    <w:rsid w:val="00052124"/>
    <w:rsid w:val="00052882"/>
    <w:rsid w:val="00053A0B"/>
    <w:rsid w:val="0005699F"/>
    <w:rsid w:val="000578A2"/>
    <w:rsid w:val="0006093C"/>
    <w:rsid w:val="00063F3E"/>
    <w:rsid w:val="00065D69"/>
    <w:rsid w:val="000676DB"/>
    <w:rsid w:val="00067C98"/>
    <w:rsid w:val="00067F22"/>
    <w:rsid w:val="000709A4"/>
    <w:rsid w:val="00072FA8"/>
    <w:rsid w:val="0008187A"/>
    <w:rsid w:val="00083A6E"/>
    <w:rsid w:val="00083F0C"/>
    <w:rsid w:val="000855AA"/>
    <w:rsid w:val="0008703D"/>
    <w:rsid w:val="00092585"/>
    <w:rsid w:val="0009463C"/>
    <w:rsid w:val="000A2D5C"/>
    <w:rsid w:val="000A2DB0"/>
    <w:rsid w:val="000A2EA9"/>
    <w:rsid w:val="000A3DCF"/>
    <w:rsid w:val="000A74D9"/>
    <w:rsid w:val="000B1BFA"/>
    <w:rsid w:val="000B4742"/>
    <w:rsid w:val="000B490C"/>
    <w:rsid w:val="000B56EF"/>
    <w:rsid w:val="000B59D5"/>
    <w:rsid w:val="000B676A"/>
    <w:rsid w:val="000B74E5"/>
    <w:rsid w:val="000C3171"/>
    <w:rsid w:val="000C7DD4"/>
    <w:rsid w:val="000C7E2B"/>
    <w:rsid w:val="000D07BC"/>
    <w:rsid w:val="000D3904"/>
    <w:rsid w:val="000D5EFD"/>
    <w:rsid w:val="000E0CD9"/>
    <w:rsid w:val="000E1F60"/>
    <w:rsid w:val="000E4DB6"/>
    <w:rsid w:val="000F0044"/>
    <w:rsid w:val="000F0384"/>
    <w:rsid w:val="000F30AB"/>
    <w:rsid w:val="000F39EB"/>
    <w:rsid w:val="000F47AC"/>
    <w:rsid w:val="000F78F3"/>
    <w:rsid w:val="00102BB0"/>
    <w:rsid w:val="001078D8"/>
    <w:rsid w:val="001103E1"/>
    <w:rsid w:val="00110750"/>
    <w:rsid w:val="00110D89"/>
    <w:rsid w:val="00113E3E"/>
    <w:rsid w:val="001143FE"/>
    <w:rsid w:val="00114FF5"/>
    <w:rsid w:val="001165F7"/>
    <w:rsid w:val="001173C7"/>
    <w:rsid w:val="00120200"/>
    <w:rsid w:val="00126EF8"/>
    <w:rsid w:val="001275DD"/>
    <w:rsid w:val="00127B32"/>
    <w:rsid w:val="00130AEA"/>
    <w:rsid w:val="00132546"/>
    <w:rsid w:val="00133A96"/>
    <w:rsid w:val="00134E0E"/>
    <w:rsid w:val="00137302"/>
    <w:rsid w:val="0014091E"/>
    <w:rsid w:val="00141B89"/>
    <w:rsid w:val="00142C6D"/>
    <w:rsid w:val="001456A2"/>
    <w:rsid w:val="00146480"/>
    <w:rsid w:val="00151402"/>
    <w:rsid w:val="00152EA5"/>
    <w:rsid w:val="001532FD"/>
    <w:rsid w:val="00154762"/>
    <w:rsid w:val="0015492E"/>
    <w:rsid w:val="00155464"/>
    <w:rsid w:val="0015714A"/>
    <w:rsid w:val="001578D6"/>
    <w:rsid w:val="00157A6D"/>
    <w:rsid w:val="0016183B"/>
    <w:rsid w:val="001619D1"/>
    <w:rsid w:val="001621D6"/>
    <w:rsid w:val="0016252E"/>
    <w:rsid w:val="00163242"/>
    <w:rsid w:val="0017058C"/>
    <w:rsid w:val="001707A8"/>
    <w:rsid w:val="001723F9"/>
    <w:rsid w:val="00175065"/>
    <w:rsid w:val="001751D8"/>
    <w:rsid w:val="00176CAA"/>
    <w:rsid w:val="001837C6"/>
    <w:rsid w:val="0018490D"/>
    <w:rsid w:val="00185243"/>
    <w:rsid w:val="00185DCD"/>
    <w:rsid w:val="001874A4"/>
    <w:rsid w:val="00190DAB"/>
    <w:rsid w:val="00191170"/>
    <w:rsid w:val="001924F0"/>
    <w:rsid w:val="00197FB9"/>
    <w:rsid w:val="001A1F13"/>
    <w:rsid w:val="001A591B"/>
    <w:rsid w:val="001A6EEC"/>
    <w:rsid w:val="001A7172"/>
    <w:rsid w:val="001B0E83"/>
    <w:rsid w:val="001B30D9"/>
    <w:rsid w:val="001B3B0C"/>
    <w:rsid w:val="001B5218"/>
    <w:rsid w:val="001B5A3E"/>
    <w:rsid w:val="001B5AC0"/>
    <w:rsid w:val="001B62C3"/>
    <w:rsid w:val="001B6C4B"/>
    <w:rsid w:val="001C0721"/>
    <w:rsid w:val="001C77D8"/>
    <w:rsid w:val="001D053F"/>
    <w:rsid w:val="001D0680"/>
    <w:rsid w:val="001D2AAB"/>
    <w:rsid w:val="001D45C9"/>
    <w:rsid w:val="001D5516"/>
    <w:rsid w:val="001D6656"/>
    <w:rsid w:val="001D68D2"/>
    <w:rsid w:val="001D6B66"/>
    <w:rsid w:val="001E4307"/>
    <w:rsid w:val="001E448B"/>
    <w:rsid w:val="001E5890"/>
    <w:rsid w:val="001E706C"/>
    <w:rsid w:val="001F10FB"/>
    <w:rsid w:val="001F1435"/>
    <w:rsid w:val="001F24B5"/>
    <w:rsid w:val="001F36F2"/>
    <w:rsid w:val="001F410E"/>
    <w:rsid w:val="001F7342"/>
    <w:rsid w:val="00201137"/>
    <w:rsid w:val="00202DE2"/>
    <w:rsid w:val="00202E02"/>
    <w:rsid w:val="00204AE4"/>
    <w:rsid w:val="00204FBF"/>
    <w:rsid w:val="0020581E"/>
    <w:rsid w:val="00206FFE"/>
    <w:rsid w:val="0020781A"/>
    <w:rsid w:val="002106D4"/>
    <w:rsid w:val="00210AFB"/>
    <w:rsid w:val="00211834"/>
    <w:rsid w:val="00212EDA"/>
    <w:rsid w:val="002132E7"/>
    <w:rsid w:val="00213896"/>
    <w:rsid w:val="00213999"/>
    <w:rsid w:val="002144BD"/>
    <w:rsid w:val="002150ED"/>
    <w:rsid w:val="0021705D"/>
    <w:rsid w:val="0021717B"/>
    <w:rsid w:val="00220A50"/>
    <w:rsid w:val="00221844"/>
    <w:rsid w:val="00224363"/>
    <w:rsid w:val="00224AB9"/>
    <w:rsid w:val="00225CD7"/>
    <w:rsid w:val="00226437"/>
    <w:rsid w:val="00227732"/>
    <w:rsid w:val="002308E6"/>
    <w:rsid w:val="002328AA"/>
    <w:rsid w:val="002358D5"/>
    <w:rsid w:val="00240A8B"/>
    <w:rsid w:val="002423E1"/>
    <w:rsid w:val="00243ECF"/>
    <w:rsid w:val="0024595A"/>
    <w:rsid w:val="00252E9F"/>
    <w:rsid w:val="002543BC"/>
    <w:rsid w:val="0025480A"/>
    <w:rsid w:val="00256B42"/>
    <w:rsid w:val="00256DC5"/>
    <w:rsid w:val="0026014F"/>
    <w:rsid w:val="00260BE2"/>
    <w:rsid w:val="00260E76"/>
    <w:rsid w:val="0026120A"/>
    <w:rsid w:val="002628C0"/>
    <w:rsid w:val="00264823"/>
    <w:rsid w:val="002660F8"/>
    <w:rsid w:val="00266CBD"/>
    <w:rsid w:val="002670C9"/>
    <w:rsid w:val="00267192"/>
    <w:rsid w:val="00271267"/>
    <w:rsid w:val="0027457D"/>
    <w:rsid w:val="00280062"/>
    <w:rsid w:val="00281801"/>
    <w:rsid w:val="002841CA"/>
    <w:rsid w:val="00286A5F"/>
    <w:rsid w:val="00286E08"/>
    <w:rsid w:val="00290117"/>
    <w:rsid w:val="00291174"/>
    <w:rsid w:val="00293796"/>
    <w:rsid w:val="00295661"/>
    <w:rsid w:val="002A3B97"/>
    <w:rsid w:val="002A79F2"/>
    <w:rsid w:val="002B29C8"/>
    <w:rsid w:val="002B2D53"/>
    <w:rsid w:val="002B47B2"/>
    <w:rsid w:val="002B532E"/>
    <w:rsid w:val="002B7DC1"/>
    <w:rsid w:val="002C6D1A"/>
    <w:rsid w:val="002D2E6D"/>
    <w:rsid w:val="002D3AD2"/>
    <w:rsid w:val="002D4A38"/>
    <w:rsid w:val="002D4B1F"/>
    <w:rsid w:val="002D57E1"/>
    <w:rsid w:val="002D5E34"/>
    <w:rsid w:val="002D6102"/>
    <w:rsid w:val="002D6A4B"/>
    <w:rsid w:val="002D7BF5"/>
    <w:rsid w:val="002E10C4"/>
    <w:rsid w:val="002E2C86"/>
    <w:rsid w:val="002E417C"/>
    <w:rsid w:val="002E6518"/>
    <w:rsid w:val="002E6563"/>
    <w:rsid w:val="002E6E95"/>
    <w:rsid w:val="002E79CF"/>
    <w:rsid w:val="002F280F"/>
    <w:rsid w:val="002F493A"/>
    <w:rsid w:val="003014C7"/>
    <w:rsid w:val="003021BD"/>
    <w:rsid w:val="0030401E"/>
    <w:rsid w:val="003049AE"/>
    <w:rsid w:val="00305C46"/>
    <w:rsid w:val="00310FA7"/>
    <w:rsid w:val="003115DF"/>
    <w:rsid w:val="00313B3F"/>
    <w:rsid w:val="00314CB1"/>
    <w:rsid w:val="00320837"/>
    <w:rsid w:val="00323A09"/>
    <w:rsid w:val="00323A3F"/>
    <w:rsid w:val="003253D1"/>
    <w:rsid w:val="003253ED"/>
    <w:rsid w:val="00331857"/>
    <w:rsid w:val="003325A7"/>
    <w:rsid w:val="00335195"/>
    <w:rsid w:val="003351AE"/>
    <w:rsid w:val="00336156"/>
    <w:rsid w:val="003363DB"/>
    <w:rsid w:val="00337A9A"/>
    <w:rsid w:val="00340641"/>
    <w:rsid w:val="00341703"/>
    <w:rsid w:val="003451BA"/>
    <w:rsid w:val="00345CE7"/>
    <w:rsid w:val="00345D25"/>
    <w:rsid w:val="003500E6"/>
    <w:rsid w:val="003515B9"/>
    <w:rsid w:val="003522FE"/>
    <w:rsid w:val="00352C4A"/>
    <w:rsid w:val="003538C4"/>
    <w:rsid w:val="00360614"/>
    <w:rsid w:val="00361809"/>
    <w:rsid w:val="00361D77"/>
    <w:rsid w:val="00361F24"/>
    <w:rsid w:val="00365AC1"/>
    <w:rsid w:val="00366D3F"/>
    <w:rsid w:val="00371A55"/>
    <w:rsid w:val="00372150"/>
    <w:rsid w:val="00372A13"/>
    <w:rsid w:val="00374849"/>
    <w:rsid w:val="00375BE2"/>
    <w:rsid w:val="00376CB3"/>
    <w:rsid w:val="00377F37"/>
    <w:rsid w:val="003835B3"/>
    <w:rsid w:val="00383DB2"/>
    <w:rsid w:val="00384089"/>
    <w:rsid w:val="00384C53"/>
    <w:rsid w:val="00385034"/>
    <w:rsid w:val="00387CB2"/>
    <w:rsid w:val="00391E8B"/>
    <w:rsid w:val="00393E0E"/>
    <w:rsid w:val="00393F10"/>
    <w:rsid w:val="00396A88"/>
    <w:rsid w:val="00396F38"/>
    <w:rsid w:val="003973E0"/>
    <w:rsid w:val="0039797D"/>
    <w:rsid w:val="003A00D7"/>
    <w:rsid w:val="003A1123"/>
    <w:rsid w:val="003A23D1"/>
    <w:rsid w:val="003B117F"/>
    <w:rsid w:val="003B1EFC"/>
    <w:rsid w:val="003B3FBB"/>
    <w:rsid w:val="003B534F"/>
    <w:rsid w:val="003B658F"/>
    <w:rsid w:val="003B73C8"/>
    <w:rsid w:val="003B79CB"/>
    <w:rsid w:val="003C74D3"/>
    <w:rsid w:val="003C7E45"/>
    <w:rsid w:val="003D1250"/>
    <w:rsid w:val="003D3C1E"/>
    <w:rsid w:val="003D4F94"/>
    <w:rsid w:val="003D73D0"/>
    <w:rsid w:val="003E07B6"/>
    <w:rsid w:val="003E1B1C"/>
    <w:rsid w:val="003E643F"/>
    <w:rsid w:val="003F11C6"/>
    <w:rsid w:val="003F2B72"/>
    <w:rsid w:val="003F37E1"/>
    <w:rsid w:val="003F3BD9"/>
    <w:rsid w:val="003F61D0"/>
    <w:rsid w:val="003F6B5E"/>
    <w:rsid w:val="00400FFC"/>
    <w:rsid w:val="00401645"/>
    <w:rsid w:val="00403E83"/>
    <w:rsid w:val="004045CC"/>
    <w:rsid w:val="00404EF5"/>
    <w:rsid w:val="00407723"/>
    <w:rsid w:val="00410D24"/>
    <w:rsid w:val="00410DBF"/>
    <w:rsid w:val="0041242A"/>
    <w:rsid w:val="004128C4"/>
    <w:rsid w:val="00412EDE"/>
    <w:rsid w:val="0041349A"/>
    <w:rsid w:val="00415821"/>
    <w:rsid w:val="00415D2F"/>
    <w:rsid w:val="00416BA1"/>
    <w:rsid w:val="00416DD1"/>
    <w:rsid w:val="00416F59"/>
    <w:rsid w:val="004173CA"/>
    <w:rsid w:val="004200F1"/>
    <w:rsid w:val="0042093E"/>
    <w:rsid w:val="00421230"/>
    <w:rsid w:val="00424D5A"/>
    <w:rsid w:val="00425DD9"/>
    <w:rsid w:val="00430CC8"/>
    <w:rsid w:val="00444293"/>
    <w:rsid w:val="00446708"/>
    <w:rsid w:val="004473AE"/>
    <w:rsid w:val="00453B2F"/>
    <w:rsid w:val="00456096"/>
    <w:rsid w:val="004569D8"/>
    <w:rsid w:val="004572FE"/>
    <w:rsid w:val="004606E5"/>
    <w:rsid w:val="004617C0"/>
    <w:rsid w:val="0046217E"/>
    <w:rsid w:val="0046298A"/>
    <w:rsid w:val="00462C82"/>
    <w:rsid w:val="004657FF"/>
    <w:rsid w:val="00466E11"/>
    <w:rsid w:val="00467E4A"/>
    <w:rsid w:val="004702B8"/>
    <w:rsid w:val="0047104E"/>
    <w:rsid w:val="004710FD"/>
    <w:rsid w:val="00471678"/>
    <w:rsid w:val="00474926"/>
    <w:rsid w:val="004754CA"/>
    <w:rsid w:val="00475866"/>
    <w:rsid w:val="00475B80"/>
    <w:rsid w:val="0048103E"/>
    <w:rsid w:val="004831DA"/>
    <w:rsid w:val="00483B62"/>
    <w:rsid w:val="00493320"/>
    <w:rsid w:val="00493327"/>
    <w:rsid w:val="004944B2"/>
    <w:rsid w:val="004945D3"/>
    <w:rsid w:val="004947E8"/>
    <w:rsid w:val="00495334"/>
    <w:rsid w:val="004955E2"/>
    <w:rsid w:val="00496043"/>
    <w:rsid w:val="00496D26"/>
    <w:rsid w:val="004A08F2"/>
    <w:rsid w:val="004A221B"/>
    <w:rsid w:val="004A3AA2"/>
    <w:rsid w:val="004A62D4"/>
    <w:rsid w:val="004A7D73"/>
    <w:rsid w:val="004B16AC"/>
    <w:rsid w:val="004B196F"/>
    <w:rsid w:val="004B2001"/>
    <w:rsid w:val="004B4A9D"/>
    <w:rsid w:val="004B4E90"/>
    <w:rsid w:val="004B6538"/>
    <w:rsid w:val="004C09AE"/>
    <w:rsid w:val="004C1731"/>
    <w:rsid w:val="004C518E"/>
    <w:rsid w:val="004C621A"/>
    <w:rsid w:val="004C6904"/>
    <w:rsid w:val="004C6A96"/>
    <w:rsid w:val="004C763A"/>
    <w:rsid w:val="004D52BB"/>
    <w:rsid w:val="004D5986"/>
    <w:rsid w:val="004D6A47"/>
    <w:rsid w:val="004D6B33"/>
    <w:rsid w:val="004D796F"/>
    <w:rsid w:val="004E0DC2"/>
    <w:rsid w:val="004E14D5"/>
    <w:rsid w:val="004E2E3D"/>
    <w:rsid w:val="004E3E26"/>
    <w:rsid w:val="004E57E6"/>
    <w:rsid w:val="004E6651"/>
    <w:rsid w:val="004F6BE6"/>
    <w:rsid w:val="004F6E95"/>
    <w:rsid w:val="00501F0D"/>
    <w:rsid w:val="005020F7"/>
    <w:rsid w:val="00502C8F"/>
    <w:rsid w:val="0050324B"/>
    <w:rsid w:val="00504B5A"/>
    <w:rsid w:val="0050601C"/>
    <w:rsid w:val="0050634C"/>
    <w:rsid w:val="00510378"/>
    <w:rsid w:val="00513C16"/>
    <w:rsid w:val="00516438"/>
    <w:rsid w:val="00516A80"/>
    <w:rsid w:val="00520452"/>
    <w:rsid w:val="005213DF"/>
    <w:rsid w:val="00521623"/>
    <w:rsid w:val="00525B41"/>
    <w:rsid w:val="005276B6"/>
    <w:rsid w:val="0052795F"/>
    <w:rsid w:val="00527F6F"/>
    <w:rsid w:val="005310FE"/>
    <w:rsid w:val="00533763"/>
    <w:rsid w:val="00534441"/>
    <w:rsid w:val="00534B20"/>
    <w:rsid w:val="005400A6"/>
    <w:rsid w:val="005403A8"/>
    <w:rsid w:val="00541DF7"/>
    <w:rsid w:val="005442A4"/>
    <w:rsid w:val="005478A2"/>
    <w:rsid w:val="005520B0"/>
    <w:rsid w:val="0055211E"/>
    <w:rsid w:val="00554E2F"/>
    <w:rsid w:val="005566D9"/>
    <w:rsid w:val="005627F1"/>
    <w:rsid w:val="00562F36"/>
    <w:rsid w:val="00563862"/>
    <w:rsid w:val="005640D8"/>
    <w:rsid w:val="005642CD"/>
    <w:rsid w:val="00570E61"/>
    <w:rsid w:val="005713ED"/>
    <w:rsid w:val="00571528"/>
    <w:rsid w:val="0057273B"/>
    <w:rsid w:val="005742D8"/>
    <w:rsid w:val="005774FA"/>
    <w:rsid w:val="0058111A"/>
    <w:rsid w:val="00582128"/>
    <w:rsid w:val="00582751"/>
    <w:rsid w:val="00586285"/>
    <w:rsid w:val="005867DA"/>
    <w:rsid w:val="00586D33"/>
    <w:rsid w:val="00590C87"/>
    <w:rsid w:val="00593B97"/>
    <w:rsid w:val="00595BBE"/>
    <w:rsid w:val="00596DEC"/>
    <w:rsid w:val="005A0964"/>
    <w:rsid w:val="005A167C"/>
    <w:rsid w:val="005B3610"/>
    <w:rsid w:val="005B3D79"/>
    <w:rsid w:val="005B5985"/>
    <w:rsid w:val="005B765B"/>
    <w:rsid w:val="005C34A2"/>
    <w:rsid w:val="005C703F"/>
    <w:rsid w:val="005C7975"/>
    <w:rsid w:val="005C7AB6"/>
    <w:rsid w:val="005C7E2D"/>
    <w:rsid w:val="005D0EE0"/>
    <w:rsid w:val="005D1BA9"/>
    <w:rsid w:val="005D3B56"/>
    <w:rsid w:val="005D5D15"/>
    <w:rsid w:val="005E0BD4"/>
    <w:rsid w:val="005E24B9"/>
    <w:rsid w:val="005E2FEA"/>
    <w:rsid w:val="005E39E9"/>
    <w:rsid w:val="005E410B"/>
    <w:rsid w:val="005E52DD"/>
    <w:rsid w:val="005E6311"/>
    <w:rsid w:val="005E73AC"/>
    <w:rsid w:val="005F000F"/>
    <w:rsid w:val="005F1468"/>
    <w:rsid w:val="005F250E"/>
    <w:rsid w:val="005F458C"/>
    <w:rsid w:val="005F5522"/>
    <w:rsid w:val="005F5AE1"/>
    <w:rsid w:val="00602042"/>
    <w:rsid w:val="006032D7"/>
    <w:rsid w:val="00603F26"/>
    <w:rsid w:val="006106B6"/>
    <w:rsid w:val="006107EE"/>
    <w:rsid w:val="00611E2D"/>
    <w:rsid w:val="00615B51"/>
    <w:rsid w:val="0061700E"/>
    <w:rsid w:val="006202E3"/>
    <w:rsid w:val="006208AF"/>
    <w:rsid w:val="00620DB7"/>
    <w:rsid w:val="0062376B"/>
    <w:rsid w:val="00623C35"/>
    <w:rsid w:val="00623E4D"/>
    <w:rsid w:val="00623F14"/>
    <w:rsid w:val="00627285"/>
    <w:rsid w:val="006304AB"/>
    <w:rsid w:val="00630763"/>
    <w:rsid w:val="00631CD4"/>
    <w:rsid w:val="006377E3"/>
    <w:rsid w:val="00640A21"/>
    <w:rsid w:val="00641399"/>
    <w:rsid w:val="00641EAB"/>
    <w:rsid w:val="006421E8"/>
    <w:rsid w:val="0064269D"/>
    <w:rsid w:val="006430EB"/>
    <w:rsid w:val="0064324C"/>
    <w:rsid w:val="00644FBC"/>
    <w:rsid w:val="006470E4"/>
    <w:rsid w:val="00647C38"/>
    <w:rsid w:val="0065030F"/>
    <w:rsid w:val="0065268B"/>
    <w:rsid w:val="00652B1D"/>
    <w:rsid w:val="0065488F"/>
    <w:rsid w:val="006552F5"/>
    <w:rsid w:val="00656705"/>
    <w:rsid w:val="00662523"/>
    <w:rsid w:val="0066268A"/>
    <w:rsid w:val="006630F9"/>
    <w:rsid w:val="00663EDD"/>
    <w:rsid w:val="00663EEF"/>
    <w:rsid w:val="00665D2A"/>
    <w:rsid w:val="0066762F"/>
    <w:rsid w:val="006705F1"/>
    <w:rsid w:val="00671F46"/>
    <w:rsid w:val="006736F7"/>
    <w:rsid w:val="00675497"/>
    <w:rsid w:val="006764BC"/>
    <w:rsid w:val="00676B97"/>
    <w:rsid w:val="00677430"/>
    <w:rsid w:val="00680630"/>
    <w:rsid w:val="00682018"/>
    <w:rsid w:val="00682A35"/>
    <w:rsid w:val="00682BC0"/>
    <w:rsid w:val="0068365F"/>
    <w:rsid w:val="0068535E"/>
    <w:rsid w:val="0068794B"/>
    <w:rsid w:val="006902E6"/>
    <w:rsid w:val="00692C56"/>
    <w:rsid w:val="00693E8C"/>
    <w:rsid w:val="00694A88"/>
    <w:rsid w:val="006957D6"/>
    <w:rsid w:val="006967FE"/>
    <w:rsid w:val="0069786A"/>
    <w:rsid w:val="00697BDD"/>
    <w:rsid w:val="006A274A"/>
    <w:rsid w:val="006A740F"/>
    <w:rsid w:val="006B461A"/>
    <w:rsid w:val="006B56AC"/>
    <w:rsid w:val="006B7EDB"/>
    <w:rsid w:val="006C0322"/>
    <w:rsid w:val="006C03E8"/>
    <w:rsid w:val="006C0ECE"/>
    <w:rsid w:val="006C2B3A"/>
    <w:rsid w:val="006C2DF9"/>
    <w:rsid w:val="006C4366"/>
    <w:rsid w:val="006C5216"/>
    <w:rsid w:val="006C5A9F"/>
    <w:rsid w:val="006C62CF"/>
    <w:rsid w:val="006C7C03"/>
    <w:rsid w:val="006D22C4"/>
    <w:rsid w:val="006D3038"/>
    <w:rsid w:val="006D3843"/>
    <w:rsid w:val="006D57AD"/>
    <w:rsid w:val="006D5E29"/>
    <w:rsid w:val="006D6A09"/>
    <w:rsid w:val="006D764F"/>
    <w:rsid w:val="006D7D82"/>
    <w:rsid w:val="006E201C"/>
    <w:rsid w:val="006E4432"/>
    <w:rsid w:val="006E5918"/>
    <w:rsid w:val="006F0372"/>
    <w:rsid w:val="006F3321"/>
    <w:rsid w:val="006F3563"/>
    <w:rsid w:val="006F5A60"/>
    <w:rsid w:val="006F5F6B"/>
    <w:rsid w:val="006F73BF"/>
    <w:rsid w:val="00700962"/>
    <w:rsid w:val="00702396"/>
    <w:rsid w:val="00703BAE"/>
    <w:rsid w:val="00704034"/>
    <w:rsid w:val="0070514E"/>
    <w:rsid w:val="00705EBA"/>
    <w:rsid w:val="0070734A"/>
    <w:rsid w:val="007172A3"/>
    <w:rsid w:val="007245A1"/>
    <w:rsid w:val="00725C92"/>
    <w:rsid w:val="00727F31"/>
    <w:rsid w:val="00727FA2"/>
    <w:rsid w:val="0073159C"/>
    <w:rsid w:val="00733518"/>
    <w:rsid w:val="00734C40"/>
    <w:rsid w:val="00734F64"/>
    <w:rsid w:val="00735297"/>
    <w:rsid w:val="00735A4A"/>
    <w:rsid w:val="0074031B"/>
    <w:rsid w:val="007417E0"/>
    <w:rsid w:val="00744821"/>
    <w:rsid w:val="0074509E"/>
    <w:rsid w:val="0074534C"/>
    <w:rsid w:val="00746F99"/>
    <w:rsid w:val="00750DC4"/>
    <w:rsid w:val="007517E1"/>
    <w:rsid w:val="00751A9E"/>
    <w:rsid w:val="0075729B"/>
    <w:rsid w:val="00757314"/>
    <w:rsid w:val="007624D4"/>
    <w:rsid w:val="007654F3"/>
    <w:rsid w:val="00765CBA"/>
    <w:rsid w:val="007669EF"/>
    <w:rsid w:val="00766AAA"/>
    <w:rsid w:val="0076723A"/>
    <w:rsid w:val="0076746E"/>
    <w:rsid w:val="00771027"/>
    <w:rsid w:val="00772DB1"/>
    <w:rsid w:val="0077695A"/>
    <w:rsid w:val="00782388"/>
    <w:rsid w:val="00784B75"/>
    <w:rsid w:val="00785284"/>
    <w:rsid w:val="007944BA"/>
    <w:rsid w:val="00795247"/>
    <w:rsid w:val="00795C88"/>
    <w:rsid w:val="007A1222"/>
    <w:rsid w:val="007A182F"/>
    <w:rsid w:val="007A377C"/>
    <w:rsid w:val="007A4FF1"/>
    <w:rsid w:val="007A74A0"/>
    <w:rsid w:val="007B0052"/>
    <w:rsid w:val="007B0407"/>
    <w:rsid w:val="007B0C6F"/>
    <w:rsid w:val="007B56F1"/>
    <w:rsid w:val="007B5E27"/>
    <w:rsid w:val="007C00B2"/>
    <w:rsid w:val="007C0190"/>
    <w:rsid w:val="007C04DF"/>
    <w:rsid w:val="007C156A"/>
    <w:rsid w:val="007C7371"/>
    <w:rsid w:val="007C7C85"/>
    <w:rsid w:val="007D0652"/>
    <w:rsid w:val="007D450A"/>
    <w:rsid w:val="007D5CE2"/>
    <w:rsid w:val="007D767F"/>
    <w:rsid w:val="007E684E"/>
    <w:rsid w:val="007F1D71"/>
    <w:rsid w:val="007F3B94"/>
    <w:rsid w:val="007F3C0C"/>
    <w:rsid w:val="007F61F2"/>
    <w:rsid w:val="007F7B2F"/>
    <w:rsid w:val="00802748"/>
    <w:rsid w:val="00805DEC"/>
    <w:rsid w:val="00806BB3"/>
    <w:rsid w:val="00807E16"/>
    <w:rsid w:val="008103A2"/>
    <w:rsid w:val="008126C4"/>
    <w:rsid w:val="00812D8F"/>
    <w:rsid w:val="0081443B"/>
    <w:rsid w:val="00815514"/>
    <w:rsid w:val="008166D5"/>
    <w:rsid w:val="00816795"/>
    <w:rsid w:val="00817A4B"/>
    <w:rsid w:val="00817A85"/>
    <w:rsid w:val="00822464"/>
    <w:rsid w:val="00822642"/>
    <w:rsid w:val="0082321D"/>
    <w:rsid w:val="00823ACA"/>
    <w:rsid w:val="00827459"/>
    <w:rsid w:val="0083097E"/>
    <w:rsid w:val="008322BA"/>
    <w:rsid w:val="00832920"/>
    <w:rsid w:val="00833D0D"/>
    <w:rsid w:val="00835D5C"/>
    <w:rsid w:val="00835E12"/>
    <w:rsid w:val="00840429"/>
    <w:rsid w:val="00840E86"/>
    <w:rsid w:val="00843885"/>
    <w:rsid w:val="00845484"/>
    <w:rsid w:val="00850801"/>
    <w:rsid w:val="00851829"/>
    <w:rsid w:val="008527C6"/>
    <w:rsid w:val="0085329B"/>
    <w:rsid w:val="00854385"/>
    <w:rsid w:val="008544AA"/>
    <w:rsid w:val="00854E60"/>
    <w:rsid w:val="008555BC"/>
    <w:rsid w:val="00855E5A"/>
    <w:rsid w:val="00857E4E"/>
    <w:rsid w:val="00863504"/>
    <w:rsid w:val="00863A9D"/>
    <w:rsid w:val="00865AD6"/>
    <w:rsid w:val="00865B0B"/>
    <w:rsid w:val="00866629"/>
    <w:rsid w:val="00870105"/>
    <w:rsid w:val="00871983"/>
    <w:rsid w:val="008721C4"/>
    <w:rsid w:val="00872BCA"/>
    <w:rsid w:val="00875539"/>
    <w:rsid w:val="00875A47"/>
    <w:rsid w:val="0087619D"/>
    <w:rsid w:val="0087695D"/>
    <w:rsid w:val="008817A7"/>
    <w:rsid w:val="00882B06"/>
    <w:rsid w:val="00883608"/>
    <w:rsid w:val="00883EA0"/>
    <w:rsid w:val="00884438"/>
    <w:rsid w:val="008873C2"/>
    <w:rsid w:val="00887B8C"/>
    <w:rsid w:val="00893349"/>
    <w:rsid w:val="00895CD5"/>
    <w:rsid w:val="008A1A25"/>
    <w:rsid w:val="008A734B"/>
    <w:rsid w:val="008B08E7"/>
    <w:rsid w:val="008B4AD4"/>
    <w:rsid w:val="008B7E25"/>
    <w:rsid w:val="008C54A3"/>
    <w:rsid w:val="008C5B78"/>
    <w:rsid w:val="008C5D21"/>
    <w:rsid w:val="008D18E6"/>
    <w:rsid w:val="008D1F58"/>
    <w:rsid w:val="008E0DE2"/>
    <w:rsid w:val="008E1360"/>
    <w:rsid w:val="008E157B"/>
    <w:rsid w:val="008E3714"/>
    <w:rsid w:val="008E60DD"/>
    <w:rsid w:val="008E6F44"/>
    <w:rsid w:val="008F0FFC"/>
    <w:rsid w:val="008F337F"/>
    <w:rsid w:val="008F54EA"/>
    <w:rsid w:val="008F70B9"/>
    <w:rsid w:val="008F7695"/>
    <w:rsid w:val="00902180"/>
    <w:rsid w:val="0090220F"/>
    <w:rsid w:val="00907571"/>
    <w:rsid w:val="00912DA8"/>
    <w:rsid w:val="00913169"/>
    <w:rsid w:val="00913454"/>
    <w:rsid w:val="0091433E"/>
    <w:rsid w:val="00915832"/>
    <w:rsid w:val="00916DEC"/>
    <w:rsid w:val="009201E3"/>
    <w:rsid w:val="009203C4"/>
    <w:rsid w:val="00921F01"/>
    <w:rsid w:val="0092639B"/>
    <w:rsid w:val="00926FB1"/>
    <w:rsid w:val="009320C9"/>
    <w:rsid w:val="00932E1B"/>
    <w:rsid w:val="00933F54"/>
    <w:rsid w:val="009349D7"/>
    <w:rsid w:val="00937018"/>
    <w:rsid w:val="009370FF"/>
    <w:rsid w:val="00941044"/>
    <w:rsid w:val="009417CA"/>
    <w:rsid w:val="00941C20"/>
    <w:rsid w:val="009427C5"/>
    <w:rsid w:val="009455B5"/>
    <w:rsid w:val="00947247"/>
    <w:rsid w:val="00954B78"/>
    <w:rsid w:val="00954D5A"/>
    <w:rsid w:val="00955216"/>
    <w:rsid w:val="00955984"/>
    <w:rsid w:val="00957B02"/>
    <w:rsid w:val="0096027F"/>
    <w:rsid w:val="00960670"/>
    <w:rsid w:val="00962213"/>
    <w:rsid w:val="009625FA"/>
    <w:rsid w:val="009629A7"/>
    <w:rsid w:val="00966238"/>
    <w:rsid w:val="00966CBD"/>
    <w:rsid w:val="0097088E"/>
    <w:rsid w:val="00973040"/>
    <w:rsid w:val="009738B8"/>
    <w:rsid w:val="00973E1E"/>
    <w:rsid w:val="0097775E"/>
    <w:rsid w:val="009777AB"/>
    <w:rsid w:val="00977EE1"/>
    <w:rsid w:val="009808BE"/>
    <w:rsid w:val="00981237"/>
    <w:rsid w:val="00981360"/>
    <w:rsid w:val="00982B36"/>
    <w:rsid w:val="00983E11"/>
    <w:rsid w:val="00985E15"/>
    <w:rsid w:val="009862D5"/>
    <w:rsid w:val="00986689"/>
    <w:rsid w:val="009866B0"/>
    <w:rsid w:val="009875BA"/>
    <w:rsid w:val="009911D6"/>
    <w:rsid w:val="0099483D"/>
    <w:rsid w:val="00995202"/>
    <w:rsid w:val="0099642D"/>
    <w:rsid w:val="00997579"/>
    <w:rsid w:val="009A0D3F"/>
    <w:rsid w:val="009A3541"/>
    <w:rsid w:val="009A6EA0"/>
    <w:rsid w:val="009B0DBF"/>
    <w:rsid w:val="009B1777"/>
    <w:rsid w:val="009B197B"/>
    <w:rsid w:val="009B3CEA"/>
    <w:rsid w:val="009B56E1"/>
    <w:rsid w:val="009B6181"/>
    <w:rsid w:val="009B6C06"/>
    <w:rsid w:val="009C068B"/>
    <w:rsid w:val="009C165B"/>
    <w:rsid w:val="009C3BE1"/>
    <w:rsid w:val="009C6583"/>
    <w:rsid w:val="009C65AF"/>
    <w:rsid w:val="009C7785"/>
    <w:rsid w:val="009D22D3"/>
    <w:rsid w:val="009D2885"/>
    <w:rsid w:val="009D44A4"/>
    <w:rsid w:val="009D745E"/>
    <w:rsid w:val="009E2C29"/>
    <w:rsid w:val="009E36FE"/>
    <w:rsid w:val="009E474E"/>
    <w:rsid w:val="009E617E"/>
    <w:rsid w:val="009E7DCD"/>
    <w:rsid w:val="009F1A8D"/>
    <w:rsid w:val="009F3B58"/>
    <w:rsid w:val="00A018C0"/>
    <w:rsid w:val="00A01C8F"/>
    <w:rsid w:val="00A118FE"/>
    <w:rsid w:val="00A11F24"/>
    <w:rsid w:val="00A12793"/>
    <w:rsid w:val="00A16EA4"/>
    <w:rsid w:val="00A218F9"/>
    <w:rsid w:val="00A2265A"/>
    <w:rsid w:val="00A231C4"/>
    <w:rsid w:val="00A25666"/>
    <w:rsid w:val="00A27AE9"/>
    <w:rsid w:val="00A32435"/>
    <w:rsid w:val="00A32BFB"/>
    <w:rsid w:val="00A333F1"/>
    <w:rsid w:val="00A353A4"/>
    <w:rsid w:val="00A363BC"/>
    <w:rsid w:val="00A364B8"/>
    <w:rsid w:val="00A42FA2"/>
    <w:rsid w:val="00A45890"/>
    <w:rsid w:val="00A45C5C"/>
    <w:rsid w:val="00A466CF"/>
    <w:rsid w:val="00A47189"/>
    <w:rsid w:val="00A50D07"/>
    <w:rsid w:val="00A53545"/>
    <w:rsid w:val="00A54371"/>
    <w:rsid w:val="00A56AF2"/>
    <w:rsid w:val="00A60EEC"/>
    <w:rsid w:val="00A61412"/>
    <w:rsid w:val="00A62389"/>
    <w:rsid w:val="00A62403"/>
    <w:rsid w:val="00A63410"/>
    <w:rsid w:val="00A65737"/>
    <w:rsid w:val="00A65823"/>
    <w:rsid w:val="00A670E9"/>
    <w:rsid w:val="00A67D5C"/>
    <w:rsid w:val="00A709C5"/>
    <w:rsid w:val="00A71F4E"/>
    <w:rsid w:val="00A74552"/>
    <w:rsid w:val="00A76BAE"/>
    <w:rsid w:val="00A76E50"/>
    <w:rsid w:val="00A80CBC"/>
    <w:rsid w:val="00A81288"/>
    <w:rsid w:val="00A81D4E"/>
    <w:rsid w:val="00A826FA"/>
    <w:rsid w:val="00A8466A"/>
    <w:rsid w:val="00A84D60"/>
    <w:rsid w:val="00A85FF6"/>
    <w:rsid w:val="00A865F3"/>
    <w:rsid w:val="00A87002"/>
    <w:rsid w:val="00A926DF"/>
    <w:rsid w:val="00A926F4"/>
    <w:rsid w:val="00A9278E"/>
    <w:rsid w:val="00A958E7"/>
    <w:rsid w:val="00A95D50"/>
    <w:rsid w:val="00A97C5A"/>
    <w:rsid w:val="00AA44DD"/>
    <w:rsid w:val="00AA6F64"/>
    <w:rsid w:val="00AB03A3"/>
    <w:rsid w:val="00AB113A"/>
    <w:rsid w:val="00AB1F05"/>
    <w:rsid w:val="00AB28AE"/>
    <w:rsid w:val="00AB28B6"/>
    <w:rsid w:val="00AB2E1E"/>
    <w:rsid w:val="00AB3712"/>
    <w:rsid w:val="00AB44B7"/>
    <w:rsid w:val="00AB45BA"/>
    <w:rsid w:val="00AB5D50"/>
    <w:rsid w:val="00AB6F86"/>
    <w:rsid w:val="00AB7694"/>
    <w:rsid w:val="00AB777A"/>
    <w:rsid w:val="00AB77F8"/>
    <w:rsid w:val="00AC04EB"/>
    <w:rsid w:val="00AC1B1D"/>
    <w:rsid w:val="00AC2709"/>
    <w:rsid w:val="00AC27E1"/>
    <w:rsid w:val="00AC3459"/>
    <w:rsid w:val="00AC4B29"/>
    <w:rsid w:val="00AD105D"/>
    <w:rsid w:val="00AD268C"/>
    <w:rsid w:val="00AD394B"/>
    <w:rsid w:val="00AD4681"/>
    <w:rsid w:val="00AD4B0F"/>
    <w:rsid w:val="00AD5A73"/>
    <w:rsid w:val="00AD5D01"/>
    <w:rsid w:val="00AD6114"/>
    <w:rsid w:val="00AE11E9"/>
    <w:rsid w:val="00AE1A0F"/>
    <w:rsid w:val="00AE2650"/>
    <w:rsid w:val="00AE2894"/>
    <w:rsid w:val="00AE5E9E"/>
    <w:rsid w:val="00AE7687"/>
    <w:rsid w:val="00AE7CEE"/>
    <w:rsid w:val="00AF05D8"/>
    <w:rsid w:val="00AF1813"/>
    <w:rsid w:val="00AF1D50"/>
    <w:rsid w:val="00AF2472"/>
    <w:rsid w:val="00AF74F3"/>
    <w:rsid w:val="00B000B6"/>
    <w:rsid w:val="00B048F3"/>
    <w:rsid w:val="00B05D71"/>
    <w:rsid w:val="00B064AE"/>
    <w:rsid w:val="00B07490"/>
    <w:rsid w:val="00B163CC"/>
    <w:rsid w:val="00B16A2E"/>
    <w:rsid w:val="00B20264"/>
    <w:rsid w:val="00B20615"/>
    <w:rsid w:val="00B21A74"/>
    <w:rsid w:val="00B24B4B"/>
    <w:rsid w:val="00B30B9E"/>
    <w:rsid w:val="00B30BE1"/>
    <w:rsid w:val="00B30C6B"/>
    <w:rsid w:val="00B310CD"/>
    <w:rsid w:val="00B31DDF"/>
    <w:rsid w:val="00B32222"/>
    <w:rsid w:val="00B33775"/>
    <w:rsid w:val="00B354F2"/>
    <w:rsid w:val="00B36C19"/>
    <w:rsid w:val="00B40514"/>
    <w:rsid w:val="00B4093D"/>
    <w:rsid w:val="00B40C0B"/>
    <w:rsid w:val="00B425F0"/>
    <w:rsid w:val="00B42F8A"/>
    <w:rsid w:val="00B44CE7"/>
    <w:rsid w:val="00B450A9"/>
    <w:rsid w:val="00B46AEA"/>
    <w:rsid w:val="00B47890"/>
    <w:rsid w:val="00B5234A"/>
    <w:rsid w:val="00B5249E"/>
    <w:rsid w:val="00B5514C"/>
    <w:rsid w:val="00B576DC"/>
    <w:rsid w:val="00B611A2"/>
    <w:rsid w:val="00B6130E"/>
    <w:rsid w:val="00B6528D"/>
    <w:rsid w:val="00B65B30"/>
    <w:rsid w:val="00B65BB2"/>
    <w:rsid w:val="00B70737"/>
    <w:rsid w:val="00B72A4C"/>
    <w:rsid w:val="00B762B3"/>
    <w:rsid w:val="00B7641C"/>
    <w:rsid w:val="00B81015"/>
    <w:rsid w:val="00B84F13"/>
    <w:rsid w:val="00B85AFB"/>
    <w:rsid w:val="00B86C0E"/>
    <w:rsid w:val="00B90952"/>
    <w:rsid w:val="00B96533"/>
    <w:rsid w:val="00B975E2"/>
    <w:rsid w:val="00B97ECB"/>
    <w:rsid w:val="00BA0A6A"/>
    <w:rsid w:val="00BA20EC"/>
    <w:rsid w:val="00BA25BD"/>
    <w:rsid w:val="00BA36E1"/>
    <w:rsid w:val="00BA4634"/>
    <w:rsid w:val="00BA54EB"/>
    <w:rsid w:val="00BA6EF9"/>
    <w:rsid w:val="00BA74A6"/>
    <w:rsid w:val="00BB0339"/>
    <w:rsid w:val="00BB0EE7"/>
    <w:rsid w:val="00BB1BD8"/>
    <w:rsid w:val="00BB25ED"/>
    <w:rsid w:val="00BB3844"/>
    <w:rsid w:val="00BB399E"/>
    <w:rsid w:val="00BB3AEC"/>
    <w:rsid w:val="00BB4AE0"/>
    <w:rsid w:val="00BB4EB6"/>
    <w:rsid w:val="00BB5280"/>
    <w:rsid w:val="00BC1ECA"/>
    <w:rsid w:val="00BC2383"/>
    <w:rsid w:val="00BC23B4"/>
    <w:rsid w:val="00BC3106"/>
    <w:rsid w:val="00BC591D"/>
    <w:rsid w:val="00BC6B90"/>
    <w:rsid w:val="00BC6C23"/>
    <w:rsid w:val="00BD1FE4"/>
    <w:rsid w:val="00BD4514"/>
    <w:rsid w:val="00BD4E62"/>
    <w:rsid w:val="00BD5095"/>
    <w:rsid w:val="00BD6BE9"/>
    <w:rsid w:val="00BD6E86"/>
    <w:rsid w:val="00BD786E"/>
    <w:rsid w:val="00BD7C6A"/>
    <w:rsid w:val="00BE1CC5"/>
    <w:rsid w:val="00BE34E2"/>
    <w:rsid w:val="00BE5D95"/>
    <w:rsid w:val="00BE6BED"/>
    <w:rsid w:val="00BF0C4E"/>
    <w:rsid w:val="00BF1B88"/>
    <w:rsid w:val="00BF1CDC"/>
    <w:rsid w:val="00BF369F"/>
    <w:rsid w:val="00BF40DD"/>
    <w:rsid w:val="00BF5C04"/>
    <w:rsid w:val="00BF6603"/>
    <w:rsid w:val="00BF7D32"/>
    <w:rsid w:val="00BF7F3F"/>
    <w:rsid w:val="00C02BE3"/>
    <w:rsid w:val="00C04F7D"/>
    <w:rsid w:val="00C06E49"/>
    <w:rsid w:val="00C07EDA"/>
    <w:rsid w:val="00C1099B"/>
    <w:rsid w:val="00C109FD"/>
    <w:rsid w:val="00C1580D"/>
    <w:rsid w:val="00C15CD6"/>
    <w:rsid w:val="00C2142E"/>
    <w:rsid w:val="00C227C8"/>
    <w:rsid w:val="00C24079"/>
    <w:rsid w:val="00C242E1"/>
    <w:rsid w:val="00C2456A"/>
    <w:rsid w:val="00C250E8"/>
    <w:rsid w:val="00C25E2A"/>
    <w:rsid w:val="00C25EC9"/>
    <w:rsid w:val="00C31BF7"/>
    <w:rsid w:val="00C33652"/>
    <w:rsid w:val="00C338D1"/>
    <w:rsid w:val="00C37AA0"/>
    <w:rsid w:val="00C40EB8"/>
    <w:rsid w:val="00C41782"/>
    <w:rsid w:val="00C41CF8"/>
    <w:rsid w:val="00C42A12"/>
    <w:rsid w:val="00C473CC"/>
    <w:rsid w:val="00C47E13"/>
    <w:rsid w:val="00C50832"/>
    <w:rsid w:val="00C50AC7"/>
    <w:rsid w:val="00C50EC1"/>
    <w:rsid w:val="00C50FB3"/>
    <w:rsid w:val="00C51B95"/>
    <w:rsid w:val="00C5523F"/>
    <w:rsid w:val="00C56E0E"/>
    <w:rsid w:val="00C614EC"/>
    <w:rsid w:val="00C619F2"/>
    <w:rsid w:val="00C63563"/>
    <w:rsid w:val="00C638F7"/>
    <w:rsid w:val="00C63D85"/>
    <w:rsid w:val="00C66547"/>
    <w:rsid w:val="00C66846"/>
    <w:rsid w:val="00C66996"/>
    <w:rsid w:val="00C70BEB"/>
    <w:rsid w:val="00C70E66"/>
    <w:rsid w:val="00C7347F"/>
    <w:rsid w:val="00C73FE5"/>
    <w:rsid w:val="00C76C54"/>
    <w:rsid w:val="00C82581"/>
    <w:rsid w:val="00C82EBF"/>
    <w:rsid w:val="00C831AA"/>
    <w:rsid w:val="00C92BFB"/>
    <w:rsid w:val="00C93D71"/>
    <w:rsid w:val="00C94B99"/>
    <w:rsid w:val="00C9562F"/>
    <w:rsid w:val="00C95928"/>
    <w:rsid w:val="00CA01D2"/>
    <w:rsid w:val="00CA03AC"/>
    <w:rsid w:val="00CA298D"/>
    <w:rsid w:val="00CA3E68"/>
    <w:rsid w:val="00CA6468"/>
    <w:rsid w:val="00CB1009"/>
    <w:rsid w:val="00CB1B2A"/>
    <w:rsid w:val="00CB2A06"/>
    <w:rsid w:val="00CB618A"/>
    <w:rsid w:val="00CB678C"/>
    <w:rsid w:val="00CB7856"/>
    <w:rsid w:val="00CC02B0"/>
    <w:rsid w:val="00CC151A"/>
    <w:rsid w:val="00CC2D08"/>
    <w:rsid w:val="00CC4978"/>
    <w:rsid w:val="00CC56C5"/>
    <w:rsid w:val="00CC6430"/>
    <w:rsid w:val="00CC6B43"/>
    <w:rsid w:val="00CD34B0"/>
    <w:rsid w:val="00CD3842"/>
    <w:rsid w:val="00CD57C7"/>
    <w:rsid w:val="00CD6A50"/>
    <w:rsid w:val="00CD6D59"/>
    <w:rsid w:val="00CD7323"/>
    <w:rsid w:val="00CE0A59"/>
    <w:rsid w:val="00CE1874"/>
    <w:rsid w:val="00CE3027"/>
    <w:rsid w:val="00CE467F"/>
    <w:rsid w:val="00CE5B4D"/>
    <w:rsid w:val="00CE7CB3"/>
    <w:rsid w:val="00CF14DD"/>
    <w:rsid w:val="00CF19D9"/>
    <w:rsid w:val="00CF520B"/>
    <w:rsid w:val="00CF5834"/>
    <w:rsid w:val="00D001A0"/>
    <w:rsid w:val="00D00A8E"/>
    <w:rsid w:val="00D023E0"/>
    <w:rsid w:val="00D02692"/>
    <w:rsid w:val="00D0417F"/>
    <w:rsid w:val="00D07A26"/>
    <w:rsid w:val="00D116C8"/>
    <w:rsid w:val="00D12423"/>
    <w:rsid w:val="00D14C85"/>
    <w:rsid w:val="00D1552F"/>
    <w:rsid w:val="00D2161D"/>
    <w:rsid w:val="00D21FE7"/>
    <w:rsid w:val="00D2267A"/>
    <w:rsid w:val="00D22903"/>
    <w:rsid w:val="00D25612"/>
    <w:rsid w:val="00D273D7"/>
    <w:rsid w:val="00D2796D"/>
    <w:rsid w:val="00D27FC5"/>
    <w:rsid w:val="00D31338"/>
    <w:rsid w:val="00D314DF"/>
    <w:rsid w:val="00D321DB"/>
    <w:rsid w:val="00D377BB"/>
    <w:rsid w:val="00D40756"/>
    <w:rsid w:val="00D40969"/>
    <w:rsid w:val="00D40D63"/>
    <w:rsid w:val="00D42974"/>
    <w:rsid w:val="00D43325"/>
    <w:rsid w:val="00D43996"/>
    <w:rsid w:val="00D468A0"/>
    <w:rsid w:val="00D52AFF"/>
    <w:rsid w:val="00D555BE"/>
    <w:rsid w:val="00D61A66"/>
    <w:rsid w:val="00D629C5"/>
    <w:rsid w:val="00D62B58"/>
    <w:rsid w:val="00D63BA5"/>
    <w:rsid w:val="00D65C28"/>
    <w:rsid w:val="00D65CD6"/>
    <w:rsid w:val="00D66FAE"/>
    <w:rsid w:val="00D701FD"/>
    <w:rsid w:val="00D70310"/>
    <w:rsid w:val="00D74BC2"/>
    <w:rsid w:val="00D762E8"/>
    <w:rsid w:val="00D76334"/>
    <w:rsid w:val="00D776C4"/>
    <w:rsid w:val="00D80124"/>
    <w:rsid w:val="00D80859"/>
    <w:rsid w:val="00D80C9E"/>
    <w:rsid w:val="00D816DC"/>
    <w:rsid w:val="00D8497E"/>
    <w:rsid w:val="00D85067"/>
    <w:rsid w:val="00D86D22"/>
    <w:rsid w:val="00D912C5"/>
    <w:rsid w:val="00D915A4"/>
    <w:rsid w:val="00D954F0"/>
    <w:rsid w:val="00D9580D"/>
    <w:rsid w:val="00D95D98"/>
    <w:rsid w:val="00D95E01"/>
    <w:rsid w:val="00D96F59"/>
    <w:rsid w:val="00DA023E"/>
    <w:rsid w:val="00DA0399"/>
    <w:rsid w:val="00DA1B91"/>
    <w:rsid w:val="00DA4AFA"/>
    <w:rsid w:val="00DA6783"/>
    <w:rsid w:val="00DA73AB"/>
    <w:rsid w:val="00DB0B8B"/>
    <w:rsid w:val="00DB156C"/>
    <w:rsid w:val="00DB2F69"/>
    <w:rsid w:val="00DB38B9"/>
    <w:rsid w:val="00DB431A"/>
    <w:rsid w:val="00DB5680"/>
    <w:rsid w:val="00DB7238"/>
    <w:rsid w:val="00DC0CE6"/>
    <w:rsid w:val="00DC2FB9"/>
    <w:rsid w:val="00DC478F"/>
    <w:rsid w:val="00DC4EEA"/>
    <w:rsid w:val="00DC5D6D"/>
    <w:rsid w:val="00DC6FFD"/>
    <w:rsid w:val="00DC78E1"/>
    <w:rsid w:val="00DD0B4C"/>
    <w:rsid w:val="00DD5C85"/>
    <w:rsid w:val="00DD6BC9"/>
    <w:rsid w:val="00DE2050"/>
    <w:rsid w:val="00DE342E"/>
    <w:rsid w:val="00DE55E6"/>
    <w:rsid w:val="00DF0003"/>
    <w:rsid w:val="00DF10D0"/>
    <w:rsid w:val="00DF1FB4"/>
    <w:rsid w:val="00DF4461"/>
    <w:rsid w:val="00DF6E0F"/>
    <w:rsid w:val="00DF6FE2"/>
    <w:rsid w:val="00E01469"/>
    <w:rsid w:val="00E051F8"/>
    <w:rsid w:val="00E06BE4"/>
    <w:rsid w:val="00E0734A"/>
    <w:rsid w:val="00E12403"/>
    <w:rsid w:val="00E136F8"/>
    <w:rsid w:val="00E14A30"/>
    <w:rsid w:val="00E15299"/>
    <w:rsid w:val="00E15FA2"/>
    <w:rsid w:val="00E214BB"/>
    <w:rsid w:val="00E22D8E"/>
    <w:rsid w:val="00E24144"/>
    <w:rsid w:val="00E264C7"/>
    <w:rsid w:val="00E26606"/>
    <w:rsid w:val="00E26E64"/>
    <w:rsid w:val="00E31F52"/>
    <w:rsid w:val="00E32580"/>
    <w:rsid w:val="00E340BA"/>
    <w:rsid w:val="00E3491C"/>
    <w:rsid w:val="00E34B9E"/>
    <w:rsid w:val="00E34F11"/>
    <w:rsid w:val="00E357C3"/>
    <w:rsid w:val="00E36020"/>
    <w:rsid w:val="00E374B4"/>
    <w:rsid w:val="00E375FA"/>
    <w:rsid w:val="00E427F2"/>
    <w:rsid w:val="00E46D8D"/>
    <w:rsid w:val="00E47C5A"/>
    <w:rsid w:val="00E5415E"/>
    <w:rsid w:val="00E545E7"/>
    <w:rsid w:val="00E54DF5"/>
    <w:rsid w:val="00E5576E"/>
    <w:rsid w:val="00E603E2"/>
    <w:rsid w:val="00E6392B"/>
    <w:rsid w:val="00E63FDD"/>
    <w:rsid w:val="00E64E7F"/>
    <w:rsid w:val="00E66220"/>
    <w:rsid w:val="00E67EDE"/>
    <w:rsid w:val="00E72224"/>
    <w:rsid w:val="00E722E6"/>
    <w:rsid w:val="00E738F4"/>
    <w:rsid w:val="00E76936"/>
    <w:rsid w:val="00E80844"/>
    <w:rsid w:val="00E80A55"/>
    <w:rsid w:val="00E8274D"/>
    <w:rsid w:val="00E83F6A"/>
    <w:rsid w:val="00E84637"/>
    <w:rsid w:val="00E85A49"/>
    <w:rsid w:val="00E87611"/>
    <w:rsid w:val="00E91720"/>
    <w:rsid w:val="00E91F05"/>
    <w:rsid w:val="00E93E9B"/>
    <w:rsid w:val="00E94DB5"/>
    <w:rsid w:val="00E958BC"/>
    <w:rsid w:val="00E96612"/>
    <w:rsid w:val="00E97C1F"/>
    <w:rsid w:val="00EA0554"/>
    <w:rsid w:val="00EA0D37"/>
    <w:rsid w:val="00EA6118"/>
    <w:rsid w:val="00EA64E0"/>
    <w:rsid w:val="00EB13C2"/>
    <w:rsid w:val="00EB3B5F"/>
    <w:rsid w:val="00EB4178"/>
    <w:rsid w:val="00EB42B3"/>
    <w:rsid w:val="00EB50EF"/>
    <w:rsid w:val="00EB58EA"/>
    <w:rsid w:val="00EB59E0"/>
    <w:rsid w:val="00EB6608"/>
    <w:rsid w:val="00EB75C9"/>
    <w:rsid w:val="00EB7CA3"/>
    <w:rsid w:val="00EB7CE5"/>
    <w:rsid w:val="00EB7D3E"/>
    <w:rsid w:val="00EC080E"/>
    <w:rsid w:val="00EC0DE8"/>
    <w:rsid w:val="00EC66ED"/>
    <w:rsid w:val="00ED11E7"/>
    <w:rsid w:val="00ED4650"/>
    <w:rsid w:val="00ED5660"/>
    <w:rsid w:val="00ED6FF4"/>
    <w:rsid w:val="00ED7A2A"/>
    <w:rsid w:val="00EE0BBD"/>
    <w:rsid w:val="00EE0BDE"/>
    <w:rsid w:val="00EE11ED"/>
    <w:rsid w:val="00EE15BC"/>
    <w:rsid w:val="00EE2171"/>
    <w:rsid w:val="00EE277D"/>
    <w:rsid w:val="00EE29B5"/>
    <w:rsid w:val="00EE2E28"/>
    <w:rsid w:val="00EE367B"/>
    <w:rsid w:val="00EE4FC7"/>
    <w:rsid w:val="00EE675C"/>
    <w:rsid w:val="00EE775B"/>
    <w:rsid w:val="00EF13C0"/>
    <w:rsid w:val="00EF228E"/>
    <w:rsid w:val="00EF6AEC"/>
    <w:rsid w:val="00F005E9"/>
    <w:rsid w:val="00F0060D"/>
    <w:rsid w:val="00F02597"/>
    <w:rsid w:val="00F02CC3"/>
    <w:rsid w:val="00F02CF8"/>
    <w:rsid w:val="00F037D3"/>
    <w:rsid w:val="00F06139"/>
    <w:rsid w:val="00F062E9"/>
    <w:rsid w:val="00F10C56"/>
    <w:rsid w:val="00F11008"/>
    <w:rsid w:val="00F137D1"/>
    <w:rsid w:val="00F13E28"/>
    <w:rsid w:val="00F15C87"/>
    <w:rsid w:val="00F17F92"/>
    <w:rsid w:val="00F20E3D"/>
    <w:rsid w:val="00F221D9"/>
    <w:rsid w:val="00F26395"/>
    <w:rsid w:val="00F274E7"/>
    <w:rsid w:val="00F2774B"/>
    <w:rsid w:val="00F311BB"/>
    <w:rsid w:val="00F32C56"/>
    <w:rsid w:val="00F33F12"/>
    <w:rsid w:val="00F35243"/>
    <w:rsid w:val="00F36183"/>
    <w:rsid w:val="00F36AFD"/>
    <w:rsid w:val="00F37CCC"/>
    <w:rsid w:val="00F42762"/>
    <w:rsid w:val="00F44276"/>
    <w:rsid w:val="00F463D4"/>
    <w:rsid w:val="00F502F1"/>
    <w:rsid w:val="00F506D0"/>
    <w:rsid w:val="00F50814"/>
    <w:rsid w:val="00F51AA3"/>
    <w:rsid w:val="00F51B80"/>
    <w:rsid w:val="00F51DFB"/>
    <w:rsid w:val="00F5420A"/>
    <w:rsid w:val="00F5687B"/>
    <w:rsid w:val="00F62351"/>
    <w:rsid w:val="00F64489"/>
    <w:rsid w:val="00F67741"/>
    <w:rsid w:val="00F7174F"/>
    <w:rsid w:val="00F7209E"/>
    <w:rsid w:val="00F721F1"/>
    <w:rsid w:val="00F72C0C"/>
    <w:rsid w:val="00F72E3B"/>
    <w:rsid w:val="00F72EA3"/>
    <w:rsid w:val="00F72F01"/>
    <w:rsid w:val="00F741AD"/>
    <w:rsid w:val="00F74F1F"/>
    <w:rsid w:val="00F752E7"/>
    <w:rsid w:val="00F76679"/>
    <w:rsid w:val="00F77408"/>
    <w:rsid w:val="00F77AC3"/>
    <w:rsid w:val="00F814F3"/>
    <w:rsid w:val="00F82344"/>
    <w:rsid w:val="00F833BB"/>
    <w:rsid w:val="00F83CB9"/>
    <w:rsid w:val="00F83E2A"/>
    <w:rsid w:val="00F84285"/>
    <w:rsid w:val="00F84931"/>
    <w:rsid w:val="00F84FB5"/>
    <w:rsid w:val="00F85822"/>
    <w:rsid w:val="00F85D24"/>
    <w:rsid w:val="00F85FF4"/>
    <w:rsid w:val="00F866C6"/>
    <w:rsid w:val="00F86C67"/>
    <w:rsid w:val="00F94931"/>
    <w:rsid w:val="00F9493A"/>
    <w:rsid w:val="00F95814"/>
    <w:rsid w:val="00F965BD"/>
    <w:rsid w:val="00F978A5"/>
    <w:rsid w:val="00F97C66"/>
    <w:rsid w:val="00FA0E82"/>
    <w:rsid w:val="00FA151F"/>
    <w:rsid w:val="00FA16F5"/>
    <w:rsid w:val="00FA602D"/>
    <w:rsid w:val="00FB01BB"/>
    <w:rsid w:val="00FB3852"/>
    <w:rsid w:val="00FB4AF0"/>
    <w:rsid w:val="00FB63F4"/>
    <w:rsid w:val="00FC2BAC"/>
    <w:rsid w:val="00FC566F"/>
    <w:rsid w:val="00FD23C5"/>
    <w:rsid w:val="00FD3A35"/>
    <w:rsid w:val="00FD523B"/>
    <w:rsid w:val="00FD643F"/>
    <w:rsid w:val="00FE1499"/>
    <w:rsid w:val="00FE2EB0"/>
    <w:rsid w:val="00FE4125"/>
    <w:rsid w:val="00FE4D79"/>
    <w:rsid w:val="00FE6D72"/>
    <w:rsid w:val="00FF2584"/>
    <w:rsid w:val="00FF4095"/>
    <w:rsid w:val="00FF465B"/>
    <w:rsid w:val="00FF5580"/>
    <w:rsid w:val="00FF55C1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2949A02"/>
  <w15:chartTrackingRefBased/>
  <w15:docId w15:val="{C2C069E8-A0C9-402F-BFBB-900EF64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22"/>
  </w:style>
  <w:style w:type="paragraph" w:styleId="Footer">
    <w:name w:val="footer"/>
    <w:basedOn w:val="Normal"/>
    <w:link w:val="FooterChar"/>
    <w:uiPriority w:val="99"/>
    <w:unhideWhenUsed/>
    <w:rsid w:val="00B3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22"/>
  </w:style>
  <w:style w:type="paragraph" w:styleId="ListParagraph">
    <w:name w:val="List Paragraph"/>
    <w:basedOn w:val="Normal"/>
    <w:uiPriority w:val="34"/>
    <w:qFormat/>
    <w:rsid w:val="00052882"/>
    <w:pPr>
      <w:ind w:left="720"/>
      <w:contextualSpacing/>
    </w:pPr>
  </w:style>
  <w:style w:type="character" w:styleId="Hyperlink">
    <w:name w:val="Hyperlink"/>
    <w:rsid w:val="00EB4178"/>
    <w:rPr>
      <w:rFonts w:ascii="Arial" w:hAnsi="Arial" w:cs="Arial" w:hint="default"/>
      <w:b/>
      <w:bCs/>
      <w:color w:val="3E658B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1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080E"/>
    <w:rPr>
      <w:color w:val="954F72" w:themeColor="followedHyperlink"/>
      <w:u w:val="single"/>
    </w:rPr>
  </w:style>
  <w:style w:type="character" w:customStyle="1" w:styleId="s6">
    <w:name w:val="s6"/>
    <w:basedOn w:val="DefaultParagraphFont"/>
    <w:rsid w:val="008555BC"/>
  </w:style>
  <w:style w:type="paragraph" w:styleId="NormalWeb">
    <w:name w:val="Normal (Web)"/>
    <w:basedOn w:val="Normal"/>
    <w:uiPriority w:val="99"/>
    <w:unhideWhenUsed/>
    <w:rsid w:val="00F85F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5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44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1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1E8B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FB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49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9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490C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C0D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67F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4096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2796D"/>
  </w:style>
  <w:style w:type="paragraph" w:customStyle="1" w:styleId="pf0">
    <w:name w:val="pf0"/>
    <w:basedOn w:val="Normal"/>
    <w:rsid w:val="0061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11">
    <w:name w:val="cf11"/>
    <w:basedOn w:val="DefaultParagraphFont"/>
    <w:rsid w:val="00611E2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data-explorer.oecd.org/vis?fs%5b0%5d=Topic%2C1%7CEconomy%23ECO%23%7CNational%20accounts%23ECO_NAD%23&amp;fs%5b1%5d=Topic%2C3%7CEconomy%23ECO%23%7CNational%20accounts%23ECO_NAD%23%7CGDP%20and%20non-financial%20accounts%23ECO_NAD_GNF%23%7CGDP%20and%20components%23ECO_NAD_GNF_GDP%23&amp;pg=0&amp;fc=Topic&amp;snb=22&amp;vw=tb&amp;df%5bds%5d=dsDisseminateFinalDMZ&amp;df%5bid%5d=DSD_NAMAIN1%40DF_QNA_EXPENDITURE_GROWTH_OECD&amp;df%5bag%5d=OECD.SDD.NAD&amp;df%5bvs%5d=&amp;dq=Q..AUS%2BAUT%2BBEL%2BCAN%2BCHE%2BCHL%2BCOL%2BCRI%2BCZE%2BDEU%2BDNK%2BESP%2BFIN%2BEST%2BFRA%2BGBR%2BGRC%2BHUN%2BISL%2BLTU%2BISR%2BITA%2BJPN%2BKOR%2BLUX%2BLVA%2BMEX%2BNLD%2BNOR%2BNZL%2BPOL%2BPRT%2BSVK%2BSVN%2BSWE%2BTUR%2BUSA%2BOECD%2BG20%2BG7%2BUSMCA%2BOECDE%2BEA20%2BEU27_2020..........&amp;lom=LASTNPERIODS&amp;lo=5&amp;to%5bTIME_PERIOD%5d=false&amp;ly%5bcl%5d=TIME_PERIOD&amp;ly%5brs%5d=COMBINED_TRANSACTION%2CCOMBINED_UNIT_MEASURE&amp;ly%5brw%5d=REF_AREA" TargetMode="External"/><Relationship Id="rId26" Type="http://schemas.openxmlformats.org/officeDocument/2006/relationships/hyperlink" Target="https://data-explorer.oecd.org/vis?df%5bds%5d=dsDisseminateFinalDMZ&amp;df%5bid%5d=DSD_NAMAIN1%40DF_QNA_EXPENDITURE_CONTRIB&amp;df%5bag%5d=OECD.SDD.NAD&amp;df%5bvs%5d=&amp;dq=Q............&amp;lom=LASTNPERIODS&amp;lo=5&amp;to%5bTIME_PERIOD%5d=false&amp;vw=tb&amp;ly%5bcl%5d=TIME_PERIOD&amp;ly%5brs%5d=REF_AREA%2CCOMBINED_UNIT_MEASURE&amp;ly%5brw%5d=COMBINED_TRANSACTION" TargetMode="External"/><Relationship Id="rId39" Type="http://schemas.openxmlformats.org/officeDocument/2006/relationships/hyperlink" Target="https://data-explorer.oecd.org/vis?df%5bds%5d=dsDisseminateFinalDMZ&amp;df%5bid%5d=DSD_NAMAIN1%40DF_QNA_EXPENDITURE_CONTRIB&amp;df%5bag%5d=OECD.SDD.NAD&amp;df%5bvs%5d=&amp;dq=Q............&amp;lom=LASTNPERIODS&amp;lo=5&amp;to%5bTIME_PERIOD%5d=false&amp;vw=tb&amp;ly%5bcl%5d=TIME_PERIOD&amp;ly%5brs%5d=REF_AREA%2CCOMBINED_UNIT_MEASURE&amp;ly%5brw%5d=COMBINED_TRANSACTION" TargetMode="External"/><Relationship Id="rId21" Type="http://schemas.openxmlformats.org/officeDocument/2006/relationships/hyperlink" Target="https://www.oecd.org/content/dam/oecd/en/data/methods/G20-Quarterly-GDP-Growth-Methodology.pdf" TargetMode="External"/><Relationship Id="rId34" Type="http://schemas.openxmlformats.org/officeDocument/2006/relationships/hyperlink" Target="https://www.oecd.org/content/dam/oecd/en/data/methods/G20-Quarterly-GDP-Growth-Methodology.pdf" TargetMode="External"/><Relationship Id="rId42" Type="http://schemas.openxmlformats.org/officeDocument/2006/relationships/hyperlink" Target="mailto:stat.contact@oecd.org" TargetMode="External"/><Relationship Id="rId47" Type="http://schemas.openxmlformats.org/officeDocument/2006/relationships/footer" Target="footer4.xm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stat.contact@oecd.org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data-explorer.oecd.org/vis?fs%5b0%5d=Topic%2C1%7CEconomy%23ECO%23%7CNational%20accounts%23ECO_NAD%23&amp;fs%5b1%5d=Topic%2C3%7CEconomy%23ECO%23%7CNational%20accounts%23ECO_NAD%23%7CGDP%20and%20non-financial%20accounts%23ECO_NAD_GNF%23%7CGDP%20and%20components%23ECO_NAD_GNF_GDP%23&amp;pg=0&amp;fc=Topic&amp;snb=22&amp;vw=tb&amp;df%5bds%5d=dsDisseminateFinalDMZ&amp;df%5bid%5d=DSD_NAMAIN1%40DF_QNA_EXPENDITURE_GROWTH_OECD&amp;df%5bag%5d=OECD.SDD.NAD&amp;df%5bvs%5d=&amp;dq=Q..AUS%2BAUT%2BBEL%2BCAN%2BCHE%2BCHL%2BCOL%2BCRI%2BCZE%2BDEU%2BDNK%2BESP%2BFIN%2BEST%2BFRA%2BGBR%2BGRC%2BHUN%2BISL%2BLTU%2BISR%2BITA%2BJPN%2BKOR%2BLUX%2BLVA%2BMEX%2BNLD%2BNOR%2BNZL%2BPOL%2BPRT%2BSVK%2BSVN%2BSWE%2BTUR%2BUSA%2BOECD%2BG20%2BG7%2BUSMCA%2BOECDE%2BEA20%2BEU27_2020..........&amp;lom=LASTNPERIODS&amp;lo=5&amp;to%5bTIME_PERIOD%5d=false&amp;ly%5bcl%5d=TIME_PERIOD&amp;ly%5brs%5d=COMBINED_TRANSACTION%2CCOMBINED_UNIT_MEASURE&amp;ly%5brw%5d=REF_AREA" TargetMode="External"/><Relationship Id="rId32" Type="http://schemas.openxmlformats.org/officeDocument/2006/relationships/hyperlink" Target="https://www.oecd.org/sdd/na/release-dates-oecd-news-releases-quarterly-national-accounts.htm" TargetMode="External"/><Relationship Id="rId37" Type="http://schemas.openxmlformats.org/officeDocument/2006/relationships/hyperlink" Target="https://data-explorer.oecd.org/vis?fs%5b0%5d=Topic%2C1%7CEconomy%23ECO%23%7CNational%20accounts%23ECO_NAD%23&amp;fs%5b1%5d=Topic%2C3%7CEconomy%23ECO%23%7CNational%20accounts%23ECO_NAD%23%7CGDP%20and%20non-financial%20accounts%23ECO_NAD_GNF%23%7CGDP%20and%20components%23ECO_NAD_GNF_GDP%23&amp;pg=0&amp;fc=Topic&amp;snb=22&amp;vw=tb&amp;df%5bds%5d=dsDisseminateFinalDMZ&amp;df%5bid%5d=DSD_NAMAIN1%40DF_QNA_EXPENDITURE_GROWTH_OECD&amp;df%5bag%5d=OECD.SDD.NAD&amp;df%5bvs%5d=&amp;dq=Q..AUS%2BAUT%2BBEL%2BCAN%2BCHE%2BCHL%2BCOL%2BCRI%2BCZE%2BDEU%2BDNK%2BESP%2BFIN%2BEST%2BFRA%2BGBR%2BGRC%2BHUN%2BISL%2BLTU%2BISR%2BITA%2BJPN%2BKOR%2BLUX%2BLVA%2BMEX%2BNLD%2BNOR%2BNZL%2BPOL%2BPRT%2BSVK%2BSVN%2BSWE%2BTUR%2BUSA%2BOECD%2BG20%2BG7%2BUSMCA%2BOECDE%2BEA20%2BEU27_2020..........&amp;lom=LASTNPERIODS&amp;lo=5&amp;to%5bTIME_PERIOD%5d=false&amp;ly%5bcl%5d=TIME_PERIOD&amp;ly%5brs%5d=COMBINED_TRANSACTION%2CCOMBINED_UNIT_MEASURE&amp;ly%5brw%5d=REF_AREA" TargetMode="External"/><Relationship Id="rId40" Type="http://schemas.openxmlformats.org/officeDocument/2006/relationships/hyperlink" Target="https://data-explorer.oecd.org/vis?df%5bds%5d=dsDisseminateFinalDMZ&amp;df%5bid%5d=DSD_NAMAIN1%40DF_QNA_EXPENDITURE_GROWTH_G20&amp;df%5bag%5d=OECD.SDD.NAD&amp;df%5bvs%5d=&amp;dq=Q..ARG%2BAUS%2BBRA%2BCAN%2BCHN%2BFRA%2BDEU%2BIND%2BIDN%2BITA%2BJPN%2BKOR%2BMEX%2BRUS%2BSAU%2BZAF%2BTUR%2BGBR%2BUSA%2BOECD%2BG20%2BG7%2BUSMCA%2BOECDE%2BEA20%2BEU27_2020..........&amp;lom=LASTNPERIODS&amp;lo=5&amp;to%5bTIME_PERIOD%5d=false&amp;vw=tb" TargetMode="External"/><Relationship Id="rId45" Type="http://schemas.openxmlformats.org/officeDocument/2006/relationships/hyperlink" Target="https://www.oecd.org/sdd/na/release-dates-oecd-news-releases-quarterly-national-accounts.ht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oecd.org/en/blogs/2024/09/decoding-gdp-how-to-measure-pastries-pencils-and-pyjamas.html" TargetMode="External"/><Relationship Id="rId28" Type="http://schemas.openxmlformats.org/officeDocument/2006/relationships/hyperlink" Target="mailto:news.contact@oecd.org" TargetMode="External"/><Relationship Id="rId36" Type="http://schemas.openxmlformats.org/officeDocument/2006/relationships/hyperlink" Target="https://www.oecd.org/en/blogs/2024/09/decoding-gdp-how-to-measure-pastries-pencils-and-pyjamas.html" TargetMode="External"/><Relationship Id="rId49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hyperlink" Target="https://data-explorer.oecd.org/vis?fs%5b0%5d=Topic%2C1%7CEconomy%23ECO%23%7CNational%20accounts%23ECO_NAD%23&amp;fs%5b1%5d=Topic%2C3%7CEconomy%23ECO%23%7CNational%20accounts%23ECO_NAD%23%7CGDP%20and%20non-financial%20accounts%23ECO_NAD_GNF%23%7CGDP%20and%20components%23ECO_NAD_GNF_GDP%23&amp;pg=0&amp;fc=Topic&amp;snb=22&amp;vw=tb&amp;df%5bds%5d=dsDisseminateFinalDMZ&amp;df%5bid%5d=DSD_NAMAIN1%40DF_QNA_EXPENDITURE_GROWTH_OECD&amp;df%5bag%5d=OECD.SDD.NAD&amp;df%5bvs%5d=&amp;dq=Q..AUS%2BAUT%2BBEL%2BCAN%2BCHE%2BCHL%2BCOL%2BCRI%2BCZE%2BDEU%2BDNK%2BESP%2BFIN%2BEST%2BFRA%2BGBR%2BGRC%2BHUN%2BISL%2BLTU%2BISR%2BITA%2BJPN%2BKOR%2BLUX%2BLVA%2BMEX%2BNLD%2BNOR%2BNZL%2BPOL%2BPRT%2BSVK%2BSVN%2BSWE%2BTUR%2BUSA%2BOECD%2BG20%2BG7%2BUSMCA%2BOECDE%2BEA20%2BEU27_2020..........&amp;lom=LASTNPERIODS&amp;lo=5&amp;to%5bTIME_PERIOD%5d=false&amp;ly%5bcl%5d=TIME_PERIOD&amp;ly%5brs%5d=COMBINED_TRANSACTION%2CCOMBINED_UNIT_MEASURE&amp;ly%5brw%5d=REF_AREA" TargetMode="External"/><Relationship Id="rId31" Type="http://schemas.openxmlformats.org/officeDocument/2006/relationships/hyperlink" Target="https://www.oecd.org/sdd/na/release-dates-oecd-news-releases-quarterly-national-accounts.htm" TargetMode="External"/><Relationship Id="rId44" Type="http://schemas.openxmlformats.org/officeDocument/2006/relationships/hyperlink" Target="https://www.oecd.org/sdd/na/release-dates-oecd-news-releases-quarterly-national-accounts.ht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oecdstatistics.blog/2025/05/21/understanding-the-impact-of-changing-tariffs-on-gdp/" TargetMode="External"/><Relationship Id="rId27" Type="http://schemas.openxmlformats.org/officeDocument/2006/relationships/hyperlink" Target="https://data-explorer.oecd.org/vis?df%5bds%5d=dsDisseminateFinalDMZ&amp;df%5bid%5d=DSD_NAMAIN1%40DF_QNA_EXPENDITURE_GROWTH_G20&amp;df%5bag%5d=OECD.SDD.NAD&amp;df%5bvs%5d=&amp;dq=Q..ARG%2BAUS%2BBRA%2BCAN%2BCHN%2BFRA%2BDEU%2BIND%2BIDN%2BITA%2BJPN%2BKOR%2BMEX%2BRUS%2BSAU%2BZAF%2BTUR%2BGBR%2BUSA%2BOECD%2BG20%2BG7%2BUSMCA%2BOECDE%2BEA20%2BEU27_2020..........&amp;lom=LASTNPERIODS&amp;lo=5&amp;to%5bTIME_PERIOD%5d=false&amp;vw=tb" TargetMode="External"/><Relationship Id="rId30" Type="http://schemas.openxmlformats.org/officeDocument/2006/relationships/hyperlink" Target="https://www.oecd.org/sdd/na/release-dates-oecd-news-releases-quarterly-national-accounts.htm" TargetMode="External"/><Relationship Id="rId35" Type="http://schemas.openxmlformats.org/officeDocument/2006/relationships/hyperlink" Target="https://oecdstatistics.blog/2025/05/21/understanding-the-impact-of-changing-tariffs-on-gdp/" TargetMode="External"/><Relationship Id="rId43" Type="http://schemas.openxmlformats.org/officeDocument/2006/relationships/hyperlink" Target="https://www.oecd.org/sdd/na/release-dates-oecd-news-releases-quarterly-national-accounts.htm" TargetMode="External"/><Relationship Id="rId48" Type="http://schemas.openxmlformats.org/officeDocument/2006/relationships/footer" Target="footer5.xml"/><Relationship Id="rId8" Type="http://schemas.openxmlformats.org/officeDocument/2006/relationships/styles" Target="styl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chart" Target="charts/chart1.xml"/><Relationship Id="rId25" Type="http://schemas.openxmlformats.org/officeDocument/2006/relationships/hyperlink" Target="https://data-explorer.oecd.org/vis?fs%5b0%5d=Topic%2C1%7CEconomy%23ECO%23%7CNational%20accounts%23ECO_NAD%23&amp;fs%5b1%5d=Topic%2C3%7CEconomy%23ECO%23%7CNational%20accounts%23ECO_NAD%23%7CGDP%20and%20non-financial%20accounts%23ECO_NAD_GNF%23%7CGDP%20and%20components%23ECO_NAD_GNF_GDP%23&amp;pg=0&amp;fc=Topic&amp;snb=22&amp;vw=tb&amp;df%5bds%5d=dsDisseminateFinalDMZ&amp;df%5bid%5d=DSD_NAMAIN1%40DF_QNA_EXPENDITURE_GROWTH_OECD&amp;df%5bag%5d=OECD.SDD.NAD&amp;df%5bvs%5d=&amp;dq=A..AUS%2BAUT%2BBEL%2BCAN%2BCHE%2BCHL%2BCOL%2BCRI%2BCZE%2BDEU%2BDNK%2BESP%2BFIN%2BEST%2BFRA%2BGBR%2BGRC%2BHUN%2BISL%2BLTU%2BISR%2BITA%2BJPN%2BKOR%2BLUX%2BLVA%2BMEX%2BNLD%2BNOR%2BNZL%2BPOL%2BPRT%2BSVK%2BSVN%2BSWE%2BTUR%2BUSA%2BOECD%2BG20%2BG7%2BUSMCA%2BOECDE%2BEA20%2BEU27_2020..........&amp;lom=LASTNPERIODS&amp;lo=5&amp;to%5bTIME_PERIOD%5d=false" TargetMode="External"/><Relationship Id="rId33" Type="http://schemas.openxmlformats.org/officeDocument/2006/relationships/hyperlink" Target="https://www.oecd.org/content/dam/oecd/en/data/methods/OECD-Quarterly-GDP-Growth-Methodology.pdf" TargetMode="External"/><Relationship Id="rId38" Type="http://schemas.openxmlformats.org/officeDocument/2006/relationships/hyperlink" Target="https://data-explorer.oecd.org/vis?fs%5b0%5d=Topic%2C1%7CEconomy%23ECO%23%7CNational%20accounts%23ECO_NAD%23&amp;fs%5b1%5d=Topic%2C3%7CEconomy%23ECO%23%7CNational%20accounts%23ECO_NAD%23%7CGDP%20and%20non-financial%20accounts%23ECO_NAD_GNF%23%7CGDP%20and%20components%23ECO_NAD_GNF_GDP%23&amp;pg=0&amp;fc=Topic&amp;snb=22&amp;vw=tb&amp;df%5bds%5d=dsDisseminateFinalDMZ&amp;df%5bid%5d=DSD_NAMAIN1%40DF_QNA_EXPENDITURE_GROWTH_OECD&amp;df%5bag%5d=OECD.SDD.NAD&amp;df%5bvs%5d=&amp;dq=A..AUS%2BAUT%2BBEL%2BCAN%2BCHE%2BCHL%2BCOL%2BCRI%2BCZE%2BDEU%2BDNK%2BESP%2BFIN%2BEST%2BFRA%2BGBR%2BGRC%2BHUN%2BISL%2BLTU%2BISR%2BITA%2BJPN%2BKOR%2BLUX%2BLVA%2BMEX%2BNLD%2BNOR%2BNZL%2BPOL%2BPRT%2BSVK%2BSVN%2BSWE%2BTUR%2BUSA%2BOECD%2BG20%2BG7%2BUSMCA%2BOECDE%2BEA20%2BEU27_2020..........&amp;lom=LASTNPERIODS&amp;lo=5&amp;to%5bTIME_PERIOD%5d=false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oecd.org/content/dam/oecd/en/data/methods/OECD-Quarterly-GDP-Growth-Methodology.pdf" TargetMode="External"/><Relationship Id="rId41" Type="http://schemas.openxmlformats.org/officeDocument/2006/relationships/hyperlink" Target="mailto:news.contact@oecd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ecdstatistics.blog/2025/05/21/understanding-the-impact-of-changing-tariffs-on-gd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main.oecd.org\sdataSDD\Applic\QNA\A.Press_OTO\OECD_GDP_PR.xlsm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ivotFmts>
      <c:pivotFmt>
        <c:idx val="0"/>
        <c:spPr>
          <a:solidFill>
            <a:schemeClr val="accent1"/>
          </a:solidFill>
          <a:ln w="9525">
            <a:solidFill>
              <a:schemeClr val="tx1"/>
            </a:solidFill>
          </a:ln>
        </c:spPr>
        <c:marker>
          <c:symbol val="none"/>
        </c:marker>
      </c:pivotFmt>
      <c:pivotFmt>
        <c:idx val="1"/>
        <c:spPr>
          <a:solidFill>
            <a:schemeClr val="accent1"/>
          </a:solidFill>
          <a:ln w="9525">
            <a:solidFill>
              <a:schemeClr val="tx1"/>
            </a:solidFill>
          </a:ln>
        </c:spPr>
      </c:pivotFmt>
      <c:pivotFmt>
        <c:idx val="2"/>
        <c:spPr>
          <a:solidFill>
            <a:schemeClr val="bg1">
              <a:lumMod val="75000"/>
            </a:schemeClr>
          </a:solidFill>
          <a:ln w="9525">
            <a:solidFill>
              <a:schemeClr val="tx1"/>
            </a:solidFill>
          </a:ln>
        </c:spPr>
      </c:pivotFmt>
      <c:pivotFmt>
        <c:idx val="3"/>
        <c:spPr>
          <a:solidFill>
            <a:schemeClr val="tx1"/>
          </a:solidFill>
          <a:ln w="9525">
            <a:solidFill>
              <a:schemeClr val="tx1"/>
            </a:solidFill>
          </a:ln>
        </c:spPr>
      </c:pivotFmt>
      <c:pivotFmt>
        <c:idx val="4"/>
        <c:spPr>
          <a:ln w="6350" cmpd="sng">
            <a:noFill/>
          </a:ln>
        </c:spPr>
        <c:marker>
          <c:symbol val="diamond"/>
          <c:size val="7"/>
          <c:spPr>
            <a:solidFill>
              <a:schemeClr val="bg1"/>
            </a:solidFill>
            <a:ln w="9525">
              <a:solidFill>
                <a:schemeClr val="tx1"/>
              </a:solidFill>
            </a:ln>
          </c:spPr>
        </c:marker>
      </c:pivotFmt>
      <c:pivotFmt>
        <c:idx val="5"/>
        <c:spPr>
          <a:ln w="6350" cmpd="sng">
            <a:noFill/>
          </a:ln>
        </c:spPr>
        <c:marker>
          <c:symbol val="diamond"/>
          <c:size val="7"/>
          <c:spPr>
            <a:solidFill>
              <a:schemeClr val="bg1"/>
            </a:solidFill>
            <a:ln w="9525">
              <a:solidFill>
                <a:schemeClr val="tx1"/>
              </a:solidFill>
            </a:ln>
          </c:spPr>
        </c:marker>
      </c:pivotFmt>
      <c:pivotFmt>
        <c:idx val="6"/>
        <c:spPr>
          <a:ln w="6350" cmpd="sng">
            <a:noFill/>
          </a:ln>
        </c:spPr>
        <c:marker>
          <c:symbol val="diamond"/>
          <c:size val="7"/>
          <c:spPr>
            <a:solidFill>
              <a:schemeClr val="bg1"/>
            </a:solidFill>
            <a:ln w="9525">
              <a:solidFill>
                <a:schemeClr val="tx1"/>
              </a:solidFill>
            </a:ln>
          </c:spPr>
        </c:marker>
      </c:pivotFmt>
      <c:pivotFmt>
        <c:idx val="7"/>
        <c:spPr>
          <a:solidFill>
            <a:schemeClr val="accent1"/>
          </a:solidFill>
          <a:ln w="9525">
            <a:solidFill>
              <a:schemeClr val="tx1"/>
            </a:solidFill>
          </a:ln>
        </c:spPr>
        <c:marker>
          <c:symbol val="none"/>
        </c:marker>
      </c:pivotFmt>
      <c:pivotFmt>
        <c:idx val="8"/>
        <c:spPr>
          <a:solidFill>
            <a:schemeClr val="accent1"/>
          </a:solidFill>
          <a:ln w="9525">
            <a:solidFill>
              <a:schemeClr val="tx1"/>
            </a:solidFill>
          </a:ln>
        </c:spPr>
      </c:pivotFmt>
      <c:pivotFmt>
        <c:idx val="9"/>
        <c:spPr>
          <a:solidFill>
            <a:schemeClr val="bg1">
              <a:lumMod val="75000"/>
            </a:schemeClr>
          </a:solidFill>
          <a:ln w="9525">
            <a:solidFill>
              <a:schemeClr val="tx1"/>
            </a:solidFill>
          </a:ln>
        </c:spPr>
      </c:pivotFmt>
      <c:pivotFmt>
        <c:idx val="10"/>
        <c:spPr>
          <a:solidFill>
            <a:schemeClr val="tx1"/>
          </a:solidFill>
          <a:ln w="9525">
            <a:solidFill>
              <a:schemeClr val="tx1"/>
            </a:solidFill>
          </a:ln>
        </c:spPr>
      </c:pivotFmt>
      <c:pivotFmt>
        <c:idx val="11"/>
        <c:spPr>
          <a:ln w="6350" cmpd="sng">
            <a:noFill/>
          </a:ln>
        </c:spPr>
        <c:marker>
          <c:symbol val="diamond"/>
          <c:size val="7"/>
          <c:spPr>
            <a:solidFill>
              <a:schemeClr val="bg1"/>
            </a:solidFill>
            <a:ln w="9525">
              <a:solidFill>
                <a:schemeClr val="tx1"/>
              </a:solidFill>
            </a:ln>
          </c:spPr>
        </c:marker>
      </c:pivotFmt>
      <c:pivotFmt>
        <c:idx val="12"/>
        <c:spPr>
          <a:ln w="6350" cmpd="sng">
            <a:noFill/>
          </a:ln>
        </c:spPr>
      </c:pivotFmt>
      <c:pivotFmt>
        <c:idx val="13"/>
        <c:spPr>
          <a:ln w="6350" cmpd="sng">
            <a:noFill/>
          </a:ln>
        </c:spPr>
      </c:pivotFmt>
      <c:pivotFmt>
        <c:idx val="14"/>
        <c:spPr>
          <a:solidFill>
            <a:schemeClr val="accent1"/>
          </a:solidFill>
          <a:ln w="9525">
            <a:solidFill>
              <a:schemeClr val="tx1"/>
            </a:solidFill>
          </a:ln>
        </c:spPr>
        <c:marker>
          <c:symbol val="none"/>
        </c:marker>
      </c:pivotFmt>
      <c:pivotFmt>
        <c:idx val="15"/>
        <c:spPr>
          <a:solidFill>
            <a:srgbClr val="4F81BD"/>
          </a:solidFill>
          <a:ln w="9525">
            <a:solidFill>
              <a:schemeClr val="tx1"/>
            </a:solidFill>
          </a:ln>
        </c:spPr>
      </c:pivotFmt>
      <c:pivotFmt>
        <c:idx val="16"/>
        <c:spPr>
          <a:ln w="6350" cmpd="sng">
            <a:noFill/>
          </a:ln>
        </c:spPr>
        <c:marker>
          <c:symbol val="diamond"/>
          <c:size val="7"/>
          <c:spPr>
            <a:solidFill>
              <a:schemeClr val="bg1"/>
            </a:solidFill>
            <a:ln w="9525">
              <a:solidFill>
                <a:schemeClr val="tx1"/>
              </a:solidFill>
            </a:ln>
          </c:spPr>
        </c:marker>
      </c:pivotFmt>
      <c:pivotFmt>
        <c:idx val="17"/>
        <c:spPr>
          <a:solidFill>
            <a:sysClr val="windowText" lastClr="000000"/>
          </a:solidFill>
          <a:ln w="9525">
            <a:solidFill>
              <a:schemeClr val="tx1"/>
            </a:solidFill>
          </a:ln>
        </c:spPr>
      </c:pivotFmt>
      <c:pivotFmt>
        <c:idx val="18"/>
        <c:spPr>
          <a:noFill/>
          <a:ln w="9525">
            <a:solidFill>
              <a:schemeClr val="tx1"/>
            </a:solidFill>
          </a:ln>
        </c:spPr>
      </c:pivotFmt>
      <c:pivotFmt>
        <c:idx val="19"/>
        <c:spPr>
          <a:solidFill>
            <a:schemeClr val="accent1"/>
          </a:solidFill>
          <a:ln w="9525">
            <a:solidFill>
              <a:schemeClr val="tx1"/>
            </a:solidFill>
          </a:ln>
        </c:spPr>
        <c:marker>
          <c:symbol val="none"/>
        </c:marker>
      </c:pivotFmt>
      <c:pivotFmt>
        <c:idx val="20"/>
        <c:spPr>
          <a:noFill/>
          <a:ln w="9525">
            <a:solidFill>
              <a:schemeClr val="tx1"/>
            </a:solidFill>
          </a:ln>
        </c:spPr>
      </c:pivotFmt>
      <c:pivotFmt>
        <c:idx val="21"/>
        <c:spPr>
          <a:solidFill>
            <a:sysClr val="windowText" lastClr="000000"/>
          </a:solidFill>
          <a:ln w="9525">
            <a:solidFill>
              <a:schemeClr val="tx1"/>
            </a:solidFill>
          </a:ln>
        </c:spPr>
      </c:pivotFmt>
      <c:pivotFmt>
        <c:idx val="22"/>
        <c:spPr>
          <a:solidFill>
            <a:srgbClr val="4F81BD"/>
          </a:solidFill>
          <a:ln w="9525">
            <a:solidFill>
              <a:schemeClr val="tx1"/>
            </a:solidFill>
          </a:ln>
        </c:spPr>
      </c:pivotFmt>
      <c:pivotFmt>
        <c:idx val="23"/>
        <c:spPr>
          <a:ln w="6350" cmpd="sng">
            <a:noFill/>
          </a:ln>
        </c:spPr>
        <c:marker>
          <c:symbol val="diamond"/>
          <c:size val="7"/>
          <c:spPr>
            <a:solidFill>
              <a:schemeClr val="bg1"/>
            </a:solidFill>
            <a:ln w="9525">
              <a:solidFill>
                <a:schemeClr val="tx1"/>
              </a:solidFill>
            </a:ln>
          </c:spPr>
        </c:marker>
      </c:pivotFmt>
      <c:pivotFmt>
        <c:idx val="24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25"/>
        <c:spPr>
          <a:solidFill>
            <a:srgbClr val="0297C9"/>
          </a:solidFill>
          <a:ln w="9525">
            <a:noFill/>
          </a:ln>
        </c:spPr>
      </c:pivotFmt>
      <c:pivotFmt>
        <c:idx val="26"/>
        <c:spPr>
          <a:solidFill>
            <a:srgbClr val="E73741"/>
          </a:solidFill>
          <a:ln w="9525">
            <a:noFill/>
          </a:ln>
        </c:spPr>
      </c:pivotFmt>
      <c:pivotFmt>
        <c:idx val="27"/>
      </c:pivotFmt>
      <c:pivotFmt>
        <c:idx val="28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29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30"/>
        <c:spPr>
          <a:solidFill>
            <a:srgbClr val="0297C9"/>
          </a:solidFill>
          <a:ln w="9525">
            <a:noFill/>
          </a:ln>
        </c:spPr>
      </c:pivotFmt>
      <c:pivotFmt>
        <c:idx val="31"/>
        <c:spPr>
          <a:solidFill>
            <a:srgbClr val="E73741"/>
          </a:solidFill>
          <a:ln w="9525">
            <a:noFill/>
          </a:ln>
        </c:spPr>
      </c:pivotFmt>
      <c:pivotFmt>
        <c:idx val="32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33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34"/>
        <c:spPr>
          <a:solidFill>
            <a:srgbClr val="0297C9"/>
          </a:solidFill>
          <a:ln w="9525">
            <a:noFill/>
          </a:ln>
        </c:spPr>
      </c:pivotFmt>
      <c:pivotFmt>
        <c:idx val="35"/>
        <c:spPr>
          <a:solidFill>
            <a:srgbClr val="E73741"/>
          </a:solidFill>
          <a:ln w="9525">
            <a:noFill/>
          </a:ln>
        </c:spPr>
      </c:pivotFmt>
      <c:pivotFmt>
        <c:idx val="36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37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38"/>
      </c:pivotFmt>
      <c:pivotFmt>
        <c:idx val="39"/>
      </c:pivotFmt>
      <c:pivotFmt>
        <c:idx val="40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41"/>
        <c:spPr>
          <a:solidFill>
            <a:srgbClr val="E73741"/>
          </a:solidFill>
          <a:ln w="9525">
            <a:noFill/>
          </a:ln>
        </c:spPr>
      </c:pivotFmt>
      <c:pivotFmt>
        <c:idx val="42"/>
        <c:spPr>
          <a:solidFill>
            <a:srgbClr val="0297C9"/>
          </a:solidFill>
          <a:ln w="9525">
            <a:noFill/>
          </a:ln>
        </c:spPr>
      </c:pivotFmt>
      <c:pivotFmt>
        <c:idx val="43"/>
      </c:pivotFmt>
      <c:pivotFmt>
        <c:idx val="44"/>
        <c:spPr>
          <a:solidFill>
            <a:srgbClr val="FF0000"/>
          </a:solidFill>
          <a:ln w="9525">
            <a:noFill/>
          </a:ln>
        </c:spPr>
      </c:pivotFmt>
      <c:pivotFmt>
        <c:idx val="45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46"/>
      </c:pivotFmt>
      <c:pivotFmt>
        <c:idx val="47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48"/>
        <c:spPr>
          <a:solidFill>
            <a:srgbClr val="E73741"/>
          </a:solidFill>
          <a:ln w="9525">
            <a:noFill/>
          </a:ln>
        </c:spPr>
      </c:pivotFmt>
      <c:pivotFmt>
        <c:idx val="49"/>
        <c:spPr>
          <a:solidFill>
            <a:srgbClr val="0297C9"/>
          </a:solidFill>
          <a:ln w="9525">
            <a:noFill/>
          </a:ln>
        </c:spPr>
      </c:pivotFmt>
      <c:pivotFmt>
        <c:idx val="50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51"/>
        <c:spPr>
          <a:solidFill>
            <a:srgbClr val="0297C9"/>
          </a:solidFill>
          <a:ln w="9525">
            <a:noFill/>
          </a:ln>
        </c:spPr>
      </c:pivotFmt>
      <c:pivotFmt>
        <c:idx val="52"/>
        <c:spPr>
          <a:solidFill>
            <a:srgbClr val="E73741"/>
          </a:solidFill>
          <a:ln w="9525">
            <a:noFill/>
          </a:ln>
        </c:spPr>
      </c:pivotFmt>
      <c:pivotFmt>
        <c:idx val="53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54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55"/>
        <c:spPr>
          <a:solidFill>
            <a:srgbClr val="0297C9"/>
          </a:solidFill>
          <a:ln w="9525">
            <a:noFill/>
          </a:ln>
        </c:spPr>
      </c:pivotFmt>
      <c:pivotFmt>
        <c:idx val="56"/>
        <c:spPr>
          <a:solidFill>
            <a:srgbClr val="E73741"/>
          </a:solidFill>
          <a:ln w="9525">
            <a:noFill/>
          </a:ln>
        </c:spPr>
      </c:pivotFmt>
      <c:pivotFmt>
        <c:idx val="57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58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59"/>
        <c:spPr>
          <a:solidFill>
            <a:srgbClr val="0297C9"/>
          </a:solidFill>
          <a:ln w="9525">
            <a:noFill/>
          </a:ln>
        </c:spPr>
      </c:pivotFmt>
      <c:pivotFmt>
        <c:idx val="60"/>
        <c:spPr>
          <a:solidFill>
            <a:srgbClr val="E73741"/>
          </a:solidFill>
          <a:ln w="9525">
            <a:noFill/>
          </a:ln>
        </c:spPr>
      </c:pivotFmt>
      <c:pivotFmt>
        <c:idx val="61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62"/>
      </c:pivotFmt>
      <c:pivotFmt>
        <c:idx val="63"/>
        <c:spPr>
          <a:solidFill>
            <a:srgbClr val="E73741"/>
          </a:solidFill>
          <a:ln w="9525">
            <a:noFill/>
          </a:ln>
        </c:spPr>
      </c:pivotFmt>
      <c:pivotFmt>
        <c:idx val="64"/>
        <c:spPr>
          <a:solidFill>
            <a:srgbClr val="993484"/>
          </a:solidFill>
          <a:ln w="9525">
            <a:noFill/>
          </a:ln>
        </c:spPr>
      </c:pivotFmt>
      <c:pivotFmt>
        <c:idx val="65"/>
        <c:spPr>
          <a:solidFill>
            <a:srgbClr val="058FD9"/>
          </a:solidFill>
          <a:ln w="9525">
            <a:noFill/>
          </a:ln>
        </c:spPr>
      </c:pivotFmt>
      <c:pivotFmt>
        <c:idx val="66"/>
        <c:spPr>
          <a:solidFill>
            <a:srgbClr val="993484"/>
          </a:solidFill>
          <a:ln w="9525">
            <a:noFill/>
          </a:ln>
        </c:spPr>
      </c:pivotFmt>
      <c:pivotFmt>
        <c:idx val="67"/>
        <c:spPr>
          <a:solidFill>
            <a:srgbClr val="DF521E"/>
          </a:solidFill>
          <a:ln w="9525">
            <a:noFill/>
          </a:ln>
        </c:spPr>
      </c:pivotFmt>
      <c:pivotFmt>
        <c:idx val="68"/>
        <c:spPr>
          <a:solidFill>
            <a:srgbClr val="719E24"/>
          </a:solidFill>
          <a:ln w="9525">
            <a:noFill/>
          </a:ln>
        </c:spPr>
      </c:pivotFmt>
      <c:pivotFmt>
        <c:idx val="69"/>
        <c:spPr>
          <a:solidFill>
            <a:srgbClr val="E1B400"/>
          </a:solidFill>
          <a:ln w="9525">
            <a:noFill/>
          </a:ln>
        </c:spPr>
      </c:pivotFmt>
      <c:pivotFmt>
        <c:idx val="70"/>
        <c:spPr>
          <a:solidFill>
            <a:srgbClr val="32A674"/>
          </a:solidFill>
          <a:ln w="9525">
            <a:noFill/>
          </a:ln>
        </c:spPr>
      </c:pivotFmt>
      <c:pivotFmt>
        <c:idx val="71"/>
        <c:spPr>
          <a:solidFill>
            <a:srgbClr val="0B68AF"/>
          </a:solidFill>
          <a:ln w="9525">
            <a:noFill/>
          </a:ln>
        </c:spPr>
      </c:pivotFmt>
      <c:pivotFmt>
        <c:idx val="72"/>
        <c:spPr>
          <a:solidFill>
            <a:srgbClr val="058FD9"/>
          </a:solidFill>
          <a:ln w="9525">
            <a:noFill/>
          </a:ln>
        </c:spPr>
      </c:pivotFmt>
      <c:pivotFmt>
        <c:idx val="73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74"/>
        <c:spPr>
          <a:solidFill>
            <a:srgbClr val="E73741"/>
          </a:solidFill>
          <a:ln w="9525">
            <a:noFill/>
          </a:ln>
        </c:spPr>
      </c:pivotFmt>
      <c:pivotFmt>
        <c:idx val="75"/>
        <c:spPr>
          <a:ln w="6350" cmpd="sng">
            <a:noFill/>
          </a:ln>
        </c:spPr>
        <c:marker>
          <c:symbol val="diamond"/>
          <c:size val="5"/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76"/>
        <c:spPr>
          <a:solidFill>
            <a:srgbClr val="993484"/>
          </a:solidFill>
          <a:ln w="9525">
            <a:solidFill>
              <a:srgbClr val="993484"/>
            </a:solidFill>
          </a:ln>
        </c:spPr>
      </c:pivotFmt>
      <c:pivotFmt>
        <c:idx val="77"/>
        <c:spPr>
          <a:solidFill>
            <a:srgbClr val="E73741"/>
          </a:solidFill>
          <a:ln w="9525">
            <a:noFill/>
          </a:ln>
        </c:spPr>
      </c:pivotFmt>
      <c:pivotFmt>
        <c:idx val="78"/>
        <c:spPr>
          <a:solidFill>
            <a:srgbClr val="058FD9"/>
          </a:solidFill>
          <a:ln w="9525">
            <a:noFill/>
          </a:ln>
        </c:spPr>
      </c:pivotFmt>
      <c:pivotFmt>
        <c:idx val="79"/>
        <c:spPr>
          <a:solidFill>
            <a:srgbClr val="993484"/>
          </a:solidFill>
          <a:ln w="9525">
            <a:noFill/>
          </a:ln>
        </c:spPr>
      </c:pivotFmt>
      <c:pivotFmt>
        <c:idx val="80"/>
        <c:spPr>
          <a:solidFill>
            <a:srgbClr val="DF521E"/>
          </a:solidFill>
          <a:ln w="9525">
            <a:noFill/>
          </a:ln>
        </c:spPr>
      </c:pivotFmt>
      <c:pivotFmt>
        <c:idx val="81"/>
        <c:spPr>
          <a:solidFill>
            <a:srgbClr val="719E24"/>
          </a:solidFill>
          <a:ln w="9525">
            <a:noFill/>
          </a:ln>
        </c:spPr>
      </c:pivotFmt>
      <c:pivotFmt>
        <c:idx val="82"/>
        <c:spPr>
          <a:solidFill>
            <a:srgbClr val="E1B400"/>
          </a:solidFill>
          <a:ln w="9525">
            <a:noFill/>
          </a:ln>
        </c:spPr>
      </c:pivotFmt>
      <c:pivotFmt>
        <c:idx val="83"/>
        <c:spPr>
          <a:solidFill>
            <a:srgbClr val="32A674"/>
          </a:solidFill>
          <a:ln w="9525">
            <a:noFill/>
          </a:ln>
        </c:spPr>
      </c:pivotFmt>
      <c:pivotFmt>
        <c:idx val="84"/>
        <c:spPr>
          <a:solidFill>
            <a:srgbClr val="0B68AF"/>
          </a:solidFill>
          <a:ln w="9525">
            <a:noFill/>
          </a:ln>
        </c:spPr>
      </c:pivotFmt>
      <c:pivotFmt>
        <c:idx val="85"/>
        <c:spPr>
          <a:solidFill>
            <a:srgbClr val="058FD9"/>
          </a:solidFill>
          <a:ln w="9525">
            <a:noFill/>
          </a:ln>
        </c:spPr>
      </c:pivotFmt>
      <c:pivotFmt>
        <c:idx val="86"/>
        <c:spPr>
          <a:solidFill>
            <a:srgbClr val="993484"/>
          </a:solidFill>
          <a:ln w="9525">
            <a:solidFill>
              <a:srgbClr val="993484"/>
            </a:solidFill>
          </a:ln>
        </c:spPr>
      </c:pivotFmt>
      <c:pivotFmt>
        <c:idx val="87"/>
        <c:marker>
          <c:spPr>
            <a:solidFill>
              <a:srgbClr val="39617D"/>
            </a:solidFill>
            <a:ln w="9525">
              <a:noFill/>
            </a:ln>
          </c:spPr>
        </c:marker>
      </c:pivotFmt>
      <c:pivotFmt>
        <c:idx val="88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89"/>
        <c:spPr>
          <a:solidFill>
            <a:srgbClr val="E73741"/>
          </a:solidFill>
          <a:ln w="9525">
            <a:noFill/>
          </a:ln>
        </c:spPr>
      </c:pivotFmt>
      <c:pivotFmt>
        <c:idx val="90"/>
        <c:spPr>
          <a:ln>
            <a:noFill/>
          </a:ln>
        </c:spPr>
        <c:marker>
          <c:symbol val="diamond"/>
          <c:size val="8"/>
          <c:spPr>
            <a:solidFill>
              <a:sysClr val="window" lastClr="FFFFFF"/>
            </a:solidFill>
          </c:spPr>
        </c:marker>
      </c:pivotFmt>
      <c:pivotFmt>
        <c:idx val="91"/>
        <c:spPr>
          <a:solidFill>
            <a:srgbClr val="993484"/>
          </a:solidFill>
          <a:ln w="9525">
            <a:noFill/>
          </a:ln>
        </c:spPr>
      </c:pivotFmt>
      <c:pivotFmt>
        <c:idx val="92"/>
        <c:spPr>
          <a:solidFill>
            <a:srgbClr val="E73741"/>
          </a:solidFill>
          <a:ln w="9525">
            <a:noFill/>
          </a:ln>
        </c:spPr>
      </c:pivotFmt>
      <c:pivotFmt>
        <c:idx val="93"/>
        <c:spPr>
          <a:solidFill>
            <a:srgbClr val="8EA4B1"/>
          </a:solidFill>
          <a:ln w="9525">
            <a:noFill/>
          </a:ln>
        </c:spPr>
        <c:marker>
          <c:symbol val="none"/>
        </c:marker>
      </c:pivotFmt>
      <c:pivotFmt>
        <c:idx val="94"/>
        <c:spPr>
          <a:solidFill>
            <a:srgbClr val="719E24"/>
          </a:solidFill>
          <a:ln w="9525">
            <a:noFill/>
          </a:ln>
        </c:spPr>
      </c:pivotFmt>
      <c:pivotFmt>
        <c:idx val="95"/>
        <c:spPr>
          <a:solidFill>
            <a:srgbClr val="0B68AF"/>
          </a:solidFill>
          <a:ln w="9525">
            <a:noFill/>
          </a:ln>
        </c:spPr>
      </c:pivotFmt>
      <c:pivotFmt>
        <c:idx val="96"/>
        <c:spPr>
          <a:solidFill>
            <a:srgbClr val="DF521E"/>
          </a:solidFill>
          <a:ln w="9525">
            <a:noFill/>
          </a:ln>
        </c:spPr>
      </c:pivotFmt>
      <c:pivotFmt>
        <c:idx val="97"/>
        <c:spPr>
          <a:solidFill>
            <a:srgbClr val="E73741"/>
          </a:solidFill>
          <a:ln w="9525">
            <a:noFill/>
          </a:ln>
        </c:spPr>
      </c:pivotFmt>
      <c:pivotFmt>
        <c:idx val="98"/>
        <c:spPr>
          <a:solidFill>
            <a:srgbClr val="058FD9"/>
          </a:solidFill>
          <a:ln w="9525">
            <a:noFill/>
          </a:ln>
        </c:spPr>
      </c:pivotFmt>
      <c:pivotFmt>
        <c:idx val="99"/>
        <c:spPr>
          <a:solidFill>
            <a:srgbClr val="32A674"/>
          </a:solidFill>
          <a:ln w="9525">
            <a:noFill/>
          </a:ln>
        </c:spPr>
      </c:pivotFmt>
      <c:pivotFmt>
        <c:idx val="100"/>
        <c:spPr>
          <a:solidFill>
            <a:srgbClr val="E1B400"/>
          </a:solidFill>
          <a:ln w="9525">
            <a:noFill/>
          </a:ln>
        </c:spPr>
      </c:pivotFmt>
      <c:pivotFmt>
        <c:idx val="101"/>
        <c:spPr>
          <a:solidFill>
            <a:sysClr val="windowText" lastClr="000000"/>
          </a:solidFill>
          <a:ln w="9525">
            <a:noFill/>
          </a:ln>
        </c:spPr>
      </c:pivotFmt>
      <c:pivotFmt>
        <c:idx val="102"/>
        <c:spPr>
          <a:solidFill>
            <a:srgbClr val="058FD9"/>
          </a:solidFill>
          <a:ln w="9525">
            <a:noFill/>
          </a:ln>
        </c:spPr>
      </c:pivotFmt>
    </c:pivotFmts>
    <c:plotArea>
      <c:layout>
        <c:manualLayout>
          <c:layoutTarget val="inner"/>
          <c:xMode val="edge"/>
          <c:yMode val="edge"/>
          <c:x val="7.4659722222222225E-2"/>
          <c:y val="0.17117803020568306"/>
          <c:w val="0.90374320296161814"/>
          <c:h val="0.61994894331508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Charts!$H$6</c:f>
              <c:strCache>
                <c:ptCount val="1"/>
                <c:pt idx="0">
                  <c:v>2024 Q4</c:v>
                </c:pt>
              </c:strCache>
            </c:strRef>
          </c:tx>
          <c:spPr>
            <a:solidFill>
              <a:srgbClr val="464E70"/>
            </a:solidFill>
            <a:ln>
              <a:noFill/>
            </a:ln>
          </c:spPr>
          <c:invertIfNegative val="0"/>
          <c:cat>
            <c:strRef>
              <c:f>Charts!$G$7:$G$17</c:f>
              <c:strCache>
                <c:ptCount val="11"/>
                <c:pt idx="0">
                  <c:v>Japan</c:v>
                </c:pt>
                <c:pt idx="1">
                  <c:v>United States</c:v>
                </c:pt>
                <c:pt idx="2">
                  <c:v>France</c:v>
                </c:pt>
                <c:pt idx="3">
                  <c:v>OECD area</c:v>
                </c:pt>
                <c:pt idx="4">
                  <c:v>G7</c:v>
                </c:pt>
                <c:pt idx="5">
                  <c:v>Germany</c:v>
                </c:pt>
                <c:pt idx="6">
                  <c:v>European Union</c:v>
                </c:pt>
                <c:pt idx="7">
                  <c:v>Euro area</c:v>
                </c:pt>
                <c:pt idx="8">
                  <c:v>Italy</c:v>
                </c:pt>
                <c:pt idx="9">
                  <c:v>Canada</c:v>
                </c:pt>
                <c:pt idx="10">
                  <c:v>United Kingdom</c:v>
                </c:pt>
              </c:strCache>
            </c:strRef>
          </c:cat>
          <c:val>
            <c:numRef>
              <c:f>Charts!$H$7:$H$17</c:f>
              <c:numCache>
                <c:formatCode>0.0</c:formatCode>
                <c:ptCount val="11"/>
                <c:pt idx="0">
                  <c:v>0.6</c:v>
                </c:pt>
                <c:pt idx="1">
                  <c:v>0.6</c:v>
                </c:pt>
                <c:pt idx="2">
                  <c:v>-0.1</c:v>
                </c:pt>
                <c:pt idx="3">
                  <c:v>0.5</c:v>
                </c:pt>
                <c:pt idx="4">
                  <c:v>0.4</c:v>
                </c:pt>
                <c:pt idx="5">
                  <c:v>-0.2</c:v>
                </c:pt>
                <c:pt idx="6">
                  <c:v>0.4</c:v>
                </c:pt>
                <c:pt idx="7">
                  <c:v>0.2</c:v>
                </c:pt>
                <c:pt idx="8">
                  <c:v>0.2</c:v>
                </c:pt>
                <c:pt idx="9">
                  <c:v>0.6</c:v>
                </c:pt>
                <c:pt idx="10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82-4FAA-9CE7-120D31C71B1B}"/>
            </c:ext>
          </c:extLst>
        </c:ser>
        <c:ser>
          <c:idx val="1"/>
          <c:order val="1"/>
          <c:tx>
            <c:strRef>
              <c:f>Charts!$I$6</c:f>
              <c:strCache>
                <c:ptCount val="1"/>
                <c:pt idx="0">
                  <c:v>2025 Q1</c:v>
                </c:pt>
              </c:strCache>
            </c:strRef>
          </c:tx>
          <c:spPr>
            <a:solidFill>
              <a:srgbClr val="46AEA7"/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282-4FAA-9CE7-120D31C71B1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282-4FAA-9CE7-120D31C71B1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282-4FAA-9CE7-120D31C71B1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5282-4FAA-9CE7-120D31C71B1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282-4FAA-9CE7-120D31C71B1B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5282-4FAA-9CE7-120D31C71B1B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5282-4FAA-9CE7-120D31C71B1B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5282-4FAA-9CE7-120D31C71B1B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282-4FAA-9CE7-120D31C71B1B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5282-4FAA-9CE7-120D31C71B1B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5282-4FAA-9CE7-120D31C71B1B}"/>
              </c:ext>
            </c:extLst>
          </c:dPt>
          <c:cat>
            <c:strRef>
              <c:f>Charts!$G$7:$G$17</c:f>
              <c:strCache>
                <c:ptCount val="11"/>
                <c:pt idx="0">
                  <c:v>Japan</c:v>
                </c:pt>
                <c:pt idx="1">
                  <c:v>United States</c:v>
                </c:pt>
                <c:pt idx="2">
                  <c:v>France</c:v>
                </c:pt>
                <c:pt idx="3">
                  <c:v>OECD area</c:v>
                </c:pt>
                <c:pt idx="4">
                  <c:v>G7</c:v>
                </c:pt>
                <c:pt idx="5">
                  <c:v>Germany</c:v>
                </c:pt>
                <c:pt idx="6">
                  <c:v>European Union</c:v>
                </c:pt>
                <c:pt idx="7">
                  <c:v>Euro area</c:v>
                </c:pt>
                <c:pt idx="8">
                  <c:v>Italy</c:v>
                </c:pt>
                <c:pt idx="9">
                  <c:v>Canada</c:v>
                </c:pt>
                <c:pt idx="10">
                  <c:v>United Kingdom</c:v>
                </c:pt>
              </c:strCache>
            </c:strRef>
          </c:cat>
          <c:val>
            <c:numRef>
              <c:f>Charts!$I$7:$I$17</c:f>
              <c:numCache>
                <c:formatCode>0.0</c:formatCode>
                <c:ptCount val="11"/>
                <c:pt idx="0">
                  <c:v>-0.2</c:v>
                </c:pt>
                <c:pt idx="1">
                  <c:v>-0.1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0.2</c:v>
                </c:pt>
                <c:pt idx="6">
                  <c:v>0.3</c:v>
                </c:pt>
                <c:pt idx="7">
                  <c:v>0.3</c:v>
                </c:pt>
                <c:pt idx="8">
                  <c:v>0.3</c:v>
                </c:pt>
                <c:pt idx="9">
                  <c:v>0.4</c:v>
                </c:pt>
                <c:pt idx="1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282-4FAA-9CE7-120D31C71B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170432"/>
        <c:axId val="43172608"/>
      </c:barChart>
      <c:catAx>
        <c:axId val="431704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>
            <a:solidFill>
              <a:srgbClr val="000000"/>
            </a:solidFill>
            <a:prstDash val="solid"/>
          </a:ln>
        </c:spPr>
        <c:txPr>
          <a:bodyPr rot="-1680000" vert="horz"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Yu Gothic" panose="020B0400000000000000" pitchFamily="34" charset="-128"/>
                <a:ea typeface="Yu Gothic" panose="020B0400000000000000" pitchFamily="34" charset="-128"/>
              </a:defRPr>
            </a:pPr>
            <a:endParaRPr lang="en-US"/>
          </a:p>
        </c:txPr>
        <c:crossAx val="43172608"/>
        <c:crosses val="autoZero"/>
        <c:auto val="0"/>
        <c:lblAlgn val="ctr"/>
        <c:lblOffset val="0"/>
        <c:noMultiLvlLbl val="0"/>
      </c:catAx>
      <c:valAx>
        <c:axId val="43172608"/>
        <c:scaling>
          <c:orientation val="minMax"/>
          <c:max val="0.8"/>
          <c:min val="-0.4"/>
        </c:scaling>
        <c:delete val="0"/>
        <c:axPos val="l"/>
        <c:majorGridlines>
          <c:spPr>
            <a:ln w="3175">
              <a:solidFill>
                <a:sysClr val="window" lastClr="FFFFFF">
                  <a:lumMod val="75000"/>
                </a:sys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Yu Gothic" panose="020B0400000000000000" pitchFamily="34" charset="-128"/>
                    <a:ea typeface="Yu Gothic" panose="020B0400000000000000" pitchFamily="34" charset="-128"/>
                  </a:defRPr>
                </a:pPr>
                <a:r>
                  <a:rPr lang="fr-FR" sz="90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Yu Gothic" panose="020B0400000000000000" pitchFamily="34" charset="-128"/>
                    <a:ea typeface="Yu Gothic" panose="020B0400000000000000" pitchFamily="34" charset="-128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5.5684677751454463E-2"/>
              <c:y val="7.0790107910073979E-2"/>
            </c:manualLayout>
          </c:layout>
          <c:overlay val="0"/>
        </c:title>
        <c:numFmt formatCode="0.0" sourceLinked="0"/>
        <c:majorTickMark val="in"/>
        <c:minorTickMark val="none"/>
        <c:tickLblPos val="nextTo"/>
        <c:spPr>
          <a:noFill/>
          <a:ln w="9525">
            <a:noFill/>
            <a:prstDash val="solid"/>
          </a:ln>
        </c:spPr>
        <c:txPr>
          <a:bodyPr rot="0" vert="horz"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Yu Gothic" panose="020B0400000000000000" pitchFamily="34" charset="-128"/>
                <a:ea typeface="Yu Gothic" panose="020B0400000000000000" pitchFamily="34" charset="-128"/>
              </a:defRPr>
            </a:pPr>
            <a:endParaRPr lang="en-US"/>
          </a:p>
        </c:txPr>
        <c:crossAx val="43170432"/>
        <c:crosses val="autoZero"/>
        <c:crossBetween val="between"/>
        <c:majorUnit val="0.2"/>
      </c:valAx>
      <c:spPr>
        <a:solidFill>
          <a:sysClr val="window" lastClr="FFFFFF"/>
        </a:solidFill>
        <a:ln>
          <a:solidFill>
            <a:sysClr val="window" lastClr="FFFFFF">
              <a:lumMod val="75000"/>
            </a:sysClr>
          </a:solidFill>
        </a:ln>
      </c:spPr>
    </c:plotArea>
    <c:legend>
      <c:legendPos val="t"/>
      <c:layout>
        <c:manualLayout>
          <c:xMode val="edge"/>
          <c:yMode val="edge"/>
          <c:x val="0.3675514947345972"/>
          <c:y val="4.9864505609667646E-2"/>
          <c:w val="0.26489683514599383"/>
          <c:h val="8.4956696049960159E-2"/>
        </c:manualLayout>
      </c:layout>
      <c:overlay val="0"/>
      <c:txPr>
        <a:bodyPr/>
        <a:lstStyle/>
        <a:p>
          <a:pPr>
            <a:defRPr sz="1000">
              <a:solidFill>
                <a:schemeClr val="tx1">
                  <a:lumMod val="65000"/>
                  <a:lumOff val="35000"/>
                </a:schemeClr>
              </a:solidFill>
              <a:latin typeface="Yu Gothic" panose="020B0400000000000000" pitchFamily="34" charset="-128"/>
              <a:ea typeface="Yu Gothic" panose="020B0400000000000000" pitchFamily="34" charset="-128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ysClr val="window" lastClr="FFFFFF"/>
    </a:solidFill>
    <a:ln>
      <a:noFill/>
    </a:ln>
  </c:spPr>
  <c:txPr>
    <a:bodyPr/>
    <a:lstStyle/>
    <a:p>
      <a:pPr>
        <a:defRPr sz="500" b="0" i="0" u="none" strike="noStrike" baseline="0">
          <a:solidFill>
            <a:srgbClr val="000000"/>
          </a:solidFill>
          <a:latin typeface="Bernini Sans" pitchFamily="50" charset="0"/>
          <a:ea typeface="Calibri"/>
          <a:cs typeface="Calibri"/>
        </a:defRPr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0.59895</cdr:x>
      <cdr:y>0.19125</cdr:y>
    </cdr:from>
    <cdr:to>
      <cdr:x>0.82027</cdr:x>
      <cdr:y>0.25974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27572" y="529691"/>
          <a:ext cx="1266538" cy="1896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7ec883c-a62c-444f-a935-fcddb579e39d" ContentTypeId="0x0101008B4DD370EC31429186F3AD49F0D3098F001C92EA3DBF70485595E55AF60CAA9276" PreviousValue="false"/>
</file>

<file path=customXml/item2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/>
</CtFieldPriority>
</file>

<file path=customXml/item3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8B4DD370EC31429186F3AD49F0D3098F001C92EA3DBF70485595E55AF60CAA92760016D264A4F1A446C6B7195ABADDB0298300BFD9CB4AB854CF4BA42FF79EA125C1E8" ma:contentTypeVersion="43" ma:contentTypeDescription="" ma:contentTypeScope="" ma:versionID="deb02fc71e5afe4a08d82d0c046a2d6e">
  <xsd:schema xmlns:xsd="http://www.w3.org/2001/XMLSchema" xmlns:xs="http://www.w3.org/2001/XMLSchema" xmlns:p="http://schemas.microsoft.com/office/2006/metadata/properties" xmlns:ns1="54c4cd27-f286-408f-9ce0-33c1e0f3ab39" xmlns:ns2="b855e8c8-0866-41c2-bf69-0bb389390676" xmlns:ns3="4a34ab1a-2674-4e65-b1c6-dc52351c68c3" xmlns:ns5="c9f238dd-bb73-4aef-a7a5-d644ad823e52" xmlns:ns6="ca82dde9-3436-4d3d-bddd-d31447390034" targetNamespace="http://schemas.microsoft.com/office/2006/metadata/properties" ma:root="true" ma:fieldsID="0e525a23b439b2ff7afad0b804294ec7" ns1:_="" ns2:_="" ns3:_="" ns5:_="" ns6:_="">
    <xsd:import namespace="54c4cd27-f286-408f-9ce0-33c1e0f3ab39"/>
    <xsd:import namespace="b855e8c8-0866-41c2-bf69-0bb389390676"/>
    <xsd:import namespace="4a34ab1a-2674-4e65-b1c6-dc52351c68c3"/>
    <xsd:import namespace="c9f238dd-bb73-4aef-a7a5-d644ad823e52"/>
    <xsd:import namespace="ca82dde9-3436-4d3d-bddd-d3144739003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3:OECDPinnedBy" minOccurs="0"/>
                <xsd:element ref="ns3:OECDTagsCache" minOccurs="0"/>
                <xsd:element ref="ns2:OECDExpirationDate" minOccurs="0"/>
                <xsd:element ref="ns5:eShareKeywordsTaxHTField0" minOccurs="0"/>
                <xsd:element ref="ns5:eShareTopicTaxHTField0" minOccurs="0"/>
                <xsd:element ref="ns5:eShareCountryTaxHTField0" minOccurs="0"/>
                <xsd:element ref="ns6:TaxCatchAllLabel" minOccurs="0"/>
                <xsd:element ref="ns2:g81a30e168d04bd48fa13367ae60bbde" minOccurs="0"/>
                <xsd:element ref="ns6:TaxCatchAll" minOccurs="0"/>
                <xsd:element ref="ns1:OECD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Year" ma:index="24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5e8c8-0866-41c2-bf69-0bb389390676" elementFormDefault="qualified">
    <xsd:import namespace="http://schemas.microsoft.com/office/2006/documentManagement/types"/>
    <xsd:import namespace="http://schemas.microsoft.com/office/infopath/2007/PartnerControls"/>
    <xsd:element name="OECDExpirationDate" ma:index="10" nillable="true" ma:displayName="Highlights" ma:default="" ma:description="" ma:format="DateOnly" ma:indexed="true" ma:internalName="OECDExpirationDate">
      <xsd:simpleType>
        <xsd:restriction base="dms:DateTime"/>
      </xsd:simpleType>
    </xsd:element>
    <xsd:element name="g81a30e168d04bd48fa13367ae60bbde" ma:index="22" nillable="true" ma:displayName="Horizontal project_0" ma:hidden="true" ma:internalName="g81a30e168d04bd48fa13367ae60bbd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4ab1a-2674-4e65-b1c6-dc52351c68c3" elementFormDefault="qualified">
    <xsd:import namespace="http://schemas.microsoft.com/office/2006/documentManagement/types"/>
    <xsd:import namespace="http://schemas.microsoft.com/office/infopath/2007/PartnerControls"/>
    <xsd:element name="OECDPinnedBy" ma:index="6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TagsCache" ma:index="9" nillable="true" ma:displayName="Tags cache" ma:description="" ma:hidden="true" ma:internalName="OECDTagsCach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KeywordsTaxHTField0" ma:index="11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TopicTaxHTField0" ma:index="12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CountryTaxHTField0" ma:index="13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TaxCatchAllLabel" ma:index="21" nillable="true" ma:displayName="Taxonomy Catch All Column1" ma:hidden="true" ma:list="{e32c7df2-3e97-41ed-8365-b4ba9507881a}" ma:internalName="TaxCatchAllLabel" ma:readOnly="true" ma:showField="CatchAllDataLabel" ma:web="b855e8c8-0866-41c2-bf69-0bb389390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3" nillable="true" ma:displayName="Taxonomy Catch All Column" ma:hidden="true" ma:list="{e32c7df2-3e97-41ed-8365-b4ba9507881a}" ma:internalName="TaxCatchAll" ma:showField="CatchAllData" ma:web="b855e8c8-0866-41c2-bf69-0bb389390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DKimBussinessContext xmlns="54c4cd27-f286-408f-9ce0-33c1e0f3ab39" xsi:nil="true"/>
    <OECDExpirationDate xmlns="b855e8c8-0866-41c2-bf69-0bb389390676" xsi:nil="true"/>
    <OECDYear xmlns="54c4cd27-f286-408f-9ce0-33c1e0f3ab39" xsi:nil="true"/>
    <OECDKimProvenance xmlns="54c4cd27-f286-408f-9ce0-33c1e0f3ab39" xsi:nil="true"/>
    <g81a30e168d04bd48fa13367ae60bbde xmlns="b855e8c8-0866-41c2-bf69-0bb389390676" xsi:nil="true"/>
    <OECDKimStatus xmlns="54c4cd27-f286-408f-9ce0-33c1e0f3ab39">Draft</OECDKimStatus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09b890b1-37ca-4da0-9079-28c0781565a1</TermId>
        </TermInfo>
      </Terms>
    </eShareTopicTaxHTField0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09b890b1-37ca-4da0-9079-28c0781565a1</TermId>
        </TermInfo>
      </Terms>
    </eShareKeywordsTaxHTField0>
    <TaxCatchAll xmlns="ca82dde9-3436-4d3d-bddd-d31447390034">
      <Value>180</Value>
      <Value>603</Value>
      <Value>868</Value>
    </TaxCatchAll>
    <OECDPinnedBy xmlns="4a34ab1a-2674-4e65-b1c6-dc52351c68c3">
      <UserInfo>
        <DisplayName/>
        <AccountId xsi:nil="true"/>
        <AccountType/>
      </UserInfo>
    </OECDPinnedBy>
    <OECDTagsCache xmlns="4a34ab1a-2674-4e65-b1c6-dc52351c68c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3AE7053-C379-447B-97F6-E1DEFD79BBC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CAFEFB4-9EDC-47F7-B603-97A4F688E133}">
  <ds:schemaRefs>
    <ds:schemaRef ds:uri="http://www.oecd.org/eshare/projectsentre/CtFieldPriority/"/>
    <ds:schemaRef ds:uri="http://schemas.microsoft.com/2003/10/Serialization/Arrays"/>
  </ds:schemaRefs>
</ds:datastoreItem>
</file>

<file path=customXml/itemProps3.xml><?xml version="1.0" encoding="utf-8"?>
<ds:datastoreItem xmlns:ds="http://schemas.openxmlformats.org/officeDocument/2006/customXml" ds:itemID="{7A7B89FE-DA11-4510-8C04-41B3245DD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3489F-747A-44CC-861E-E1CDA81E7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b855e8c8-0866-41c2-bf69-0bb389390676"/>
    <ds:schemaRef ds:uri="4a34ab1a-2674-4e65-b1c6-dc52351c68c3"/>
    <ds:schemaRef ds:uri="c9f238dd-bb73-4aef-a7a5-d644ad823e52"/>
    <ds:schemaRef ds:uri="ca82dde9-3436-4d3d-bddd-d3144739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A6DD71-ACA7-4779-99BF-C27681A69075}">
  <ds:schemaRefs>
    <ds:schemaRef ds:uri="http://schemas.microsoft.com/office/2006/metadata/properties"/>
    <ds:schemaRef ds:uri="http://schemas.microsoft.com/office/infopath/2007/PartnerControls"/>
    <ds:schemaRef ds:uri="54c4cd27-f286-408f-9ce0-33c1e0f3ab39"/>
    <ds:schemaRef ds:uri="b855e8c8-0866-41c2-bf69-0bb389390676"/>
    <ds:schemaRef ds:uri="c9f238dd-bb73-4aef-a7a5-d644ad823e52"/>
    <ds:schemaRef ds:uri="ca82dde9-3436-4d3d-bddd-d31447390034"/>
    <ds:schemaRef ds:uri="4a34ab1a-2674-4e65-b1c6-dc52351c68c3"/>
  </ds:schemaRefs>
</ds:datastoreItem>
</file>

<file path=customXml/itemProps6.xml><?xml version="1.0" encoding="utf-8"?>
<ds:datastoreItem xmlns:ds="http://schemas.openxmlformats.org/officeDocument/2006/customXml" ds:itemID="{C08BE662-6DDE-49C2-888F-889390F2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Dkhissi Rachida</dc:creator>
  <cp:keywords/>
  <dc:description/>
  <cp:lastModifiedBy>FIETZ Louise, COM/SCO</cp:lastModifiedBy>
  <cp:revision>2</cp:revision>
  <cp:lastPrinted>2025-05-20T14:13:00Z</cp:lastPrinted>
  <dcterms:created xsi:type="dcterms:W3CDTF">2025-05-21T15:22:00Z</dcterms:created>
  <dcterms:modified xsi:type="dcterms:W3CDTF">2025-05-21T15:22:00Z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DocumentId">
    <vt:lpwstr>8BBBC6518B93740DE871B3C8A6F0D729FDF00B5231B9CEE5FF1C72AA70D28BC8</vt:lpwstr>
  </property>
  <property fmtid="{D5CDD505-2E9C-101B-9397-08002B2CF9AE}" pid="3" name="OecdDocumentCoteLangHash">
    <vt:lpwstr/>
  </property>
  <property fmtid="{D5CDD505-2E9C-101B-9397-08002B2CF9AE}" pid="4" name="ContentTypeId">
    <vt:lpwstr>0x0101008B4DD370EC31429186F3AD49F0D3098F001C92EA3DBF70485595E55AF60CAA92760016D264A4F1A446C6B7195ABADDB0298300BFD9CB4AB854CF4BA42FF79EA125C1E8</vt:lpwstr>
  </property>
  <property fmtid="{D5CDD505-2E9C-101B-9397-08002B2CF9AE}" pid="5" name="OECDProjectOwnerStructure">
    <vt:lpwstr/>
  </property>
  <property fmtid="{D5CDD505-2E9C-101B-9397-08002B2CF9AE}" pid="6" name="OECDHorizontalProjects">
    <vt:lpwstr/>
  </property>
  <property fmtid="{D5CDD505-2E9C-101B-9397-08002B2CF9AE}" pid="7" name="OECDCountry">
    <vt:lpwstr/>
  </property>
  <property fmtid="{D5CDD505-2E9C-101B-9397-08002B2CF9AE}" pid="8" name="OECDTopic">
    <vt:lpwstr>868;#Press Release|09b890b1-37ca-4da0-9079-28c0781565a1</vt:lpwstr>
  </property>
  <property fmtid="{D5CDD505-2E9C-101B-9397-08002B2CF9AE}" pid="9" name="OECDCommittee">
    <vt:lpwstr/>
  </property>
  <property fmtid="{D5CDD505-2E9C-101B-9397-08002B2CF9AE}" pid="10" name="OECDPWB">
    <vt:lpwstr>603;#6.2.1 Statistical Co-ordination, Research, Collection and Dissemination|784c0fc2-2e55-46ce-a4c3-a7498e82f9e2</vt:lpwstr>
  </property>
  <property fmtid="{D5CDD505-2E9C-101B-9397-08002B2CF9AE}" pid="11" name="OECDKeywords">
    <vt:lpwstr>180;#Press Release|09b890b1-37ca-4da0-9079-28c0781565a1</vt:lpwstr>
  </property>
  <property fmtid="{D5CDD505-2E9C-101B-9397-08002B2CF9AE}" pid="12" name="eShareOrganisationTaxHTField0">
    <vt:lpwstr/>
  </property>
  <property fmtid="{D5CDD505-2E9C-101B-9397-08002B2CF9AE}" pid="13" name="d0b6f6ac229144c2899590f0436d9385">
    <vt:lpwstr/>
  </property>
  <property fmtid="{D5CDD505-2E9C-101B-9397-08002B2CF9AE}" pid="14" name="OECDProject">
    <vt:lpwstr/>
  </property>
  <property fmtid="{D5CDD505-2E9C-101B-9397-08002B2CF9AE}" pid="15" name="OECDOrganisation">
    <vt:lpwstr/>
  </property>
  <property fmtid="{D5CDD505-2E9C-101B-9397-08002B2CF9AE}" pid="16" name="ClassificationContentMarkingFooterShapeIds">
    <vt:lpwstr>f,10,11,12,13,14</vt:lpwstr>
  </property>
  <property fmtid="{D5CDD505-2E9C-101B-9397-08002B2CF9AE}" pid="17" name="ClassificationContentMarkingFooterFontProps">
    <vt:lpwstr>#0000ff,10,Calibri</vt:lpwstr>
  </property>
  <property fmtid="{D5CDD505-2E9C-101B-9397-08002B2CF9AE}" pid="18" name="ClassificationContentMarkingFooterText">
    <vt:lpwstr>Highly Sensitive - Très sensible</vt:lpwstr>
  </property>
  <property fmtid="{D5CDD505-2E9C-101B-9397-08002B2CF9AE}" pid="19" name="MSIP_Label_e3cde8aa-91c3-49b7-84c6-fbbe8345be9d_Enabled">
    <vt:lpwstr>true</vt:lpwstr>
  </property>
  <property fmtid="{D5CDD505-2E9C-101B-9397-08002B2CF9AE}" pid="20" name="MSIP_Label_e3cde8aa-91c3-49b7-84c6-fbbe8345be9d_SetDate">
    <vt:lpwstr>2024-08-16T15:55:02Z</vt:lpwstr>
  </property>
  <property fmtid="{D5CDD505-2E9C-101B-9397-08002B2CF9AE}" pid="21" name="MSIP_Label_e3cde8aa-91c3-49b7-84c6-fbbe8345be9d_Method">
    <vt:lpwstr>Privileged</vt:lpwstr>
  </property>
  <property fmtid="{D5CDD505-2E9C-101B-9397-08002B2CF9AE}" pid="22" name="MSIP_Label_e3cde8aa-91c3-49b7-84c6-fbbe8345be9d_Name">
    <vt:lpwstr>Highly Sensitive</vt:lpwstr>
  </property>
  <property fmtid="{D5CDD505-2E9C-101B-9397-08002B2CF9AE}" pid="23" name="MSIP_Label_e3cde8aa-91c3-49b7-84c6-fbbe8345be9d_SiteId">
    <vt:lpwstr>ac41c7d4-1f61-460d-b0f4-fc925a2b471c</vt:lpwstr>
  </property>
  <property fmtid="{D5CDD505-2E9C-101B-9397-08002B2CF9AE}" pid="24" name="MSIP_Label_e3cde8aa-91c3-49b7-84c6-fbbe8345be9d_ActionId">
    <vt:lpwstr>bc49ccaa-2a1d-4beb-975e-6b6721d1d3d0</vt:lpwstr>
  </property>
  <property fmtid="{D5CDD505-2E9C-101B-9397-08002B2CF9AE}" pid="25" name="MSIP_Label_e3cde8aa-91c3-49b7-84c6-fbbe8345be9d_ContentBits">
    <vt:lpwstr>2</vt:lpwstr>
  </property>
  <property fmtid="{D5CDD505-2E9C-101B-9397-08002B2CF9AE}" pid="26" name="eSharePWBTaxHTField0">
    <vt:lpwstr>6.2.1 Statistical Co-ordination, Research, Collection and Dissemination|784c0fc2-2e55-46ce-a4c3-a7498e82f9e2</vt:lpwstr>
  </property>
  <property fmtid="{D5CDD505-2E9C-101B-9397-08002B2CF9AE}" pid="27" name="eShareCommitteeTaxHTField0">
    <vt:lpwstr/>
  </property>
</Properties>
</file>