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7237E" w14:textId="57F3654B" w:rsidR="00BB3844" w:rsidRPr="00B25312" w:rsidRDefault="006332D4" w:rsidP="005F79C4">
      <w:pPr>
        <w:spacing w:after="120" w:line="300" w:lineRule="exact"/>
        <w:rPr>
          <w:rFonts w:ascii="Yu Gothic" w:eastAsia="Yu Gothic" w:hAnsi="Yu Gothic"/>
          <w:b/>
          <w:sz w:val="28"/>
        </w:rPr>
        <w:sectPr w:rsidR="00BB3844" w:rsidRPr="00B25312" w:rsidSect="00870105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B198D">
        <w:rPr>
          <w:rFonts w:ascii="Yu Gothic" w:eastAsia="Yu Gothic" w:hAnsi="Yu Gothic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73BB6713" wp14:editId="6C531C13">
                <wp:simplePos x="0" y="0"/>
                <wp:positionH relativeFrom="page">
                  <wp:posOffset>5206365</wp:posOffset>
                </wp:positionH>
                <wp:positionV relativeFrom="paragraph">
                  <wp:posOffset>-645512</wp:posOffset>
                </wp:positionV>
                <wp:extent cx="2354029" cy="5486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029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F32105" w14:textId="4F91910E" w:rsidR="0033012B" w:rsidRPr="005F79C4" w:rsidRDefault="0033012B" w:rsidP="0033012B">
                            <w:pPr>
                              <w:spacing w:after="120" w:line="240" w:lineRule="exact"/>
                              <w:ind w:right="301"/>
                              <w:jc w:val="right"/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</w:pPr>
                            <w:r w:rsidRPr="005F79C4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 xml:space="preserve">Paris, </w:t>
                            </w:r>
                            <w:r w:rsidR="00350EA1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>21</w:t>
                            </w:r>
                            <w:r w:rsidRPr="005F79C4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350EA1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>November</w:t>
                            </w:r>
                            <w:r w:rsidRPr="005F79C4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 xml:space="preserve"> 202</w:t>
                            </w:r>
                            <w:r w:rsidR="009D03F4" w:rsidRPr="005F79C4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7E467F33" w14:textId="12BA383A" w:rsidR="0033012B" w:rsidRPr="005F79C4" w:rsidRDefault="0033012B" w:rsidP="0033012B">
                            <w:pPr>
                              <w:spacing w:after="120" w:line="240" w:lineRule="exact"/>
                              <w:ind w:right="301"/>
                              <w:jc w:val="right"/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</w:pPr>
                            <w:r w:rsidRPr="005F79C4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 xml:space="preserve">Reference period: </w:t>
                            </w:r>
                            <w:r w:rsidR="00F63375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>Q</w:t>
                            </w:r>
                            <w:r w:rsidR="00350EA1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>3</w:t>
                            </w:r>
                            <w:r w:rsidRPr="005F79C4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 xml:space="preserve"> 202</w:t>
                            </w:r>
                            <w:r w:rsidR="00B1456C"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  <w:t>5</w:t>
                            </w:r>
                          </w:p>
                          <w:p w14:paraId="07FACF2B" w14:textId="77777777" w:rsidR="006332D4" w:rsidRPr="005F79C4" w:rsidRDefault="006332D4" w:rsidP="0033012B">
                            <w:pPr>
                              <w:spacing w:after="120" w:line="240" w:lineRule="exact"/>
                              <w:ind w:right="301"/>
                              <w:jc w:val="right"/>
                              <w:rPr>
                                <w:rFonts w:ascii="Yu Gothic Medium" w:eastAsia="Yu Gothic Medium" w:hAnsi="Yu Gothic Medium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B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9.95pt;margin-top:-50.85pt;width:185.35pt;height:43.2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" filled="f" stroked="f">
                <v:textbox style="mso-fit-shape-to-text:t">
                  <w:txbxContent>
                    <w:p w14:paraId="04F32105" w14:textId="4F91910E" w:rsidR="0033012B" w:rsidRPr="005F79C4" w:rsidRDefault="0033012B" w:rsidP="0033012B">
                      <w:pPr>
                        <w:spacing w:after="120" w:line="240" w:lineRule="exact"/>
                        <w:ind w:right="301"/>
                        <w:jc w:val="right"/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</w:pPr>
                      <w:r w:rsidRPr="005F79C4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 xml:space="preserve">Paris, </w:t>
                      </w:r>
                      <w:r w:rsidR="00350EA1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>21</w:t>
                      </w:r>
                      <w:r w:rsidRPr="005F79C4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 xml:space="preserve"> </w:t>
                      </w:r>
                      <w:r w:rsidR="00350EA1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>November</w:t>
                      </w:r>
                      <w:r w:rsidRPr="005F79C4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 xml:space="preserve"> 202</w:t>
                      </w:r>
                      <w:r w:rsidR="009D03F4" w:rsidRPr="005F79C4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>5</w:t>
                      </w:r>
                    </w:p>
                    <w:p w14:paraId="7E467F33" w14:textId="12BA383A" w:rsidR="0033012B" w:rsidRPr="005F79C4" w:rsidRDefault="0033012B" w:rsidP="0033012B">
                      <w:pPr>
                        <w:spacing w:after="120" w:line="240" w:lineRule="exact"/>
                        <w:ind w:right="301"/>
                        <w:jc w:val="right"/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</w:pPr>
                      <w:r w:rsidRPr="005F79C4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 xml:space="preserve">Reference period: </w:t>
                      </w:r>
                      <w:r w:rsidR="00F63375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>Q</w:t>
                      </w:r>
                      <w:r w:rsidR="00350EA1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>3</w:t>
                      </w:r>
                      <w:r w:rsidRPr="005F79C4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 xml:space="preserve"> 202</w:t>
                      </w:r>
                      <w:r w:rsidR="00B1456C"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  <w:t>5</w:t>
                      </w:r>
                    </w:p>
                    <w:p w14:paraId="07FACF2B" w14:textId="77777777" w:rsidR="006332D4" w:rsidRPr="005F79C4" w:rsidRDefault="006332D4" w:rsidP="0033012B">
                      <w:pPr>
                        <w:spacing w:after="120" w:line="240" w:lineRule="exact"/>
                        <w:ind w:right="301"/>
                        <w:jc w:val="right"/>
                        <w:rPr>
                          <w:rFonts w:ascii="Yu Gothic Medium" w:eastAsia="Yu Gothic Medium" w:hAnsi="Yu Gothic Medium" w:cs="Arial"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26E6F">
        <w:rPr>
          <w:rStyle w:val="Strong"/>
          <w:sz w:val="24"/>
          <w:szCs w:val="24"/>
        </w:rPr>
        <w:t>M</w:t>
      </w:r>
      <w:r w:rsidR="00891D56" w:rsidRPr="001B198D">
        <w:rPr>
          <w:rStyle w:val="Strong"/>
          <w:sz w:val="24"/>
          <w:szCs w:val="24"/>
        </w:rPr>
        <w:t>erchandise</w:t>
      </w:r>
      <w:r w:rsidR="00556D4A">
        <w:rPr>
          <w:rStyle w:val="Strong"/>
          <w:sz w:val="24"/>
          <w:szCs w:val="24"/>
        </w:rPr>
        <w:t xml:space="preserve"> and services</w:t>
      </w:r>
      <w:r w:rsidR="00891D56" w:rsidRPr="001B198D">
        <w:rPr>
          <w:rStyle w:val="Strong"/>
          <w:sz w:val="24"/>
          <w:szCs w:val="24"/>
        </w:rPr>
        <w:t xml:space="preserve"> trade </w:t>
      </w:r>
      <w:r w:rsidR="00556D4A">
        <w:rPr>
          <w:rStyle w:val="Strong"/>
          <w:sz w:val="24"/>
          <w:szCs w:val="24"/>
        </w:rPr>
        <w:t xml:space="preserve">continue to </w:t>
      </w:r>
      <w:r w:rsidR="00891D56" w:rsidRPr="001B198D">
        <w:rPr>
          <w:rStyle w:val="Strong"/>
          <w:sz w:val="24"/>
          <w:szCs w:val="24"/>
        </w:rPr>
        <w:t xml:space="preserve">grow </w:t>
      </w:r>
      <w:r w:rsidR="008C0F18">
        <w:rPr>
          <w:rStyle w:val="Strong"/>
          <w:sz w:val="24"/>
          <w:szCs w:val="24"/>
        </w:rPr>
        <w:t>during</w:t>
      </w:r>
      <w:r w:rsidR="008C0F18" w:rsidRPr="001B198D">
        <w:rPr>
          <w:rStyle w:val="Strong"/>
          <w:sz w:val="24"/>
          <w:szCs w:val="24"/>
        </w:rPr>
        <w:t xml:space="preserve"> </w:t>
      </w:r>
      <w:r w:rsidR="00891D56" w:rsidRPr="001B198D">
        <w:rPr>
          <w:rStyle w:val="Strong"/>
          <w:sz w:val="24"/>
          <w:szCs w:val="24"/>
        </w:rPr>
        <w:t>Q3 2025</w:t>
      </w:r>
      <w:r w:rsidR="00556D4A">
        <w:rPr>
          <w:rStyle w:val="Strong"/>
          <w:sz w:val="24"/>
          <w:szCs w:val="24"/>
        </w:rPr>
        <w:t xml:space="preserve"> in most G20 economies</w:t>
      </w:r>
      <w:r w:rsidR="00891D56" w:rsidRPr="001B198D">
        <w:rPr>
          <w:rStyle w:val="Strong"/>
          <w:sz w:val="24"/>
          <w:szCs w:val="24"/>
        </w:rPr>
        <w:t xml:space="preserve"> </w:t>
      </w:r>
      <w:r w:rsidR="005F602E" w:rsidRPr="001B198D">
        <w:rPr>
          <w:rStyle w:val="Strong"/>
          <w:sz w:val="24"/>
          <w:szCs w:val="24"/>
        </w:rPr>
        <w:t xml:space="preserve">despite trade </w:t>
      </w:r>
      <w:r w:rsidR="000D1BDB" w:rsidRPr="001B198D">
        <w:rPr>
          <w:rStyle w:val="Strong"/>
          <w:sz w:val="24"/>
          <w:szCs w:val="24"/>
        </w:rPr>
        <w:t xml:space="preserve">policy </w:t>
      </w:r>
      <w:r w:rsidR="005F602E" w:rsidRPr="001B198D">
        <w:rPr>
          <w:rStyle w:val="Strong"/>
          <w:sz w:val="24"/>
          <w:szCs w:val="24"/>
        </w:rPr>
        <w:t>uncertainty</w:t>
      </w:r>
      <w:r w:rsidR="005F602E" w:rsidRPr="005F602E">
        <w:rPr>
          <w:rStyle w:val="Strong"/>
          <w:sz w:val="24"/>
          <w:szCs w:val="24"/>
        </w:rPr>
        <w:t xml:space="preserve"> </w:t>
      </w:r>
      <w:r w:rsidR="00985C61">
        <w:rPr>
          <w:rFonts w:ascii="Yu Gothic" w:eastAsia="Yu Gothic" w:hAnsi="Yu Gothic"/>
          <w:sz w:val="26"/>
          <w:szCs w:val="26"/>
        </w:rPr>
        <w:pict w14:anchorId="6FFD81F7">
          <v:rect id="_x0000_i1025" style="width:523.3pt;height:1.5pt;mso-position-horizontal:absolute" o:hralign="center" o:hrstd="t" o:hrnoshade="t" o:hr="t" fillcolor="#101d40" stroked="f"/>
        </w:pict>
      </w:r>
    </w:p>
    <w:p w14:paraId="355818AF" w14:textId="23965C8F" w:rsidR="005F602E" w:rsidRPr="001B198D" w:rsidRDefault="00CC129E" w:rsidP="00836BD6">
      <w:pPr>
        <w:spacing w:after="120" w:line="240" w:lineRule="exact"/>
        <w:jc w:val="both"/>
        <w:rPr>
          <w:rFonts w:ascii="Yu Gothic" w:eastAsia="Yu Gothic" w:hAnsi="Yu Gothic"/>
          <w:sz w:val="20"/>
          <w:szCs w:val="20"/>
        </w:rPr>
      </w:pPr>
      <w:bookmarkStart w:id="0" w:name="_Hlk183006464"/>
      <w:r>
        <w:rPr>
          <w:rFonts w:ascii="Yu Gothic" w:eastAsia="Yu Gothic" w:hAnsi="Yu Gothic"/>
          <w:b/>
          <w:bCs/>
          <w:sz w:val="20"/>
          <w:szCs w:val="20"/>
        </w:rPr>
        <w:t>M</w:t>
      </w:r>
      <w:r w:rsidR="00D06579" w:rsidRPr="001B198D">
        <w:rPr>
          <w:rFonts w:ascii="Yu Gothic" w:eastAsia="Yu Gothic" w:hAnsi="Yu Gothic"/>
          <w:b/>
          <w:bCs/>
          <w:sz w:val="20"/>
          <w:szCs w:val="20"/>
        </w:rPr>
        <w:t xml:space="preserve">erchandise trade </w:t>
      </w:r>
      <w:r w:rsidR="005132BC">
        <w:rPr>
          <w:rFonts w:ascii="Yu Gothic" w:eastAsia="Yu Gothic" w:hAnsi="Yu Gothic"/>
          <w:b/>
          <w:bCs/>
          <w:sz w:val="20"/>
          <w:szCs w:val="20"/>
        </w:rPr>
        <w:t xml:space="preserve">continued to </w:t>
      </w:r>
      <w:r w:rsidR="000D1BDB" w:rsidRPr="001B198D">
        <w:rPr>
          <w:rFonts w:ascii="Yu Gothic" w:eastAsia="Yu Gothic" w:hAnsi="Yu Gothic"/>
          <w:b/>
          <w:bCs/>
          <w:sz w:val="20"/>
          <w:szCs w:val="20"/>
        </w:rPr>
        <w:t>expand</w:t>
      </w:r>
      <w:r w:rsidR="00D06579" w:rsidRPr="001B198D">
        <w:rPr>
          <w:rFonts w:ascii="Yu Gothic" w:eastAsia="Yu Gothic" w:hAnsi="Yu Gothic"/>
          <w:b/>
          <w:bCs/>
          <w:sz w:val="20"/>
          <w:szCs w:val="20"/>
        </w:rPr>
        <w:t xml:space="preserve"> </w:t>
      </w:r>
      <w:r w:rsidR="00384F7D">
        <w:rPr>
          <w:rFonts w:ascii="Yu Gothic" w:eastAsia="Yu Gothic" w:hAnsi="Yu Gothic"/>
          <w:b/>
          <w:bCs/>
          <w:sz w:val="20"/>
          <w:szCs w:val="20"/>
        </w:rPr>
        <w:t>during</w:t>
      </w:r>
      <w:r w:rsidR="00D06579" w:rsidRPr="001B198D">
        <w:rPr>
          <w:rFonts w:ascii="Yu Gothic" w:eastAsia="Yu Gothic" w:hAnsi="Yu Gothic"/>
          <w:b/>
          <w:bCs/>
          <w:sz w:val="20"/>
          <w:szCs w:val="20"/>
        </w:rPr>
        <w:t xml:space="preserve"> Q3 2025</w:t>
      </w:r>
      <w:r>
        <w:rPr>
          <w:rFonts w:ascii="Yu Gothic" w:eastAsia="Yu Gothic" w:hAnsi="Yu Gothic"/>
          <w:b/>
          <w:bCs/>
          <w:sz w:val="20"/>
          <w:szCs w:val="20"/>
        </w:rPr>
        <w:t xml:space="preserve"> in most G20 economies </w:t>
      </w:r>
      <w:r w:rsidR="00384F7D">
        <w:rPr>
          <w:rFonts w:ascii="Yu Gothic" w:eastAsia="Yu Gothic" w:hAnsi="Yu Gothic"/>
          <w:b/>
          <w:bCs/>
          <w:sz w:val="20"/>
          <w:szCs w:val="20"/>
        </w:rPr>
        <w:t>for which data are available</w:t>
      </w:r>
      <w:r w:rsidR="00D06579" w:rsidRPr="001B198D">
        <w:rPr>
          <w:rFonts w:ascii="Yu Gothic" w:eastAsia="Yu Gothic" w:hAnsi="Yu Gothic"/>
          <w:b/>
          <w:bCs/>
          <w:sz w:val="20"/>
          <w:szCs w:val="20"/>
        </w:rPr>
        <w:t xml:space="preserve">, </w:t>
      </w:r>
      <w:r w:rsidR="00384F7D">
        <w:rPr>
          <w:rFonts w:ascii="Yu Gothic" w:eastAsia="Yu Gothic" w:hAnsi="Yu Gothic"/>
          <w:b/>
          <w:bCs/>
          <w:sz w:val="20"/>
          <w:szCs w:val="20"/>
        </w:rPr>
        <w:t>with</w:t>
      </w:r>
      <w:r w:rsidR="00AB038A">
        <w:rPr>
          <w:rFonts w:ascii="Yu Gothic" w:eastAsia="Yu Gothic" w:hAnsi="Yu Gothic"/>
          <w:b/>
          <w:bCs/>
          <w:sz w:val="20"/>
          <w:szCs w:val="20"/>
        </w:rPr>
        <w:t xml:space="preserve"> both </w:t>
      </w:r>
      <w:r w:rsidR="00D06579" w:rsidRPr="001B198D">
        <w:rPr>
          <w:rFonts w:ascii="Yu Gothic" w:eastAsia="Yu Gothic" w:hAnsi="Yu Gothic"/>
          <w:b/>
          <w:bCs/>
          <w:sz w:val="20"/>
          <w:szCs w:val="20"/>
        </w:rPr>
        <w:t>exports and imports</w:t>
      </w:r>
      <w:r w:rsidR="008C0F18" w:rsidRPr="008C0F18">
        <w:rPr>
          <w:rFonts w:ascii="Yu Gothic" w:eastAsia="Yu Gothic" w:hAnsi="Yu Gothic" w:hint="eastAsia"/>
          <w:b/>
          <w:bCs/>
          <w:sz w:val="20"/>
          <w:szCs w:val="20"/>
        </w:rPr>
        <w:t xml:space="preserve"> </w:t>
      </w:r>
      <w:r w:rsidR="00384F7D">
        <w:rPr>
          <w:rFonts w:ascii="Yu Gothic" w:eastAsia="Yu Gothic" w:hAnsi="Yu Gothic"/>
          <w:b/>
          <w:bCs/>
          <w:sz w:val="20"/>
          <w:szCs w:val="20"/>
        </w:rPr>
        <w:t xml:space="preserve">recording moderate growth </w:t>
      </w:r>
      <w:r w:rsidR="008C0F18" w:rsidRPr="008C0F18">
        <w:rPr>
          <w:rFonts w:ascii="Yu Gothic" w:eastAsia="Yu Gothic" w:hAnsi="Yu Gothic" w:hint="eastAsia"/>
          <w:b/>
          <w:bCs/>
          <w:sz w:val="20"/>
          <w:szCs w:val="20"/>
        </w:rPr>
        <w:t>compared to Q2 2025</w:t>
      </w:r>
      <w:r w:rsidR="00D06579" w:rsidRPr="001B198D">
        <w:rPr>
          <w:rFonts w:ascii="Yu Gothic" w:eastAsia="Yu Gothic" w:hAnsi="Yu Gothic"/>
          <w:sz w:val="20"/>
          <w:szCs w:val="20"/>
        </w:rPr>
        <w:t>.</w:t>
      </w:r>
      <w:bookmarkEnd w:id="0"/>
      <w:r w:rsidR="00D06579" w:rsidRPr="001B198D">
        <w:rPr>
          <w:rFonts w:ascii="Yu Gothic" w:eastAsia="Yu Gothic" w:hAnsi="Yu Gothic"/>
          <w:sz w:val="20"/>
          <w:szCs w:val="20"/>
        </w:rPr>
        <w:t xml:space="preserve"> </w:t>
      </w:r>
      <w:r w:rsidR="000849AF" w:rsidRPr="001B198D">
        <w:rPr>
          <w:rFonts w:ascii="Yu Gothic" w:eastAsia="Yu Gothic" w:hAnsi="Yu Gothic"/>
          <w:sz w:val="20"/>
          <w:szCs w:val="20"/>
        </w:rPr>
        <w:t>Merchandise trade in the European Union strengthened, with exports up</w:t>
      </w:r>
      <w:r w:rsidR="00055666">
        <w:rPr>
          <w:rFonts w:ascii="Yu Gothic" w:eastAsia="Yu Gothic" w:hAnsi="Yu Gothic"/>
          <w:sz w:val="20"/>
          <w:szCs w:val="20"/>
        </w:rPr>
        <w:t xml:space="preserve"> by</w:t>
      </w:r>
      <w:r w:rsidR="000849AF" w:rsidRPr="001B198D">
        <w:rPr>
          <w:rFonts w:ascii="Yu Gothic" w:eastAsia="Yu Gothic" w:hAnsi="Yu Gothic"/>
          <w:sz w:val="20"/>
          <w:szCs w:val="20"/>
        </w:rPr>
        <w:t xml:space="preserve"> 3.2% and imports </w:t>
      </w:r>
      <w:r w:rsidR="00055666">
        <w:rPr>
          <w:rFonts w:ascii="Yu Gothic" w:eastAsia="Yu Gothic" w:hAnsi="Yu Gothic"/>
          <w:sz w:val="20"/>
          <w:szCs w:val="20"/>
        </w:rPr>
        <w:t>by</w:t>
      </w:r>
      <w:r w:rsidR="000849AF" w:rsidRPr="001B198D">
        <w:rPr>
          <w:rFonts w:ascii="Yu Gothic" w:eastAsia="Yu Gothic" w:hAnsi="Yu Gothic"/>
          <w:sz w:val="20"/>
          <w:szCs w:val="20"/>
        </w:rPr>
        <w:t xml:space="preserve"> 2.9%, marking the third consecutive quarterly increase. Exports rose sharply in France (6.5%) and Italy (4.5%), largely driven by aeronautical products in France and by transport equipment and pharmaceuticals in Italy</w:t>
      </w:r>
      <w:r w:rsidR="00C53FDD" w:rsidRPr="001B198D">
        <w:rPr>
          <w:rFonts w:ascii="Yu Gothic" w:eastAsia="Yu Gothic" w:hAnsi="Yu Gothic"/>
          <w:sz w:val="20"/>
          <w:szCs w:val="20"/>
        </w:rPr>
        <w:t xml:space="preserve">. </w:t>
      </w:r>
      <w:r w:rsidR="00C40A01" w:rsidRPr="001B198D">
        <w:rPr>
          <w:rFonts w:ascii="Yu Gothic" w:eastAsia="Yu Gothic" w:hAnsi="Yu Gothic"/>
          <w:sz w:val="20"/>
          <w:szCs w:val="20"/>
        </w:rPr>
        <w:t>Germany saw exports and imports increase by 2.8% and 3.7%, respectively.</w:t>
      </w:r>
      <w:r w:rsidR="00C40A01">
        <w:rPr>
          <w:rFonts w:ascii="Yu Gothic" w:eastAsia="Yu Gothic" w:hAnsi="Yu Gothic"/>
          <w:sz w:val="20"/>
          <w:szCs w:val="20"/>
        </w:rPr>
        <w:t xml:space="preserve"> </w:t>
      </w:r>
      <w:r w:rsidR="00C53FDD" w:rsidRPr="001B198D">
        <w:rPr>
          <w:rFonts w:ascii="Yu Gothic" w:eastAsia="Yu Gothic" w:hAnsi="Yu Gothic"/>
          <w:sz w:val="20"/>
          <w:szCs w:val="20"/>
        </w:rPr>
        <w:t>I</w:t>
      </w:r>
      <w:r w:rsidR="000849AF" w:rsidRPr="001B198D">
        <w:rPr>
          <w:rFonts w:ascii="Yu Gothic" w:eastAsia="Yu Gothic" w:hAnsi="Yu Gothic"/>
          <w:sz w:val="20"/>
          <w:szCs w:val="20"/>
        </w:rPr>
        <w:t>n the United Kingdom</w:t>
      </w:r>
      <w:r w:rsidR="005132BC">
        <w:rPr>
          <w:rFonts w:ascii="Yu Gothic" w:eastAsia="Yu Gothic" w:hAnsi="Yu Gothic"/>
          <w:sz w:val="20"/>
          <w:szCs w:val="20"/>
        </w:rPr>
        <w:t>,</w:t>
      </w:r>
      <w:r w:rsidR="000849AF" w:rsidRPr="001B198D">
        <w:rPr>
          <w:rFonts w:ascii="Yu Gothic" w:eastAsia="Yu Gothic" w:hAnsi="Yu Gothic"/>
          <w:sz w:val="20"/>
          <w:szCs w:val="20"/>
        </w:rPr>
        <w:t xml:space="preserve"> exports </w:t>
      </w:r>
      <w:r w:rsidR="00C53FDD" w:rsidRPr="001B198D">
        <w:rPr>
          <w:rFonts w:ascii="Yu Gothic" w:eastAsia="Yu Gothic" w:hAnsi="Yu Gothic"/>
          <w:sz w:val="20"/>
          <w:szCs w:val="20"/>
        </w:rPr>
        <w:t>slightly decreased</w:t>
      </w:r>
      <w:r w:rsidR="000849AF" w:rsidRPr="001B198D">
        <w:rPr>
          <w:rFonts w:ascii="Yu Gothic" w:eastAsia="Yu Gothic" w:hAnsi="Yu Gothic"/>
          <w:sz w:val="20"/>
          <w:szCs w:val="20"/>
        </w:rPr>
        <w:t xml:space="preserve"> </w:t>
      </w:r>
      <w:r w:rsidR="00C53FDD" w:rsidRPr="001B198D">
        <w:rPr>
          <w:rFonts w:ascii="Yu Gothic" w:eastAsia="Yu Gothic" w:hAnsi="Yu Gothic"/>
          <w:sz w:val="20"/>
          <w:szCs w:val="20"/>
        </w:rPr>
        <w:t>while</w:t>
      </w:r>
      <w:r w:rsidR="000849AF" w:rsidRPr="001B198D">
        <w:rPr>
          <w:rFonts w:ascii="Yu Gothic" w:eastAsia="Yu Gothic" w:hAnsi="Yu Gothic"/>
          <w:sz w:val="20"/>
          <w:szCs w:val="20"/>
        </w:rPr>
        <w:t xml:space="preserve"> imports increased </w:t>
      </w:r>
      <w:r w:rsidR="00DE6CDB">
        <w:rPr>
          <w:rFonts w:ascii="Yu Gothic" w:eastAsia="Yu Gothic" w:hAnsi="Yu Gothic"/>
          <w:sz w:val="20"/>
          <w:szCs w:val="20"/>
        </w:rPr>
        <w:t>markedly</w:t>
      </w:r>
      <w:r w:rsidR="00F2705D" w:rsidRPr="001B198D">
        <w:rPr>
          <w:rFonts w:ascii="Yu Gothic" w:eastAsia="Yu Gothic" w:hAnsi="Yu Gothic"/>
          <w:sz w:val="20"/>
          <w:szCs w:val="20"/>
        </w:rPr>
        <w:t xml:space="preserve"> in</w:t>
      </w:r>
      <w:r w:rsidR="000849AF" w:rsidRPr="001B198D">
        <w:rPr>
          <w:rFonts w:ascii="Yu Gothic" w:eastAsia="Yu Gothic" w:hAnsi="Yu Gothic"/>
          <w:sz w:val="20"/>
          <w:szCs w:val="20"/>
        </w:rPr>
        <w:t xml:space="preserve"> aircraft and motor vehicles. </w:t>
      </w:r>
      <w:r w:rsidR="005F602E" w:rsidRPr="001B198D">
        <w:rPr>
          <w:rFonts w:ascii="Yu Gothic" w:eastAsia="Yu Gothic" w:hAnsi="Yu Gothic"/>
          <w:sz w:val="20"/>
          <w:szCs w:val="20"/>
        </w:rPr>
        <w:t xml:space="preserve">In East Asia, merchandise trade </w:t>
      </w:r>
      <w:r w:rsidR="00090BF2" w:rsidRPr="001B198D">
        <w:rPr>
          <w:rFonts w:ascii="Yu Gothic" w:eastAsia="Yu Gothic" w:hAnsi="Yu Gothic"/>
          <w:sz w:val="20"/>
          <w:szCs w:val="20"/>
        </w:rPr>
        <w:t xml:space="preserve">showed </w:t>
      </w:r>
      <w:r w:rsidR="005F602E" w:rsidRPr="001B198D">
        <w:rPr>
          <w:rFonts w:ascii="Yu Gothic" w:eastAsia="Yu Gothic" w:hAnsi="Yu Gothic"/>
          <w:sz w:val="20"/>
          <w:szCs w:val="20"/>
        </w:rPr>
        <w:t xml:space="preserve">mixed results. </w:t>
      </w:r>
      <w:r w:rsidR="000849AF" w:rsidRPr="001B198D">
        <w:rPr>
          <w:rFonts w:ascii="Yu Gothic" w:eastAsia="Yu Gothic" w:hAnsi="Yu Gothic"/>
          <w:sz w:val="20"/>
          <w:szCs w:val="20"/>
        </w:rPr>
        <w:t>Korea recorded robust</w:t>
      </w:r>
      <w:r w:rsidR="00090BF2" w:rsidRPr="001B198D">
        <w:rPr>
          <w:rFonts w:ascii="Yu Gothic" w:eastAsia="Yu Gothic" w:hAnsi="Yu Gothic"/>
          <w:sz w:val="20"/>
          <w:szCs w:val="20"/>
        </w:rPr>
        <w:t xml:space="preserve"> </w:t>
      </w:r>
      <w:r w:rsidR="000849AF" w:rsidRPr="001B198D">
        <w:rPr>
          <w:rFonts w:ascii="Yu Gothic" w:eastAsia="Yu Gothic" w:hAnsi="Yu Gothic"/>
          <w:sz w:val="20"/>
          <w:szCs w:val="20"/>
        </w:rPr>
        <w:t>growth</w:t>
      </w:r>
      <w:r w:rsidR="00090BF2" w:rsidRPr="001B198D">
        <w:rPr>
          <w:rFonts w:ascii="Yu Gothic" w:eastAsia="Yu Gothic" w:hAnsi="Yu Gothic"/>
          <w:sz w:val="20"/>
          <w:szCs w:val="20"/>
        </w:rPr>
        <w:t xml:space="preserve"> </w:t>
      </w:r>
      <w:r w:rsidR="000849AF" w:rsidRPr="001B198D">
        <w:rPr>
          <w:rFonts w:ascii="Yu Gothic" w:eastAsia="Yu Gothic" w:hAnsi="Yu Gothic"/>
          <w:sz w:val="20"/>
          <w:szCs w:val="20"/>
        </w:rPr>
        <w:t xml:space="preserve">in both </w:t>
      </w:r>
      <w:r w:rsidR="00090BF2" w:rsidRPr="001B198D">
        <w:rPr>
          <w:rFonts w:ascii="Yu Gothic" w:eastAsia="Yu Gothic" w:hAnsi="Yu Gothic"/>
          <w:sz w:val="20"/>
          <w:szCs w:val="20"/>
        </w:rPr>
        <w:t>exports</w:t>
      </w:r>
      <w:r w:rsidR="00C01902" w:rsidRPr="001B198D">
        <w:rPr>
          <w:rFonts w:ascii="Yu Gothic" w:eastAsia="Yu Gothic" w:hAnsi="Yu Gothic"/>
          <w:sz w:val="20"/>
          <w:szCs w:val="20"/>
        </w:rPr>
        <w:t xml:space="preserve"> (4.8%)</w:t>
      </w:r>
      <w:r w:rsidR="00090BF2" w:rsidRPr="001B198D">
        <w:rPr>
          <w:rFonts w:ascii="Yu Gothic" w:eastAsia="Yu Gothic" w:hAnsi="Yu Gothic"/>
          <w:sz w:val="20"/>
          <w:szCs w:val="20"/>
        </w:rPr>
        <w:t xml:space="preserve"> and imports</w:t>
      </w:r>
      <w:r w:rsidR="00C01902" w:rsidRPr="001B198D">
        <w:rPr>
          <w:rFonts w:ascii="Yu Gothic" w:eastAsia="Yu Gothic" w:hAnsi="Yu Gothic"/>
          <w:sz w:val="20"/>
          <w:szCs w:val="20"/>
        </w:rPr>
        <w:t xml:space="preserve"> (4.9%)</w:t>
      </w:r>
      <w:r w:rsidR="000849AF" w:rsidRPr="001B198D">
        <w:rPr>
          <w:rFonts w:ascii="Yu Gothic" w:eastAsia="Yu Gothic" w:hAnsi="Yu Gothic"/>
          <w:sz w:val="20"/>
          <w:szCs w:val="20"/>
        </w:rPr>
        <w:t xml:space="preserve">, supported by strong demand for semiconductors and automobiles. Conversely, Japan saw declines in both exports (-1.6%) and imports (-2.0%), </w:t>
      </w:r>
      <w:r w:rsidR="00463C57" w:rsidRPr="001B198D">
        <w:rPr>
          <w:rFonts w:ascii="Yu Gothic" w:eastAsia="Yu Gothic" w:hAnsi="Yu Gothic"/>
          <w:sz w:val="20"/>
          <w:szCs w:val="20"/>
        </w:rPr>
        <w:t xml:space="preserve">with </w:t>
      </w:r>
      <w:r w:rsidR="00F2705D" w:rsidRPr="001B198D">
        <w:rPr>
          <w:rFonts w:ascii="Yu Gothic" w:eastAsia="Yu Gothic" w:hAnsi="Yu Gothic"/>
          <w:sz w:val="20"/>
          <w:szCs w:val="20"/>
        </w:rPr>
        <w:t xml:space="preserve">lower </w:t>
      </w:r>
      <w:r w:rsidR="000849AF" w:rsidRPr="001B198D">
        <w:rPr>
          <w:rFonts w:ascii="Yu Gothic" w:eastAsia="Yu Gothic" w:hAnsi="Yu Gothic"/>
          <w:sz w:val="20"/>
          <w:szCs w:val="20"/>
        </w:rPr>
        <w:t>sales of cars and medical products</w:t>
      </w:r>
      <w:r w:rsidR="00463C57" w:rsidRPr="001B198D">
        <w:rPr>
          <w:rFonts w:ascii="Yu Gothic" w:eastAsia="Yu Gothic" w:hAnsi="Yu Gothic"/>
          <w:sz w:val="20"/>
          <w:szCs w:val="20"/>
        </w:rPr>
        <w:t xml:space="preserve"> weighing on export </w:t>
      </w:r>
      <w:r w:rsidR="00F2705D" w:rsidRPr="001B198D">
        <w:rPr>
          <w:rFonts w:ascii="Yu Gothic" w:eastAsia="Yu Gothic" w:hAnsi="Yu Gothic"/>
          <w:sz w:val="20"/>
          <w:szCs w:val="20"/>
        </w:rPr>
        <w:t>performance</w:t>
      </w:r>
      <w:r w:rsidR="000849AF" w:rsidRPr="001B198D">
        <w:rPr>
          <w:rFonts w:ascii="Yu Gothic" w:eastAsia="Yu Gothic" w:hAnsi="Yu Gothic"/>
          <w:sz w:val="20"/>
          <w:szCs w:val="20"/>
        </w:rPr>
        <w:t xml:space="preserve">. In China, merchandise </w:t>
      </w:r>
      <w:r w:rsidR="005F602E" w:rsidRPr="001B198D">
        <w:rPr>
          <w:rFonts w:ascii="Yu Gothic" w:eastAsia="Yu Gothic" w:hAnsi="Yu Gothic"/>
          <w:sz w:val="20"/>
          <w:szCs w:val="20"/>
        </w:rPr>
        <w:t xml:space="preserve">exports </w:t>
      </w:r>
      <w:r w:rsidR="00D06579" w:rsidRPr="001B198D">
        <w:rPr>
          <w:rFonts w:ascii="Yu Gothic" w:eastAsia="Yu Gothic" w:hAnsi="Yu Gothic"/>
          <w:sz w:val="20"/>
          <w:szCs w:val="20"/>
        </w:rPr>
        <w:t xml:space="preserve">declined by 0.7%, </w:t>
      </w:r>
      <w:r w:rsidR="005F602E" w:rsidRPr="001B198D">
        <w:rPr>
          <w:rFonts w:ascii="Yu Gothic" w:eastAsia="Yu Gothic" w:hAnsi="Yu Gothic"/>
          <w:sz w:val="20"/>
          <w:szCs w:val="20"/>
        </w:rPr>
        <w:t xml:space="preserve">while imports rose by 3.8% on the back of stronger demand for aircraft, integrated circuits and other </w:t>
      </w:r>
      <w:r w:rsidR="00724EB9" w:rsidRPr="001B198D">
        <w:rPr>
          <w:rFonts w:ascii="Yu Gothic" w:eastAsia="Yu Gothic" w:hAnsi="Yu Gothic"/>
          <w:sz w:val="20"/>
          <w:szCs w:val="20"/>
        </w:rPr>
        <w:t>high</w:t>
      </w:r>
      <w:r w:rsidR="000849AF" w:rsidRPr="001B198D">
        <w:rPr>
          <w:rFonts w:ascii="Yu Gothic" w:eastAsia="Yu Gothic" w:hAnsi="Yu Gothic"/>
          <w:sz w:val="20"/>
          <w:szCs w:val="20"/>
        </w:rPr>
        <w:noBreakHyphen/>
      </w:r>
      <w:r w:rsidR="00724EB9" w:rsidRPr="001B198D">
        <w:rPr>
          <w:rFonts w:ascii="Yu Gothic" w:eastAsia="Yu Gothic" w:hAnsi="Yu Gothic"/>
          <w:sz w:val="20"/>
          <w:szCs w:val="20"/>
        </w:rPr>
        <w:t>tech</w:t>
      </w:r>
      <w:r w:rsidR="005F602E" w:rsidRPr="001B198D">
        <w:rPr>
          <w:rFonts w:ascii="Yu Gothic" w:eastAsia="Yu Gothic" w:hAnsi="Yu Gothic"/>
          <w:sz w:val="20"/>
          <w:szCs w:val="20"/>
        </w:rPr>
        <w:t xml:space="preserve"> products.</w:t>
      </w:r>
      <w:r w:rsidR="00724EB9" w:rsidRPr="001B198D">
        <w:rPr>
          <w:rFonts w:ascii="Yu Gothic" w:eastAsia="Yu Gothic" w:hAnsi="Yu Gothic"/>
          <w:sz w:val="20"/>
          <w:szCs w:val="20"/>
        </w:rPr>
        <w:t xml:space="preserve"> </w:t>
      </w:r>
      <w:r w:rsidR="000849AF" w:rsidRPr="001B198D">
        <w:rPr>
          <w:rFonts w:ascii="Yu Gothic" w:eastAsia="Yu Gothic" w:hAnsi="Yu Gothic"/>
          <w:sz w:val="20"/>
          <w:szCs w:val="20"/>
        </w:rPr>
        <w:t>In the Americas, most</w:t>
      </w:r>
      <w:r w:rsidR="000849AF" w:rsidRPr="001B198D" w:rsidDel="005132BC">
        <w:rPr>
          <w:rFonts w:ascii="Yu Gothic" w:eastAsia="Yu Gothic" w:hAnsi="Yu Gothic"/>
          <w:sz w:val="20"/>
          <w:szCs w:val="20"/>
        </w:rPr>
        <w:t xml:space="preserve"> </w:t>
      </w:r>
      <w:r w:rsidR="000849AF" w:rsidRPr="001B198D">
        <w:rPr>
          <w:rFonts w:ascii="Yu Gothic" w:eastAsia="Yu Gothic" w:hAnsi="Yu Gothic"/>
          <w:sz w:val="20"/>
          <w:szCs w:val="20"/>
        </w:rPr>
        <w:t xml:space="preserve">economies with available data </w:t>
      </w:r>
      <w:r w:rsidR="005132BC">
        <w:rPr>
          <w:rFonts w:ascii="Yu Gothic" w:eastAsia="Yu Gothic" w:hAnsi="Yu Gothic"/>
          <w:sz w:val="20"/>
          <w:szCs w:val="20"/>
        </w:rPr>
        <w:t>recorded</w:t>
      </w:r>
      <w:r w:rsidR="005132BC" w:rsidRPr="001B198D">
        <w:rPr>
          <w:rFonts w:ascii="Yu Gothic" w:eastAsia="Yu Gothic" w:hAnsi="Yu Gothic"/>
          <w:sz w:val="20"/>
          <w:szCs w:val="20"/>
        </w:rPr>
        <w:t xml:space="preserve"> </w:t>
      </w:r>
      <w:proofErr w:type="gramStart"/>
      <w:r w:rsidR="005F602E" w:rsidRPr="001B198D">
        <w:rPr>
          <w:rFonts w:ascii="Yu Gothic" w:eastAsia="Yu Gothic" w:hAnsi="Yu Gothic"/>
          <w:sz w:val="20"/>
          <w:szCs w:val="20"/>
        </w:rPr>
        <w:t xml:space="preserve">positive </w:t>
      </w:r>
      <w:r w:rsidR="00F2705D" w:rsidRPr="001B198D">
        <w:rPr>
          <w:rFonts w:ascii="Yu Gothic" w:eastAsia="Yu Gothic" w:hAnsi="Yu Gothic"/>
          <w:sz w:val="20"/>
          <w:szCs w:val="20"/>
        </w:rPr>
        <w:t>growth</w:t>
      </w:r>
      <w:proofErr w:type="gramEnd"/>
      <w:r w:rsidR="005F602E" w:rsidRPr="001B198D">
        <w:rPr>
          <w:rFonts w:ascii="Yu Gothic" w:eastAsia="Yu Gothic" w:hAnsi="Yu Gothic"/>
          <w:sz w:val="20"/>
          <w:szCs w:val="20"/>
        </w:rPr>
        <w:t xml:space="preserve">. </w:t>
      </w:r>
      <w:r w:rsidR="00744250" w:rsidRPr="001B198D">
        <w:rPr>
          <w:rFonts w:ascii="Yu Gothic" w:eastAsia="Yu Gothic" w:hAnsi="Yu Gothic"/>
          <w:sz w:val="20"/>
          <w:szCs w:val="20"/>
        </w:rPr>
        <w:t xml:space="preserve">Partly driven by higher shipments </w:t>
      </w:r>
      <w:r w:rsidR="00F2705D" w:rsidRPr="001B198D">
        <w:rPr>
          <w:rFonts w:ascii="Yu Gothic" w:eastAsia="Yu Gothic" w:hAnsi="Yu Gothic"/>
          <w:sz w:val="20"/>
          <w:szCs w:val="20"/>
        </w:rPr>
        <w:t xml:space="preserve">of </w:t>
      </w:r>
      <w:r w:rsidR="00744250" w:rsidRPr="001B198D">
        <w:rPr>
          <w:rFonts w:ascii="Yu Gothic" w:eastAsia="Yu Gothic" w:hAnsi="Yu Gothic"/>
          <w:sz w:val="20"/>
          <w:szCs w:val="20"/>
        </w:rPr>
        <w:t xml:space="preserve">mechanical and electrical machinery, exports from </w:t>
      </w:r>
      <w:r w:rsidR="005F602E" w:rsidRPr="001B198D">
        <w:rPr>
          <w:rFonts w:ascii="Yu Gothic" w:eastAsia="Yu Gothic" w:hAnsi="Yu Gothic"/>
          <w:sz w:val="20"/>
          <w:szCs w:val="20"/>
        </w:rPr>
        <w:t xml:space="preserve">Mexico </w:t>
      </w:r>
      <w:r w:rsidR="00744250" w:rsidRPr="001B198D">
        <w:rPr>
          <w:rFonts w:ascii="Yu Gothic" w:eastAsia="Yu Gothic" w:hAnsi="Yu Gothic"/>
          <w:sz w:val="20"/>
          <w:szCs w:val="20"/>
        </w:rPr>
        <w:t xml:space="preserve">rose by 3.3%. </w:t>
      </w:r>
      <w:r w:rsidR="005F602E" w:rsidRPr="001B198D">
        <w:rPr>
          <w:rFonts w:ascii="Yu Gothic" w:eastAsia="Yu Gothic" w:hAnsi="Yu Gothic"/>
          <w:sz w:val="20"/>
          <w:szCs w:val="20"/>
        </w:rPr>
        <w:t>Argentina posted a 10.6% rise in exports, supported by agricultural and petroleum</w:t>
      </w:r>
      <w:r w:rsidR="00744250" w:rsidRPr="001B198D">
        <w:rPr>
          <w:rFonts w:ascii="Yu Gothic" w:eastAsia="Yu Gothic" w:hAnsi="Yu Gothic"/>
          <w:sz w:val="20"/>
          <w:szCs w:val="20"/>
        </w:rPr>
        <w:noBreakHyphen/>
      </w:r>
      <w:r w:rsidR="005F602E" w:rsidRPr="001B198D">
        <w:rPr>
          <w:rFonts w:ascii="Yu Gothic" w:eastAsia="Yu Gothic" w:hAnsi="Yu Gothic"/>
          <w:sz w:val="20"/>
          <w:szCs w:val="20"/>
        </w:rPr>
        <w:t xml:space="preserve">related products. </w:t>
      </w:r>
      <w:r w:rsidR="00744250" w:rsidRPr="001B198D">
        <w:rPr>
          <w:rFonts w:ascii="Yu Gothic" w:eastAsia="Yu Gothic" w:hAnsi="Yu Gothic"/>
          <w:sz w:val="20"/>
          <w:szCs w:val="20"/>
        </w:rPr>
        <w:t xml:space="preserve">Similarly, </w:t>
      </w:r>
      <w:r w:rsidR="005F602E" w:rsidRPr="001B198D">
        <w:rPr>
          <w:rFonts w:ascii="Yu Gothic" w:eastAsia="Yu Gothic" w:hAnsi="Yu Gothic"/>
          <w:sz w:val="20"/>
          <w:szCs w:val="20"/>
        </w:rPr>
        <w:t>exports</w:t>
      </w:r>
      <w:r w:rsidR="00744250" w:rsidRPr="001B198D">
        <w:rPr>
          <w:rFonts w:ascii="Yu Gothic" w:eastAsia="Yu Gothic" w:hAnsi="Yu Gothic"/>
          <w:sz w:val="20"/>
          <w:szCs w:val="20"/>
        </w:rPr>
        <w:t xml:space="preserve"> grew by</w:t>
      </w:r>
      <w:r w:rsidR="00724EB9" w:rsidRPr="001B198D">
        <w:rPr>
          <w:rFonts w:ascii="Yu Gothic" w:eastAsia="Yu Gothic" w:hAnsi="Yu Gothic"/>
          <w:sz w:val="20"/>
          <w:szCs w:val="20"/>
        </w:rPr>
        <w:t xml:space="preserve"> 4.3%</w:t>
      </w:r>
      <w:r w:rsidR="00744250" w:rsidRPr="001B198D">
        <w:rPr>
          <w:rFonts w:ascii="Yu Gothic" w:eastAsia="Yu Gothic" w:hAnsi="Yu Gothic"/>
          <w:sz w:val="20"/>
          <w:szCs w:val="20"/>
        </w:rPr>
        <w:t xml:space="preserve"> in Brazil</w:t>
      </w:r>
      <w:r w:rsidR="005F602E" w:rsidRPr="001B198D">
        <w:rPr>
          <w:rFonts w:ascii="Yu Gothic" w:eastAsia="Yu Gothic" w:hAnsi="Yu Gothic"/>
          <w:sz w:val="20"/>
          <w:szCs w:val="20"/>
        </w:rPr>
        <w:t xml:space="preserve">, </w:t>
      </w:r>
      <w:r w:rsidR="00744250" w:rsidRPr="001B198D">
        <w:rPr>
          <w:rFonts w:ascii="Yu Gothic" w:eastAsia="Yu Gothic" w:hAnsi="Yu Gothic"/>
          <w:sz w:val="20"/>
          <w:szCs w:val="20"/>
        </w:rPr>
        <w:t xml:space="preserve">with </w:t>
      </w:r>
      <w:r w:rsidR="005F602E" w:rsidRPr="001B198D">
        <w:rPr>
          <w:rFonts w:ascii="Yu Gothic" w:eastAsia="Yu Gothic" w:hAnsi="Yu Gothic"/>
          <w:sz w:val="20"/>
          <w:szCs w:val="20"/>
        </w:rPr>
        <w:t>imports</w:t>
      </w:r>
      <w:r w:rsidR="00744250" w:rsidRPr="001B198D">
        <w:rPr>
          <w:rFonts w:ascii="Yu Gothic" w:eastAsia="Yu Gothic" w:hAnsi="Yu Gothic"/>
          <w:sz w:val="20"/>
          <w:szCs w:val="20"/>
        </w:rPr>
        <w:t xml:space="preserve"> also</w:t>
      </w:r>
      <w:r w:rsidR="005F602E" w:rsidRPr="001B198D">
        <w:rPr>
          <w:rFonts w:ascii="Yu Gothic" w:eastAsia="Yu Gothic" w:hAnsi="Yu Gothic"/>
          <w:sz w:val="20"/>
          <w:szCs w:val="20"/>
        </w:rPr>
        <w:t xml:space="preserve"> r</w:t>
      </w:r>
      <w:r w:rsidR="00744250" w:rsidRPr="001B198D">
        <w:rPr>
          <w:rFonts w:ascii="Yu Gothic" w:eastAsia="Yu Gothic" w:hAnsi="Yu Gothic"/>
          <w:sz w:val="20"/>
          <w:szCs w:val="20"/>
        </w:rPr>
        <w:t>ising</w:t>
      </w:r>
      <w:r w:rsidR="005F602E" w:rsidRPr="001B198D">
        <w:rPr>
          <w:rFonts w:ascii="Yu Gothic" w:eastAsia="Yu Gothic" w:hAnsi="Yu Gothic"/>
          <w:sz w:val="20"/>
          <w:szCs w:val="20"/>
        </w:rPr>
        <w:t xml:space="preserve"> due to </w:t>
      </w:r>
      <w:r w:rsidR="00744250" w:rsidRPr="001B198D">
        <w:rPr>
          <w:rFonts w:ascii="Yu Gothic" w:eastAsia="Yu Gothic" w:hAnsi="Yu Gothic"/>
          <w:sz w:val="20"/>
          <w:szCs w:val="20"/>
        </w:rPr>
        <w:t>higher</w:t>
      </w:r>
      <w:r w:rsidR="005F602E" w:rsidRPr="001B198D">
        <w:rPr>
          <w:rFonts w:ascii="Yu Gothic" w:eastAsia="Yu Gothic" w:hAnsi="Yu Gothic"/>
          <w:sz w:val="20"/>
          <w:szCs w:val="20"/>
        </w:rPr>
        <w:t xml:space="preserve"> purchases of ships and boats, mineral fuels and fertilisers.</w:t>
      </w:r>
    </w:p>
    <w:p w14:paraId="5EAD9B10" w14:textId="61483936" w:rsidR="00023235" w:rsidRPr="001B198D" w:rsidRDefault="008642DB" w:rsidP="00365A64">
      <w:pPr>
        <w:spacing w:after="120" w:line="240" w:lineRule="exact"/>
        <w:jc w:val="both"/>
        <w:rPr>
          <w:rFonts w:ascii="Yu Gothic" w:eastAsia="Yu Gothic" w:hAnsi="Yu Gothic"/>
          <w:sz w:val="20"/>
          <w:szCs w:val="20"/>
        </w:rPr>
      </w:pPr>
      <w:r w:rsidRPr="00384F7D">
        <w:rPr>
          <w:rFonts w:ascii="Yu Gothic" w:eastAsia="Yu Gothic" w:hAnsi="Yu Gothic"/>
          <w:b/>
          <w:bCs/>
          <w:sz w:val="20"/>
          <w:szCs w:val="20"/>
        </w:rPr>
        <w:t xml:space="preserve">Both </w:t>
      </w:r>
      <w:r w:rsidR="008C0F18" w:rsidRPr="00384F7D">
        <w:rPr>
          <w:rFonts w:ascii="Yu Gothic" w:eastAsia="Yu Gothic" w:hAnsi="Yu Gothic"/>
          <w:b/>
          <w:bCs/>
          <w:sz w:val="20"/>
          <w:szCs w:val="20"/>
        </w:rPr>
        <w:t>s</w:t>
      </w:r>
      <w:r w:rsidR="00ED1655" w:rsidRPr="00384F7D">
        <w:rPr>
          <w:rFonts w:ascii="Yu Gothic" w:eastAsia="Yu Gothic" w:hAnsi="Yu Gothic"/>
          <w:b/>
          <w:bCs/>
          <w:sz w:val="20"/>
          <w:szCs w:val="20"/>
        </w:rPr>
        <w:t xml:space="preserve">ervices </w:t>
      </w:r>
      <w:r w:rsidRPr="00384F7D">
        <w:rPr>
          <w:rFonts w:ascii="Yu Gothic" w:eastAsia="Yu Gothic" w:hAnsi="Yu Gothic"/>
          <w:b/>
          <w:bCs/>
          <w:sz w:val="20"/>
          <w:szCs w:val="20"/>
        </w:rPr>
        <w:t>exports and imports con</w:t>
      </w:r>
      <w:r w:rsidR="007E6AC7" w:rsidRPr="00384F7D">
        <w:rPr>
          <w:rFonts w:ascii="Yu Gothic" w:eastAsia="Yu Gothic" w:hAnsi="Yu Gothic"/>
          <w:b/>
          <w:bCs/>
          <w:sz w:val="20"/>
          <w:szCs w:val="20"/>
        </w:rPr>
        <w:t xml:space="preserve">tinued to grow </w:t>
      </w:r>
      <w:r w:rsidR="008C0F18" w:rsidRPr="00384F7D">
        <w:rPr>
          <w:rFonts w:ascii="Yu Gothic" w:eastAsia="Yu Gothic" w:hAnsi="Yu Gothic"/>
          <w:b/>
          <w:bCs/>
          <w:sz w:val="20"/>
          <w:szCs w:val="20"/>
        </w:rPr>
        <w:t>during</w:t>
      </w:r>
      <w:r w:rsidR="007E6AC7" w:rsidRPr="00384F7D">
        <w:rPr>
          <w:rFonts w:ascii="Yu Gothic" w:eastAsia="Yu Gothic" w:hAnsi="Yu Gothic"/>
          <w:b/>
          <w:bCs/>
          <w:sz w:val="20"/>
          <w:szCs w:val="20"/>
        </w:rPr>
        <w:t xml:space="preserve"> </w:t>
      </w:r>
      <w:r w:rsidR="00ED1655" w:rsidRPr="00384F7D">
        <w:rPr>
          <w:rFonts w:ascii="Yu Gothic" w:eastAsia="Yu Gothic" w:hAnsi="Yu Gothic"/>
          <w:b/>
          <w:bCs/>
          <w:sz w:val="20"/>
          <w:szCs w:val="20"/>
        </w:rPr>
        <w:t>Q3 2025</w:t>
      </w:r>
      <w:r w:rsidR="007E6AC7" w:rsidRPr="00384F7D">
        <w:rPr>
          <w:rFonts w:ascii="Yu Gothic" w:eastAsia="Yu Gothic" w:hAnsi="Yu Gothic"/>
          <w:b/>
          <w:bCs/>
          <w:sz w:val="20"/>
          <w:szCs w:val="20"/>
        </w:rPr>
        <w:t xml:space="preserve"> in most countries for which data are </w:t>
      </w:r>
      <w:r w:rsidR="008C0F18" w:rsidRPr="00384F7D">
        <w:rPr>
          <w:rFonts w:ascii="Yu Gothic" w:eastAsia="Yu Gothic" w:hAnsi="Yu Gothic"/>
          <w:b/>
          <w:bCs/>
          <w:sz w:val="20"/>
          <w:szCs w:val="20"/>
        </w:rPr>
        <w:t>available</w:t>
      </w:r>
      <w:r w:rsidR="0021189A" w:rsidRPr="001B198D">
        <w:rPr>
          <w:rFonts w:ascii="Yu Gothic" w:eastAsia="Yu Gothic" w:hAnsi="Yu Gothic"/>
          <w:sz w:val="20"/>
          <w:szCs w:val="20"/>
        </w:rPr>
        <w:t xml:space="preserve">. </w:t>
      </w:r>
      <w:r w:rsidR="00B31024" w:rsidRPr="00B31024">
        <w:rPr>
          <w:rFonts w:ascii="Yu Gothic" w:eastAsia="Yu Gothic" w:hAnsi="Yu Gothic"/>
          <w:sz w:val="20"/>
          <w:szCs w:val="20"/>
        </w:rPr>
        <w:t xml:space="preserve">Travel was a key driver of services trade in several European economies in Q3. </w:t>
      </w:r>
      <w:r w:rsidR="00FF24C5" w:rsidRPr="001B198D">
        <w:rPr>
          <w:rFonts w:ascii="Yu Gothic" w:eastAsia="Yu Gothic" w:hAnsi="Yu Gothic"/>
          <w:sz w:val="20"/>
          <w:szCs w:val="20"/>
        </w:rPr>
        <w:t>In</w:t>
      </w:r>
      <w:r w:rsidR="00F8143A" w:rsidRPr="001B198D">
        <w:rPr>
          <w:rFonts w:ascii="Yu Gothic" w:eastAsia="Yu Gothic" w:hAnsi="Yu Gothic"/>
          <w:sz w:val="20"/>
          <w:szCs w:val="20"/>
        </w:rPr>
        <w:t xml:space="preserve"> France</w:t>
      </w:r>
      <w:r w:rsidR="00FF24C5" w:rsidRPr="001B198D">
        <w:rPr>
          <w:rFonts w:ascii="Yu Gothic" w:eastAsia="Yu Gothic" w:hAnsi="Yu Gothic"/>
          <w:sz w:val="20"/>
          <w:szCs w:val="20"/>
        </w:rPr>
        <w:t xml:space="preserve">, services </w:t>
      </w:r>
      <w:r w:rsidR="00F8143A" w:rsidRPr="001B198D">
        <w:rPr>
          <w:rFonts w:ascii="Yu Gothic" w:eastAsia="Yu Gothic" w:hAnsi="Yu Gothic"/>
          <w:sz w:val="20"/>
          <w:szCs w:val="20"/>
        </w:rPr>
        <w:t xml:space="preserve">exports and imports </w:t>
      </w:r>
      <w:r w:rsidR="00B31024" w:rsidRPr="00B31024">
        <w:rPr>
          <w:rFonts w:ascii="Yu Gothic" w:eastAsia="Yu Gothic" w:hAnsi="Yu Gothic"/>
          <w:sz w:val="20"/>
          <w:szCs w:val="20"/>
        </w:rPr>
        <w:t xml:space="preserve">rose by </w:t>
      </w:r>
      <w:r w:rsidR="00F8143A" w:rsidRPr="001B198D">
        <w:rPr>
          <w:rFonts w:ascii="Yu Gothic" w:eastAsia="Yu Gothic" w:hAnsi="Yu Gothic"/>
          <w:sz w:val="20"/>
          <w:szCs w:val="20"/>
        </w:rPr>
        <w:t>3.6% and 5.2</w:t>
      </w:r>
      <w:r w:rsidR="00B31024" w:rsidRPr="00B31024">
        <w:rPr>
          <w:rFonts w:ascii="Yu Gothic" w:eastAsia="Yu Gothic" w:hAnsi="Yu Gothic"/>
          <w:sz w:val="20"/>
          <w:szCs w:val="20"/>
        </w:rPr>
        <w:t xml:space="preserve">%, supported in part by stronger </w:t>
      </w:r>
      <w:r w:rsidR="00F8143A" w:rsidRPr="001B198D">
        <w:rPr>
          <w:rFonts w:ascii="Yu Gothic" w:eastAsia="Yu Gothic" w:hAnsi="Yu Gothic"/>
          <w:sz w:val="20"/>
          <w:szCs w:val="20"/>
        </w:rPr>
        <w:t xml:space="preserve">travel and business services. In Germany, services exports </w:t>
      </w:r>
      <w:r w:rsidR="00B31024" w:rsidRPr="00B31024">
        <w:rPr>
          <w:rFonts w:ascii="Yu Gothic" w:eastAsia="Yu Gothic" w:hAnsi="Yu Gothic"/>
          <w:sz w:val="20"/>
          <w:szCs w:val="20"/>
        </w:rPr>
        <w:t xml:space="preserve">increased by </w:t>
      </w:r>
      <w:r w:rsidR="00F8143A" w:rsidRPr="001B198D">
        <w:rPr>
          <w:rFonts w:ascii="Yu Gothic" w:eastAsia="Yu Gothic" w:hAnsi="Yu Gothic"/>
          <w:sz w:val="20"/>
          <w:szCs w:val="20"/>
        </w:rPr>
        <w:t>1.0</w:t>
      </w:r>
      <w:r w:rsidR="00B31024" w:rsidRPr="00B31024">
        <w:rPr>
          <w:rFonts w:ascii="Yu Gothic" w:eastAsia="Yu Gothic" w:hAnsi="Yu Gothic"/>
          <w:sz w:val="20"/>
          <w:szCs w:val="20"/>
        </w:rPr>
        <w:t>% on the back of</w:t>
      </w:r>
      <w:r w:rsidR="00F8143A" w:rsidRPr="001B198D">
        <w:rPr>
          <w:rFonts w:ascii="Yu Gothic" w:eastAsia="Yu Gothic" w:hAnsi="Yu Gothic"/>
          <w:sz w:val="20"/>
          <w:szCs w:val="20"/>
        </w:rPr>
        <w:t xml:space="preserve"> higher travel receipts, while imports fell by 0.7%</w:t>
      </w:r>
      <w:r w:rsidR="00FF24C5" w:rsidRPr="001B198D">
        <w:rPr>
          <w:rFonts w:ascii="Yu Gothic" w:eastAsia="Yu Gothic" w:hAnsi="Yu Gothic"/>
          <w:sz w:val="20"/>
          <w:szCs w:val="20"/>
        </w:rPr>
        <w:t>.</w:t>
      </w:r>
      <w:r w:rsidR="00F8143A" w:rsidRPr="001B198D">
        <w:rPr>
          <w:rFonts w:ascii="Yu Gothic" w:eastAsia="Yu Gothic" w:hAnsi="Yu Gothic"/>
          <w:sz w:val="20"/>
          <w:szCs w:val="20"/>
        </w:rPr>
        <w:t xml:space="preserve"> </w:t>
      </w:r>
      <w:r w:rsidR="00B31024" w:rsidRPr="00B31024">
        <w:rPr>
          <w:rFonts w:ascii="Yu Gothic" w:eastAsia="Yu Gothic" w:hAnsi="Yu Gothic"/>
          <w:sz w:val="20"/>
          <w:szCs w:val="20"/>
        </w:rPr>
        <w:t>In Italy, services exports posted a slight rise and imports grew by 3.0%, partly driven by increased travel spending abroad.</w:t>
      </w:r>
      <w:r w:rsidR="00B31024">
        <w:rPr>
          <w:rFonts w:ascii="Yu Gothic" w:eastAsia="Yu Gothic" w:hAnsi="Yu Gothic"/>
          <w:sz w:val="20"/>
          <w:szCs w:val="20"/>
        </w:rPr>
        <w:t xml:space="preserve"> </w:t>
      </w:r>
      <w:r w:rsidR="00F8143A" w:rsidRPr="001B198D">
        <w:rPr>
          <w:rFonts w:ascii="Yu Gothic" w:eastAsia="Yu Gothic" w:hAnsi="Yu Gothic"/>
          <w:sz w:val="20"/>
          <w:szCs w:val="20"/>
        </w:rPr>
        <w:t>The United Kingdom saw both exports and imports rise</w:t>
      </w:r>
      <w:r w:rsidR="00FF24C5" w:rsidRPr="001B198D">
        <w:rPr>
          <w:rFonts w:ascii="Yu Gothic" w:eastAsia="Yu Gothic" w:hAnsi="Yu Gothic"/>
          <w:sz w:val="20"/>
          <w:szCs w:val="20"/>
        </w:rPr>
        <w:t>,</w:t>
      </w:r>
      <w:r w:rsidR="00F8143A" w:rsidRPr="001B198D">
        <w:rPr>
          <w:rFonts w:ascii="Yu Gothic" w:eastAsia="Yu Gothic" w:hAnsi="Yu Gothic"/>
          <w:sz w:val="20"/>
          <w:szCs w:val="20"/>
        </w:rPr>
        <w:t xml:space="preserve"> </w:t>
      </w:r>
      <w:r w:rsidR="00FF24C5" w:rsidRPr="001B198D">
        <w:rPr>
          <w:rFonts w:ascii="Yu Gothic" w:eastAsia="Yu Gothic" w:hAnsi="Yu Gothic"/>
          <w:sz w:val="20"/>
          <w:szCs w:val="20"/>
        </w:rPr>
        <w:t xml:space="preserve">with </w:t>
      </w:r>
      <w:r w:rsidR="009170A8" w:rsidRPr="001B198D">
        <w:rPr>
          <w:rFonts w:ascii="Yu Gothic" w:eastAsia="Yu Gothic" w:hAnsi="Yu Gothic"/>
          <w:sz w:val="20"/>
          <w:szCs w:val="20"/>
        </w:rPr>
        <w:t>higher revenues from</w:t>
      </w:r>
      <w:r w:rsidR="00F8143A" w:rsidRPr="001B198D">
        <w:rPr>
          <w:rFonts w:ascii="Yu Gothic" w:eastAsia="Yu Gothic" w:hAnsi="Yu Gothic"/>
          <w:sz w:val="20"/>
          <w:szCs w:val="20"/>
        </w:rPr>
        <w:t xml:space="preserve"> intellectual property</w:t>
      </w:r>
      <w:r w:rsidR="009170A8" w:rsidRPr="001B198D">
        <w:rPr>
          <w:rFonts w:ascii="Yu Gothic" w:eastAsia="Yu Gothic" w:hAnsi="Yu Gothic"/>
          <w:sz w:val="20"/>
          <w:szCs w:val="20"/>
        </w:rPr>
        <w:t xml:space="preserve"> services </w:t>
      </w:r>
      <w:r w:rsidR="00FF24C5" w:rsidRPr="001B198D">
        <w:rPr>
          <w:rFonts w:ascii="Yu Gothic" w:eastAsia="Yu Gothic" w:hAnsi="Yu Gothic"/>
          <w:sz w:val="20"/>
          <w:szCs w:val="20"/>
        </w:rPr>
        <w:t>supporting export growth</w:t>
      </w:r>
      <w:r w:rsidR="00F8143A" w:rsidRPr="001B198D">
        <w:rPr>
          <w:rFonts w:ascii="Yu Gothic" w:eastAsia="Yu Gothic" w:hAnsi="Yu Gothic"/>
          <w:sz w:val="20"/>
          <w:szCs w:val="20"/>
        </w:rPr>
        <w:t>. Services exports fell sharply in Japan</w:t>
      </w:r>
      <w:r w:rsidR="008C0F18">
        <w:rPr>
          <w:rFonts w:ascii="Yu Gothic" w:eastAsia="Yu Gothic" w:hAnsi="Yu Gothic"/>
          <w:sz w:val="20"/>
          <w:szCs w:val="20"/>
        </w:rPr>
        <w:t xml:space="preserve"> </w:t>
      </w:r>
      <w:r w:rsidR="00F8143A" w:rsidRPr="001B198D">
        <w:rPr>
          <w:rFonts w:ascii="Yu Gothic" w:eastAsia="Yu Gothic" w:hAnsi="Yu Gothic"/>
          <w:sz w:val="20"/>
          <w:szCs w:val="20"/>
        </w:rPr>
        <w:t>(</w:t>
      </w:r>
      <w:r w:rsidR="00932B15" w:rsidRPr="001B198D">
        <w:rPr>
          <w:rFonts w:ascii="Yu Gothic" w:eastAsia="Yu Gothic" w:hAnsi="Yu Gothic"/>
          <w:sz w:val="20"/>
          <w:szCs w:val="20"/>
        </w:rPr>
        <w:t>-</w:t>
      </w:r>
      <w:r w:rsidR="00F8143A" w:rsidRPr="001B198D">
        <w:rPr>
          <w:rFonts w:ascii="Yu Gothic" w:eastAsia="Yu Gothic" w:hAnsi="Yu Gothic"/>
          <w:sz w:val="20"/>
          <w:szCs w:val="20"/>
        </w:rPr>
        <w:t>5.</w:t>
      </w:r>
      <w:r w:rsidR="00C53FDD" w:rsidRPr="001B198D">
        <w:rPr>
          <w:rFonts w:ascii="Yu Gothic" w:eastAsia="Yu Gothic" w:hAnsi="Yu Gothic"/>
          <w:sz w:val="20"/>
          <w:szCs w:val="20"/>
        </w:rPr>
        <w:t>8</w:t>
      </w:r>
      <w:r w:rsidR="00F8143A" w:rsidRPr="001B198D">
        <w:rPr>
          <w:rFonts w:ascii="Yu Gothic" w:eastAsia="Yu Gothic" w:hAnsi="Yu Gothic"/>
          <w:sz w:val="20"/>
          <w:szCs w:val="20"/>
        </w:rPr>
        <w:t>%)</w:t>
      </w:r>
      <w:r w:rsidR="00D26409" w:rsidRPr="001B198D">
        <w:rPr>
          <w:rFonts w:ascii="Yu Gothic" w:eastAsia="Yu Gothic" w:hAnsi="Yu Gothic"/>
          <w:sz w:val="20"/>
          <w:szCs w:val="20"/>
        </w:rPr>
        <w:t>, driven by</w:t>
      </w:r>
      <w:r w:rsidR="00F8143A" w:rsidRPr="001B198D">
        <w:rPr>
          <w:rFonts w:ascii="Yu Gothic" w:eastAsia="Yu Gothic" w:hAnsi="Yu Gothic"/>
          <w:sz w:val="20"/>
          <w:szCs w:val="20"/>
        </w:rPr>
        <w:t xml:space="preserve"> plummeting travel receipts and lower revenues from financial and </w:t>
      </w:r>
      <w:r w:rsidR="009170A8" w:rsidRPr="001B198D">
        <w:rPr>
          <w:rFonts w:ascii="Yu Gothic" w:eastAsia="Yu Gothic" w:hAnsi="Yu Gothic"/>
          <w:sz w:val="20"/>
          <w:szCs w:val="20"/>
        </w:rPr>
        <w:t xml:space="preserve">other </w:t>
      </w:r>
      <w:r w:rsidR="00F8143A" w:rsidRPr="001B198D">
        <w:rPr>
          <w:rFonts w:ascii="Yu Gothic" w:eastAsia="Yu Gothic" w:hAnsi="Yu Gothic"/>
          <w:sz w:val="20"/>
          <w:szCs w:val="20"/>
        </w:rPr>
        <w:t>business services.</w:t>
      </w:r>
      <w:r w:rsidR="00D26409" w:rsidRPr="001B198D">
        <w:rPr>
          <w:rFonts w:ascii="Yu Gothic" w:eastAsia="Yu Gothic" w:hAnsi="Yu Gothic"/>
          <w:sz w:val="20"/>
          <w:szCs w:val="20"/>
        </w:rPr>
        <w:t xml:space="preserve"> Conversely, services exports </w:t>
      </w:r>
      <w:r w:rsidR="00932128">
        <w:rPr>
          <w:rFonts w:ascii="Yu Gothic" w:eastAsia="Yu Gothic" w:hAnsi="Yu Gothic"/>
          <w:sz w:val="20"/>
          <w:szCs w:val="20"/>
        </w:rPr>
        <w:t xml:space="preserve">surged </w:t>
      </w:r>
      <w:r w:rsidR="00D26409" w:rsidRPr="001B198D">
        <w:rPr>
          <w:rFonts w:ascii="Yu Gothic" w:eastAsia="Yu Gothic" w:hAnsi="Yu Gothic"/>
          <w:sz w:val="20"/>
          <w:szCs w:val="20"/>
        </w:rPr>
        <w:t>in</w:t>
      </w:r>
      <w:r w:rsidR="00F8143A" w:rsidRPr="001B198D">
        <w:rPr>
          <w:rFonts w:ascii="Yu Gothic" w:eastAsia="Yu Gothic" w:hAnsi="Yu Gothic"/>
          <w:sz w:val="20"/>
          <w:szCs w:val="20"/>
        </w:rPr>
        <w:t xml:space="preserve"> Korea </w:t>
      </w:r>
      <w:r w:rsidR="00932B15" w:rsidRPr="001B198D">
        <w:rPr>
          <w:rFonts w:ascii="Yu Gothic" w:eastAsia="Yu Gothic" w:hAnsi="Yu Gothic"/>
          <w:sz w:val="20"/>
          <w:szCs w:val="20"/>
        </w:rPr>
        <w:t>(</w:t>
      </w:r>
      <w:r w:rsidR="00D26409" w:rsidRPr="001B198D">
        <w:rPr>
          <w:rFonts w:ascii="Yu Gothic" w:eastAsia="Yu Gothic" w:hAnsi="Yu Gothic"/>
          <w:sz w:val="20"/>
          <w:szCs w:val="20"/>
        </w:rPr>
        <w:t xml:space="preserve">up by </w:t>
      </w:r>
      <w:r w:rsidR="00932B15" w:rsidRPr="001B198D">
        <w:rPr>
          <w:rFonts w:ascii="Yu Gothic" w:eastAsia="Yu Gothic" w:hAnsi="Yu Gothic"/>
          <w:sz w:val="20"/>
          <w:szCs w:val="20"/>
        </w:rPr>
        <w:t>6.1%</w:t>
      </w:r>
      <w:r w:rsidR="00307D29" w:rsidRPr="001B198D">
        <w:rPr>
          <w:rFonts w:ascii="Yu Gothic" w:eastAsia="Yu Gothic" w:hAnsi="Yu Gothic"/>
          <w:sz w:val="20"/>
          <w:szCs w:val="20"/>
        </w:rPr>
        <w:t>)</w:t>
      </w:r>
      <w:r w:rsidR="00D26409" w:rsidRPr="001B198D">
        <w:rPr>
          <w:rFonts w:ascii="Yu Gothic" w:eastAsia="Yu Gothic" w:hAnsi="Yu Gothic"/>
          <w:sz w:val="20"/>
          <w:szCs w:val="20"/>
        </w:rPr>
        <w:t xml:space="preserve">, on the back of </w:t>
      </w:r>
      <w:r w:rsidR="00F8143A" w:rsidRPr="001B198D">
        <w:rPr>
          <w:rFonts w:ascii="Yu Gothic" w:eastAsia="Yu Gothic" w:hAnsi="Yu Gothic"/>
          <w:sz w:val="20"/>
          <w:szCs w:val="20"/>
        </w:rPr>
        <w:t>higher travel receipts</w:t>
      </w:r>
      <w:r w:rsidR="00932128">
        <w:rPr>
          <w:rFonts w:ascii="Yu Gothic" w:eastAsia="Yu Gothic" w:hAnsi="Yu Gothic"/>
          <w:sz w:val="20"/>
          <w:szCs w:val="20"/>
        </w:rPr>
        <w:t>,</w:t>
      </w:r>
      <w:r w:rsidR="00D26409" w:rsidRPr="001B198D">
        <w:rPr>
          <w:rFonts w:ascii="Yu Gothic" w:eastAsia="Yu Gothic" w:hAnsi="Yu Gothic"/>
          <w:sz w:val="20"/>
          <w:szCs w:val="20"/>
        </w:rPr>
        <w:t xml:space="preserve"> and </w:t>
      </w:r>
      <w:r w:rsidR="00F8143A" w:rsidRPr="001B198D">
        <w:rPr>
          <w:rFonts w:ascii="Yu Gothic" w:eastAsia="Yu Gothic" w:hAnsi="Yu Gothic"/>
          <w:sz w:val="20"/>
          <w:szCs w:val="20"/>
        </w:rPr>
        <w:t>China</w:t>
      </w:r>
      <w:r w:rsidR="00D26409" w:rsidRPr="001B198D">
        <w:rPr>
          <w:rFonts w:ascii="Yu Gothic" w:eastAsia="Yu Gothic" w:hAnsi="Yu Gothic"/>
          <w:sz w:val="20"/>
          <w:szCs w:val="20"/>
        </w:rPr>
        <w:t xml:space="preserve"> (up </w:t>
      </w:r>
      <w:r w:rsidR="00F8143A" w:rsidRPr="001B198D">
        <w:rPr>
          <w:rFonts w:ascii="Yu Gothic" w:eastAsia="Yu Gothic" w:hAnsi="Yu Gothic"/>
          <w:sz w:val="20"/>
          <w:szCs w:val="20"/>
        </w:rPr>
        <w:t>by 6.2%</w:t>
      </w:r>
      <w:r w:rsidR="00307D29" w:rsidRPr="001B198D">
        <w:rPr>
          <w:rFonts w:ascii="Yu Gothic" w:eastAsia="Yu Gothic" w:hAnsi="Yu Gothic"/>
          <w:sz w:val="20"/>
          <w:szCs w:val="20"/>
        </w:rPr>
        <w:t>)</w:t>
      </w:r>
      <w:r w:rsidR="00CB074B" w:rsidRPr="001B198D">
        <w:rPr>
          <w:rFonts w:ascii="Yu Gothic" w:eastAsia="Yu Gothic" w:hAnsi="Yu Gothic"/>
          <w:sz w:val="20"/>
          <w:szCs w:val="20"/>
        </w:rPr>
        <w:t xml:space="preserve">, supported by travel, construction, intellectual </w:t>
      </w:r>
      <w:r w:rsidR="00CB074B" w:rsidRPr="004E5A9D">
        <w:rPr>
          <w:rFonts w:ascii="Yu Gothic" w:eastAsia="Yu Gothic" w:hAnsi="Yu Gothic"/>
          <w:sz w:val="20"/>
          <w:szCs w:val="20"/>
        </w:rPr>
        <w:t>property, and other business services</w:t>
      </w:r>
      <w:r w:rsidR="00D26409" w:rsidRPr="004E5A9D">
        <w:rPr>
          <w:rFonts w:ascii="Yu Gothic" w:eastAsia="Yu Gothic" w:hAnsi="Yu Gothic"/>
          <w:sz w:val="20"/>
          <w:szCs w:val="20"/>
        </w:rPr>
        <w:t>.</w:t>
      </w:r>
      <w:r w:rsidR="00F8143A" w:rsidRPr="004E5A9D">
        <w:rPr>
          <w:rFonts w:ascii="Yu Gothic" w:eastAsia="Yu Gothic" w:hAnsi="Yu Gothic"/>
          <w:sz w:val="20"/>
          <w:szCs w:val="20"/>
        </w:rPr>
        <w:t xml:space="preserve"> </w:t>
      </w:r>
      <w:r w:rsidR="00A02877" w:rsidRPr="004E5A9D">
        <w:rPr>
          <w:rFonts w:ascii="Yu Gothic" w:eastAsia="Yu Gothic" w:hAnsi="Yu Gothic"/>
          <w:sz w:val="20"/>
          <w:szCs w:val="20"/>
        </w:rPr>
        <w:t xml:space="preserve">India and </w:t>
      </w:r>
      <w:r w:rsidR="00F8143A" w:rsidRPr="004E5A9D">
        <w:rPr>
          <w:rFonts w:ascii="Yu Gothic" w:eastAsia="Yu Gothic" w:hAnsi="Yu Gothic"/>
          <w:sz w:val="20"/>
          <w:szCs w:val="20"/>
        </w:rPr>
        <w:t xml:space="preserve">Brazil </w:t>
      </w:r>
      <w:r w:rsidR="00521746" w:rsidRPr="004E5A9D">
        <w:rPr>
          <w:rFonts w:ascii="Yu Gothic" w:eastAsia="Yu Gothic" w:hAnsi="Yu Gothic"/>
          <w:sz w:val="20"/>
          <w:szCs w:val="20"/>
        </w:rPr>
        <w:t xml:space="preserve">also </w:t>
      </w:r>
      <w:r w:rsidR="00F8143A" w:rsidRPr="004E5A9D">
        <w:rPr>
          <w:rFonts w:ascii="Yu Gothic" w:eastAsia="Yu Gothic" w:hAnsi="Yu Gothic"/>
          <w:sz w:val="20"/>
          <w:szCs w:val="20"/>
        </w:rPr>
        <w:t xml:space="preserve">recorded </w:t>
      </w:r>
      <w:r w:rsidR="00F77813" w:rsidRPr="004E5A9D">
        <w:rPr>
          <w:rFonts w:ascii="Yu Gothic" w:eastAsia="Yu Gothic" w:hAnsi="Yu Gothic"/>
          <w:sz w:val="20"/>
          <w:szCs w:val="20"/>
        </w:rPr>
        <w:t xml:space="preserve">strong services trade growth, with </w:t>
      </w:r>
      <w:r w:rsidR="004E5A9D" w:rsidRPr="004E5A9D">
        <w:rPr>
          <w:rFonts w:ascii="Yu Gothic" w:eastAsia="Yu Gothic" w:hAnsi="Yu Gothic"/>
          <w:sz w:val="20"/>
          <w:szCs w:val="20"/>
        </w:rPr>
        <w:t>ex</w:t>
      </w:r>
      <w:r w:rsidR="00C01902" w:rsidRPr="004E5A9D">
        <w:rPr>
          <w:rFonts w:ascii="Yu Gothic" w:eastAsia="Yu Gothic" w:hAnsi="Yu Gothic"/>
          <w:sz w:val="20"/>
          <w:szCs w:val="20"/>
        </w:rPr>
        <w:t>ports</w:t>
      </w:r>
      <w:r w:rsidR="00F77813" w:rsidRPr="004E5A9D">
        <w:rPr>
          <w:rFonts w:ascii="Yu Gothic" w:eastAsia="Yu Gothic" w:hAnsi="Yu Gothic"/>
          <w:sz w:val="20"/>
          <w:szCs w:val="20"/>
        </w:rPr>
        <w:t xml:space="preserve"> rising by </w:t>
      </w:r>
      <w:r w:rsidR="004E5A9D" w:rsidRPr="004E5A9D">
        <w:rPr>
          <w:rFonts w:ascii="Yu Gothic" w:eastAsia="Yu Gothic" w:hAnsi="Yu Gothic"/>
          <w:sz w:val="20"/>
          <w:szCs w:val="20"/>
        </w:rPr>
        <w:t>2.0</w:t>
      </w:r>
      <w:r w:rsidR="00A02877" w:rsidRPr="004E5A9D">
        <w:rPr>
          <w:rFonts w:ascii="Yu Gothic" w:eastAsia="Yu Gothic" w:hAnsi="Yu Gothic"/>
          <w:sz w:val="20"/>
          <w:szCs w:val="20"/>
        </w:rPr>
        <w:t xml:space="preserve">% and </w:t>
      </w:r>
      <w:r w:rsidR="004E5A9D" w:rsidRPr="004E5A9D">
        <w:rPr>
          <w:rFonts w:ascii="Yu Gothic" w:eastAsia="Yu Gothic" w:hAnsi="Yu Gothic"/>
          <w:sz w:val="20"/>
          <w:szCs w:val="20"/>
        </w:rPr>
        <w:t>4.3</w:t>
      </w:r>
      <w:r w:rsidR="00F8143A" w:rsidRPr="004E5A9D">
        <w:rPr>
          <w:rFonts w:ascii="Yu Gothic" w:eastAsia="Yu Gothic" w:hAnsi="Yu Gothic"/>
          <w:sz w:val="20"/>
          <w:szCs w:val="20"/>
        </w:rPr>
        <w:t>%</w:t>
      </w:r>
      <w:r w:rsidR="00F77813" w:rsidRPr="004E5A9D">
        <w:rPr>
          <w:rFonts w:ascii="Yu Gothic" w:eastAsia="Yu Gothic" w:hAnsi="Yu Gothic"/>
          <w:sz w:val="20"/>
          <w:szCs w:val="20"/>
        </w:rPr>
        <w:t>, respectively</w:t>
      </w:r>
      <w:r w:rsidR="00F8143A" w:rsidRPr="004E5A9D">
        <w:rPr>
          <w:rFonts w:ascii="Yu Gothic" w:eastAsia="Yu Gothic" w:hAnsi="Yu Gothic"/>
          <w:sz w:val="20"/>
          <w:szCs w:val="20"/>
        </w:rPr>
        <w:t>.</w:t>
      </w:r>
    </w:p>
    <w:p w14:paraId="59B1509E" w14:textId="7BE5867F" w:rsidR="00CB4729" w:rsidRPr="00DA48FF" w:rsidRDefault="00CB4729" w:rsidP="005F79C4">
      <w:pPr>
        <w:shd w:val="clear" w:color="auto" w:fill="E0F2FF"/>
        <w:tabs>
          <w:tab w:val="left" w:pos="7479"/>
        </w:tabs>
        <w:spacing w:after="0" w:line="192" w:lineRule="auto"/>
        <w:rPr>
          <w:rFonts w:ascii="Yu Gothic" w:eastAsia="Yu Gothic" w:hAnsi="Yu Gothic"/>
          <w:b/>
          <w:sz w:val="18"/>
          <w:szCs w:val="18"/>
        </w:rPr>
      </w:pPr>
      <w:r w:rsidRPr="00DA48FF">
        <w:rPr>
          <w:rFonts w:ascii="Yu Gothic" w:eastAsia="Yu Gothic" w:hAnsi="Yu Gothic"/>
          <w:b/>
          <w:sz w:val="20"/>
          <w:szCs w:val="18"/>
        </w:rPr>
        <w:t>Figure 1 –</w:t>
      </w:r>
      <w:r w:rsidR="00421940">
        <w:rPr>
          <w:rFonts w:ascii="Yu Gothic" w:eastAsia="Yu Gothic" w:hAnsi="Yu Gothic"/>
          <w:b/>
          <w:sz w:val="20"/>
          <w:szCs w:val="18"/>
        </w:rPr>
        <w:t>International trade, selected economies</w:t>
      </w:r>
      <w:r w:rsidR="004502D2">
        <w:rPr>
          <w:rFonts w:ascii="Yu Gothic" w:eastAsia="Yu Gothic" w:hAnsi="Yu Gothic"/>
          <w:b/>
          <w:sz w:val="20"/>
          <w:szCs w:val="18"/>
        </w:rPr>
        <w:t>, Q3 2025</w:t>
      </w:r>
      <w:r w:rsidR="00041A20">
        <w:rPr>
          <w:rFonts w:ascii="Yu Gothic" w:eastAsia="Yu Gothic" w:hAnsi="Yu Gothic"/>
          <w:b/>
          <w:sz w:val="20"/>
          <w:szCs w:val="18"/>
        </w:rPr>
        <w:t xml:space="preserve"> </w:t>
      </w:r>
      <w:r w:rsidR="00041A20">
        <w:rPr>
          <w:rStyle w:val="Strong"/>
        </w:rPr>
        <w:t>(quarter-on-quarter changes)</w:t>
      </w:r>
    </w:p>
    <w:p w14:paraId="2174F16A" w14:textId="525A0AE3" w:rsidR="00B725F6" w:rsidRPr="007136BB" w:rsidRDefault="00041A20" w:rsidP="005F79C4">
      <w:pPr>
        <w:shd w:val="clear" w:color="auto" w:fill="E0F2FF"/>
        <w:spacing w:after="0" w:line="192" w:lineRule="auto"/>
        <w:rPr>
          <w:rFonts w:ascii="Yu Gothic" w:eastAsia="Yu Gothic" w:hAnsi="Yu Gothic"/>
          <w:sz w:val="20"/>
          <w:szCs w:val="20"/>
        </w:rPr>
      </w:pPr>
      <w:r w:rsidRPr="00041A20">
        <w:rPr>
          <w:rStyle w:val="ui-provider"/>
          <w:rFonts w:ascii="Yu Gothic" w:eastAsia="Yu Gothic" w:hAnsi="Yu Gothic"/>
          <w:sz w:val="18"/>
          <w:szCs w:val="18"/>
        </w:rPr>
        <w:t>Percentage change on the previous quarter, current US dollars, seasonally adjusted</w:t>
      </w:r>
    </w:p>
    <w:p w14:paraId="79BED649" w14:textId="592AD3D1" w:rsidR="009D4502" w:rsidRPr="009D4502" w:rsidRDefault="009D4502" w:rsidP="00CB4729">
      <w:pPr>
        <w:spacing w:after="80" w:line="192" w:lineRule="auto"/>
        <w:rPr>
          <w:rFonts w:ascii="Yu Gothic" w:eastAsia="Yu Gothic" w:hAnsi="Yu Gothic"/>
          <w:sz w:val="4"/>
          <w:szCs w:val="4"/>
        </w:rPr>
      </w:pPr>
      <w:bookmarkStart w:id="1" w:name="_Hlk127783464"/>
      <w:bookmarkEnd w:id="1"/>
    </w:p>
    <w:p w14:paraId="401382CB" w14:textId="504511E0" w:rsidR="00E9265F" w:rsidRDefault="00AF6084" w:rsidP="00504353">
      <w:pPr>
        <w:spacing w:after="80" w:line="192" w:lineRule="auto"/>
        <w:jc w:val="right"/>
        <w:rPr>
          <w:rFonts w:ascii="Yu Gothic" w:eastAsia="Yu Gothic" w:hAnsi="Yu Gothic"/>
          <w:sz w:val="16"/>
          <w:szCs w:val="16"/>
        </w:rPr>
      </w:pPr>
      <w:r>
        <w:rPr>
          <w:noProof/>
        </w:rPr>
        <w:drawing>
          <wp:inline distT="0" distB="0" distL="0" distR="0" wp14:anchorId="04CB8E54" wp14:editId="101FD8BA">
            <wp:extent cx="6477756" cy="2901044"/>
            <wp:effectExtent l="0" t="0" r="18415" b="13970"/>
            <wp:docPr id="53130741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8779BFE-6F23-4782-95F4-940E188475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1C5C9E7" w14:textId="77777777" w:rsidR="008C05CE" w:rsidRDefault="008C05CE" w:rsidP="00504353">
      <w:pPr>
        <w:spacing w:after="80" w:line="192" w:lineRule="auto"/>
        <w:jc w:val="right"/>
        <w:rPr>
          <w:rFonts w:ascii="Yu Gothic" w:eastAsia="Yu Gothic" w:hAnsi="Yu Gothic"/>
          <w:sz w:val="16"/>
          <w:szCs w:val="16"/>
        </w:rPr>
      </w:pPr>
    </w:p>
    <w:p w14:paraId="3271EF67" w14:textId="235D28B3" w:rsidR="003342E1" w:rsidRPr="005F79C4" w:rsidRDefault="003342E1" w:rsidP="005F79C4">
      <w:pPr>
        <w:shd w:val="clear" w:color="auto" w:fill="E0F2FF"/>
        <w:tabs>
          <w:tab w:val="left" w:pos="7479"/>
        </w:tabs>
        <w:spacing w:after="0" w:line="192" w:lineRule="auto"/>
        <w:rPr>
          <w:rFonts w:ascii="Yu Gothic" w:eastAsia="Yu Gothic" w:hAnsi="Yu Gothic"/>
          <w:b/>
          <w:sz w:val="20"/>
          <w:szCs w:val="18"/>
        </w:rPr>
      </w:pPr>
      <w:bookmarkStart w:id="2" w:name="_Hlk127783427"/>
      <w:r w:rsidRPr="005F79C4">
        <w:rPr>
          <w:rFonts w:ascii="Yu Gothic" w:eastAsia="Yu Gothic" w:hAnsi="Yu Gothic"/>
          <w:b/>
          <w:sz w:val="20"/>
          <w:szCs w:val="18"/>
        </w:rPr>
        <w:t>Figure 2 – G20 international trade</w:t>
      </w:r>
      <w:r w:rsidR="00041A20" w:rsidRPr="005F79C4">
        <w:rPr>
          <w:rFonts w:ascii="Yu Gothic" w:eastAsia="Yu Gothic" w:hAnsi="Yu Gothic"/>
          <w:b/>
          <w:sz w:val="20"/>
          <w:szCs w:val="18"/>
        </w:rPr>
        <w:t xml:space="preserve"> (</w:t>
      </w:r>
      <w:r w:rsidRPr="005F79C4">
        <w:rPr>
          <w:rFonts w:ascii="Yu Gothic" w:eastAsia="Yu Gothic" w:hAnsi="Yu Gothic"/>
          <w:b/>
          <w:sz w:val="20"/>
          <w:szCs w:val="18"/>
        </w:rPr>
        <w:t>quarterly levels</w:t>
      </w:r>
      <w:r w:rsidR="00041A20" w:rsidRPr="005F79C4">
        <w:rPr>
          <w:rFonts w:ascii="Yu Gothic" w:eastAsia="Yu Gothic" w:hAnsi="Yu Gothic"/>
          <w:b/>
          <w:sz w:val="20"/>
          <w:szCs w:val="18"/>
        </w:rPr>
        <w:t>)</w:t>
      </w:r>
    </w:p>
    <w:p w14:paraId="57FA0C4C" w14:textId="47EF1C84" w:rsidR="003342E1" w:rsidRPr="00DA48FF" w:rsidRDefault="003342E1" w:rsidP="005F79C4">
      <w:pPr>
        <w:shd w:val="clear" w:color="auto" w:fill="E0F2FF"/>
        <w:spacing w:after="0" w:line="192" w:lineRule="auto"/>
        <w:rPr>
          <w:rFonts w:ascii="Yu Gothic" w:eastAsia="Yu Gothic" w:hAnsi="Yu Gothic"/>
          <w:sz w:val="18"/>
          <w:szCs w:val="18"/>
        </w:rPr>
      </w:pPr>
      <w:r w:rsidRPr="00DA48FF">
        <w:rPr>
          <w:rFonts w:ascii="Yu Gothic" w:eastAsia="Yu Gothic" w:hAnsi="Yu Gothic"/>
          <w:sz w:val="18"/>
          <w:szCs w:val="18"/>
        </w:rPr>
        <w:t>Current prices in billion US dollars, seasonally adjusted</w:t>
      </w:r>
    </w:p>
    <w:bookmarkEnd w:id="2"/>
    <w:p w14:paraId="2EB6B433" w14:textId="77777777" w:rsidR="001D4298" w:rsidRPr="00DA48FF" w:rsidRDefault="001D4298" w:rsidP="003342E1">
      <w:pPr>
        <w:spacing w:after="80" w:line="192" w:lineRule="auto"/>
        <w:rPr>
          <w:rFonts w:ascii="Yu Gothic" w:eastAsia="Yu Gothic" w:hAnsi="Yu Gothic"/>
          <w:lang w:eastAsia="en-GB"/>
        </w:rPr>
      </w:pPr>
    </w:p>
    <w:p w14:paraId="322BD448" w14:textId="3E433429" w:rsidR="001D4298" w:rsidRPr="00DA48FF" w:rsidRDefault="001D4298" w:rsidP="001D4298">
      <w:pPr>
        <w:spacing w:after="80" w:line="192" w:lineRule="auto"/>
        <w:jc w:val="center"/>
        <w:rPr>
          <w:rFonts w:ascii="Yu Gothic" w:eastAsia="Yu Gothic" w:hAnsi="Yu Gothic"/>
          <w:b/>
          <w:sz w:val="20"/>
          <w:szCs w:val="20"/>
          <w:lang w:eastAsia="en-GB"/>
        </w:rPr>
      </w:pPr>
      <w:r w:rsidRPr="00DA48FF">
        <w:rPr>
          <w:rFonts w:ascii="Yu Gothic" w:eastAsia="Yu Gothic" w:hAnsi="Yu Gothic"/>
          <w:b/>
          <w:sz w:val="20"/>
          <w:szCs w:val="20"/>
          <w:lang w:eastAsia="en-GB"/>
        </w:rPr>
        <w:t>Merchandise</w:t>
      </w:r>
      <w:r w:rsidR="00AF6084">
        <w:rPr>
          <w:noProof/>
        </w:rPr>
        <w:drawing>
          <wp:inline distT="0" distB="0" distL="0" distR="0" wp14:anchorId="3334DB64" wp14:editId="0441C6C9">
            <wp:extent cx="6474297" cy="1765788"/>
            <wp:effectExtent l="0" t="0" r="3175" b="6350"/>
            <wp:docPr id="178319677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F99A761" w14:textId="0A852512" w:rsidR="00FF49E9" w:rsidRDefault="00FF49E9" w:rsidP="00254504">
      <w:pPr>
        <w:spacing w:after="0" w:line="192" w:lineRule="auto"/>
        <w:rPr>
          <w:rFonts w:ascii="Yu Gothic" w:eastAsia="Yu Gothic" w:hAnsi="Yu Gothic"/>
          <w:sz w:val="16"/>
        </w:rPr>
      </w:pPr>
    </w:p>
    <w:p w14:paraId="08FF7FF2" w14:textId="77777777" w:rsidR="00FF49E9" w:rsidRDefault="00FF49E9" w:rsidP="003577A8">
      <w:pPr>
        <w:spacing w:after="80" w:line="192" w:lineRule="auto"/>
        <w:rPr>
          <w:rFonts w:ascii="Yu Gothic" w:eastAsia="Yu Gothic" w:hAnsi="Yu Gothic"/>
          <w:sz w:val="12"/>
        </w:rPr>
      </w:pPr>
    </w:p>
    <w:p w14:paraId="59A16663" w14:textId="53DC4718" w:rsidR="001D4298" w:rsidRPr="00DA48FF" w:rsidRDefault="00E20EE1" w:rsidP="001D4298">
      <w:pPr>
        <w:spacing w:after="80" w:line="192" w:lineRule="auto"/>
        <w:jc w:val="center"/>
        <w:rPr>
          <w:rFonts w:ascii="Yu Gothic" w:eastAsia="Yu Gothic" w:hAnsi="Yu Gothic"/>
          <w:b/>
          <w:sz w:val="20"/>
          <w:szCs w:val="20"/>
          <w:lang w:eastAsia="en-GB"/>
        </w:rPr>
      </w:pPr>
      <w:r>
        <w:rPr>
          <w:rFonts w:ascii="Yu Gothic" w:eastAsia="Yu Gothic" w:hAnsi="Yu Gothic"/>
          <w:b/>
          <w:sz w:val="20"/>
          <w:szCs w:val="20"/>
          <w:lang w:eastAsia="en-GB"/>
        </w:rPr>
        <w:t>S</w:t>
      </w:r>
      <w:r w:rsidR="001D4298" w:rsidRPr="00DA48FF">
        <w:rPr>
          <w:rFonts w:ascii="Yu Gothic" w:eastAsia="Yu Gothic" w:hAnsi="Yu Gothic"/>
          <w:b/>
          <w:sz w:val="20"/>
          <w:szCs w:val="20"/>
          <w:lang w:eastAsia="en-GB"/>
        </w:rPr>
        <w:t>ervices</w:t>
      </w:r>
    </w:p>
    <w:p w14:paraId="1FE1C393" w14:textId="79F67023" w:rsidR="00937018" w:rsidRPr="00DA48FF" w:rsidRDefault="00555F2A" w:rsidP="001D4298">
      <w:pPr>
        <w:spacing w:after="0" w:line="192" w:lineRule="auto"/>
        <w:jc w:val="center"/>
        <w:rPr>
          <w:rFonts w:ascii="Yu Gothic" w:eastAsia="Yu Gothic" w:hAnsi="Yu Gothic"/>
          <w:sz w:val="16"/>
        </w:rPr>
      </w:pPr>
      <w:r>
        <w:rPr>
          <w:noProof/>
        </w:rPr>
        <w:drawing>
          <wp:inline distT="0" distB="0" distL="0" distR="0" wp14:anchorId="0F448582" wp14:editId="52C27BA8">
            <wp:extent cx="6515170" cy="1797313"/>
            <wp:effectExtent l="0" t="0" r="0" b="0"/>
            <wp:docPr id="5055446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Style w:val="TableGrid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1"/>
      </w:tblGrid>
      <w:tr w:rsidR="000801E2" w:rsidRPr="001F1803" w14:paraId="6368D401" w14:textId="77777777" w:rsidTr="001814C9">
        <w:tc>
          <w:tcPr>
            <w:tcW w:w="5000" w:type="pct"/>
          </w:tcPr>
          <w:p w14:paraId="673E7DB1" w14:textId="5EB0B022" w:rsidR="008D4E31" w:rsidRPr="00DA48FF" w:rsidRDefault="000801E2" w:rsidP="00ED2362">
            <w:pPr>
              <w:tabs>
                <w:tab w:val="left" w:pos="2717"/>
              </w:tabs>
              <w:rPr>
                <w:rFonts w:ascii="Yu Gothic" w:eastAsia="Yu Gothic" w:hAnsi="Yu Gothic"/>
                <w:sz w:val="16"/>
                <w:szCs w:val="16"/>
              </w:rPr>
            </w:pPr>
            <w:r w:rsidRPr="00DA48FF">
              <w:rPr>
                <w:rFonts w:ascii="Yu Gothic" w:eastAsia="Yu Gothic" w:hAnsi="Yu Gothic"/>
                <w:sz w:val="16"/>
                <w:szCs w:val="16"/>
              </w:rPr>
              <w:t xml:space="preserve">Note:  </w:t>
            </w:r>
            <w:r w:rsidR="008C0F18">
              <w:rPr>
                <w:rFonts w:ascii="Yu Gothic" w:eastAsia="Yu Gothic" w:hAnsi="Yu Gothic"/>
                <w:sz w:val="16"/>
                <w:szCs w:val="16"/>
              </w:rPr>
              <w:t>The</w:t>
            </w:r>
            <w:r w:rsidR="00123CA0">
              <w:rPr>
                <w:rFonts w:ascii="Yu Gothic" w:eastAsia="Yu Gothic" w:hAnsi="Yu Gothic"/>
                <w:sz w:val="16"/>
                <w:szCs w:val="16"/>
              </w:rPr>
              <w:t xml:space="preserve"> G20 aggregate</w:t>
            </w:r>
            <w:r w:rsidR="004502D2">
              <w:rPr>
                <w:rFonts w:ascii="Yu Gothic" w:eastAsia="Yu Gothic" w:hAnsi="Yu Gothic"/>
                <w:sz w:val="16"/>
                <w:szCs w:val="16"/>
              </w:rPr>
              <w:t xml:space="preserve">s were </w:t>
            </w:r>
            <w:r w:rsidR="00123CA0" w:rsidRPr="00B25312">
              <w:rPr>
                <w:rFonts w:ascii="Yu Gothic" w:eastAsia="Yu Gothic" w:hAnsi="Yu Gothic"/>
                <w:sz w:val="16"/>
                <w:szCs w:val="16"/>
              </w:rPr>
              <w:t xml:space="preserve">not computed </w:t>
            </w:r>
            <w:r w:rsidR="00123CA0">
              <w:rPr>
                <w:rFonts w:ascii="Yu Gothic" w:eastAsia="Yu Gothic" w:hAnsi="Yu Gothic"/>
                <w:sz w:val="16"/>
                <w:szCs w:val="16"/>
              </w:rPr>
              <w:t xml:space="preserve">for Q3 2025 </w:t>
            </w:r>
            <w:r w:rsidR="00123CA0" w:rsidRPr="00B25312">
              <w:rPr>
                <w:rFonts w:ascii="Yu Gothic" w:eastAsia="Yu Gothic" w:hAnsi="Yu Gothic"/>
                <w:sz w:val="16"/>
                <w:szCs w:val="16"/>
              </w:rPr>
              <w:t xml:space="preserve">due to insufficient coverage of reported data. </w:t>
            </w:r>
            <w:r>
              <w:rPr>
                <w:rFonts w:ascii="Yu Gothic" w:eastAsia="Yu Gothic" w:hAnsi="Yu Gothic"/>
                <w:sz w:val="16"/>
                <w:szCs w:val="16"/>
              </w:rPr>
              <w:t xml:space="preserve">The </w:t>
            </w:r>
            <w:r w:rsidRPr="00DA48FF">
              <w:rPr>
                <w:rFonts w:ascii="Yu Gothic" w:eastAsia="Yu Gothic" w:hAnsi="Yu Gothic"/>
                <w:sz w:val="16"/>
                <w:szCs w:val="16"/>
              </w:rPr>
              <w:t>G20 aggregate</w:t>
            </w:r>
            <w:r w:rsidR="00123CA0">
              <w:rPr>
                <w:rFonts w:ascii="Yu Gothic" w:eastAsia="Yu Gothic" w:hAnsi="Yu Gothic"/>
                <w:sz w:val="16"/>
                <w:szCs w:val="16"/>
              </w:rPr>
              <w:t>s</w:t>
            </w:r>
            <w:r w:rsidR="008A1ECC">
              <w:rPr>
                <w:rFonts w:ascii="Yu Gothic" w:eastAsia="Yu Gothic" w:hAnsi="Yu Gothic"/>
                <w:sz w:val="16"/>
                <w:szCs w:val="16"/>
              </w:rPr>
              <w:t xml:space="preserve"> </w:t>
            </w:r>
            <w:r w:rsidR="008A1ECC" w:rsidRPr="002C1D60">
              <w:rPr>
                <w:rFonts w:ascii="Yu Gothic" w:eastAsia="Yu Gothic" w:hAnsi="Yu Gothic"/>
                <w:sz w:val="16"/>
                <w:szCs w:val="16"/>
              </w:rPr>
              <w:t>do not include African Union countries, except for South Africa.</w:t>
            </w:r>
          </w:p>
        </w:tc>
      </w:tr>
    </w:tbl>
    <w:p w14:paraId="732CF1DB" w14:textId="58F491DD" w:rsidR="005F79C4" w:rsidRDefault="005F79C4">
      <w:pPr>
        <w:rPr>
          <w:rFonts w:ascii="Yu Gothic" w:eastAsia="Yu Gothic" w:hAnsi="Yu Gothic"/>
          <w:sz w:val="16"/>
          <w:szCs w:val="16"/>
        </w:rPr>
      </w:pPr>
    </w:p>
    <w:p w14:paraId="6F0975AE" w14:textId="7BE7D4E4" w:rsidR="005F79C4" w:rsidRDefault="008C05CE">
      <w:pPr>
        <w:rPr>
          <w:rFonts w:ascii="Yu Gothic" w:eastAsia="Yu Gothic" w:hAnsi="Yu Gothic"/>
          <w:sz w:val="16"/>
          <w:szCs w:val="16"/>
        </w:rPr>
      </w:pPr>
      <w:r>
        <w:rPr>
          <w:rFonts w:ascii="Yu Gothic" w:eastAsia="Yu Gothic" w:hAnsi="Yu Gothic"/>
          <w:sz w:val="16"/>
          <w:szCs w:val="16"/>
        </w:rPr>
        <w:br w:type="page"/>
      </w:r>
    </w:p>
    <w:p w14:paraId="7C59BD41" w14:textId="4211B7D9" w:rsidR="00C42DC0" w:rsidRPr="00DA48FF" w:rsidRDefault="002A796A" w:rsidP="005F79C4">
      <w:pPr>
        <w:shd w:val="clear" w:color="auto" w:fill="E0F2FF"/>
        <w:tabs>
          <w:tab w:val="left" w:pos="7479"/>
        </w:tabs>
        <w:spacing w:after="0" w:line="192" w:lineRule="auto"/>
        <w:rPr>
          <w:rFonts w:ascii="Yu Gothic" w:eastAsia="Yu Gothic" w:hAnsi="Yu Gothic"/>
          <w:b/>
          <w:sz w:val="18"/>
          <w:szCs w:val="18"/>
        </w:rPr>
      </w:pPr>
      <w:r w:rsidRPr="00DA48FF">
        <w:rPr>
          <w:rFonts w:ascii="Yu Gothic" w:eastAsia="Yu Gothic" w:hAnsi="Yu Gothic"/>
          <w:b/>
          <w:sz w:val="20"/>
        </w:rPr>
        <w:lastRenderedPageBreak/>
        <w:t>Table 1</w:t>
      </w:r>
      <w:r w:rsidR="00C42DC0" w:rsidRPr="00DA48FF">
        <w:rPr>
          <w:rFonts w:ascii="Yu Gothic" w:eastAsia="Yu Gothic" w:hAnsi="Yu Gothic"/>
          <w:b/>
          <w:sz w:val="20"/>
        </w:rPr>
        <w:t xml:space="preserve"> – </w:t>
      </w:r>
      <w:r w:rsidR="0058062F" w:rsidRPr="00DA48FF">
        <w:rPr>
          <w:rFonts w:ascii="Yu Gothic" w:eastAsia="Yu Gothic" w:hAnsi="Yu Gothic"/>
          <w:b/>
          <w:sz w:val="20"/>
        </w:rPr>
        <w:t xml:space="preserve">G20 </w:t>
      </w:r>
      <w:r w:rsidR="00683EED" w:rsidRPr="00DA48FF">
        <w:rPr>
          <w:rFonts w:ascii="Yu Gothic" w:eastAsia="Yu Gothic" w:hAnsi="Yu Gothic"/>
          <w:b/>
          <w:sz w:val="20"/>
        </w:rPr>
        <w:t xml:space="preserve">quarterly </w:t>
      </w:r>
      <w:r w:rsidR="0058062F" w:rsidRPr="00DA48FF">
        <w:rPr>
          <w:rFonts w:ascii="Yu Gothic" w:eastAsia="Yu Gothic" w:hAnsi="Yu Gothic"/>
          <w:b/>
          <w:sz w:val="20"/>
        </w:rPr>
        <w:t>international merchandise trade</w:t>
      </w:r>
    </w:p>
    <w:p w14:paraId="79BA0F96" w14:textId="3CC6EA75" w:rsidR="00C91B51" w:rsidRPr="00DA48FF" w:rsidRDefault="0058062F" w:rsidP="005F79C4">
      <w:pPr>
        <w:shd w:val="clear" w:color="auto" w:fill="E0F2FF"/>
        <w:tabs>
          <w:tab w:val="left" w:pos="6230"/>
        </w:tabs>
        <w:rPr>
          <w:rFonts w:ascii="Yu Gothic" w:eastAsia="Yu Gothic" w:hAnsi="Yu Gothic"/>
          <w:sz w:val="18"/>
          <w:szCs w:val="18"/>
        </w:rPr>
      </w:pPr>
      <w:r w:rsidRPr="00DA48FF">
        <w:rPr>
          <w:rFonts w:ascii="Yu Gothic" w:eastAsia="Yu Gothic" w:hAnsi="Yu Gothic"/>
          <w:sz w:val="18"/>
          <w:szCs w:val="18"/>
        </w:rPr>
        <w:t>P</w:t>
      </w:r>
      <w:r w:rsidRPr="00DA48FF">
        <w:rPr>
          <w:rFonts w:ascii="Yu Gothic" w:eastAsia="Yu Gothic" w:hAnsi="Yu Gothic" w:cs="Helvetica"/>
          <w:sz w:val="18"/>
          <w:szCs w:val="18"/>
        </w:rPr>
        <w:t>ercentage change on the previous period</w:t>
      </w:r>
      <w:r w:rsidR="002A796A" w:rsidRPr="00DA48FF">
        <w:rPr>
          <w:rFonts w:ascii="Yu Gothic" w:eastAsia="Yu Gothic" w:hAnsi="Yu Gothic" w:cs="Helvetica"/>
          <w:sz w:val="18"/>
          <w:szCs w:val="18"/>
        </w:rPr>
        <w:t xml:space="preserve">, </w:t>
      </w:r>
      <w:r w:rsidRPr="00DA48FF">
        <w:rPr>
          <w:rFonts w:ascii="Yu Gothic" w:eastAsia="Yu Gothic" w:hAnsi="Yu Gothic" w:cs="Helvetica"/>
          <w:sz w:val="18"/>
          <w:szCs w:val="18"/>
        </w:rPr>
        <w:t>current US dollars, seasonally adjuste</w:t>
      </w:r>
      <w:r w:rsidRPr="00DA48FF">
        <w:rPr>
          <w:rFonts w:ascii="Yu Gothic" w:eastAsia="Yu Gothic" w:hAnsi="Yu Gothic"/>
          <w:sz w:val="18"/>
          <w:szCs w:val="18"/>
        </w:rPr>
        <w:t>d</w:t>
      </w:r>
    </w:p>
    <w:tbl>
      <w:tblPr>
        <w:tblW w:w="4989" w:type="pct"/>
        <w:tblLook w:val="04A0" w:firstRow="1" w:lastRow="0" w:firstColumn="1" w:lastColumn="0" w:noHBand="0" w:noVBand="1"/>
      </w:tblPr>
      <w:tblGrid>
        <w:gridCol w:w="3327"/>
        <w:gridCol w:w="963"/>
        <w:gridCol w:w="877"/>
        <w:gridCol w:w="878"/>
        <w:gridCol w:w="878"/>
        <w:gridCol w:w="878"/>
        <w:gridCol w:w="878"/>
        <w:gridCol w:w="878"/>
        <w:gridCol w:w="876"/>
      </w:tblGrid>
      <w:tr w:rsidR="00350EA1" w:rsidRPr="00591214" w14:paraId="48489E06" w14:textId="77777777" w:rsidTr="00165F0D">
        <w:trPr>
          <w:trHeight w:val="277"/>
        </w:trPr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993B" w14:textId="69E5C322" w:rsidR="00350EA1" w:rsidRPr="00591214" w:rsidRDefault="00350EA1" w:rsidP="00591214">
            <w:pPr>
              <w:spacing w:after="0" w:line="240" w:lineRule="auto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3471" w14:textId="77777777" w:rsidR="00350EA1" w:rsidRPr="00591214" w:rsidRDefault="00350EA1" w:rsidP="00591214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2024</w:t>
            </w:r>
          </w:p>
        </w:tc>
        <w:tc>
          <w:tcPr>
            <w:tcW w:w="1683" w:type="pct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E0CF2C9" w14:textId="1DE3F8D8" w:rsidR="00350EA1" w:rsidRPr="00591214" w:rsidRDefault="00350EA1" w:rsidP="00591214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202</w:t>
            </w: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262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35BAB6" w14:textId="3CE89489" w:rsidR="00350EA1" w:rsidRPr="00591214" w:rsidRDefault="00350EA1" w:rsidP="00591214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2025</w:t>
            </w:r>
          </w:p>
        </w:tc>
      </w:tr>
      <w:tr w:rsidR="00350EA1" w:rsidRPr="00591214" w14:paraId="14803BA4" w14:textId="77777777" w:rsidTr="00165F0D">
        <w:trPr>
          <w:trHeight w:val="31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24E33814" w14:textId="2E7BDA33" w:rsidR="00350EA1" w:rsidRPr="00591214" w:rsidRDefault="00350EA1" w:rsidP="00350EA1">
            <w:pPr>
              <w:spacing w:after="0" w:line="240" w:lineRule="auto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3BEB2052" w14:textId="606EB11D" w:rsidR="00350EA1" w:rsidRPr="00591214" w:rsidRDefault="00350EA1" w:rsidP="00350EA1">
            <w:pPr>
              <w:spacing w:after="0" w:line="240" w:lineRule="auto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0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  <w:hideMark/>
          </w:tcPr>
          <w:p w14:paraId="4643C773" w14:textId="3B08187F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Q1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31476291" w14:textId="6885886D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Q2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1A9D1BB6" w14:textId="6BB18A2A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Q3</w:t>
            </w:r>
          </w:p>
        </w:tc>
        <w:tc>
          <w:tcPr>
            <w:tcW w:w="420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183CD017" w14:textId="606B5496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Q4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7007B3F5" w14:textId="53931C55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Q1</w:t>
            </w:r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728FA148" w14:textId="60C79D47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</w:t>
            </w: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1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0B2B3AED" w14:textId="2168E23D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</w:t>
            </w: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350EA1" w:rsidRPr="00591214" w14:paraId="541155FC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167CB622" w14:textId="77777777" w:rsidR="00350EA1" w:rsidRPr="00591214" w:rsidRDefault="00350EA1" w:rsidP="00350EA1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  <w:t>Exports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4963E8A1" w14:textId="77777777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18E03DC2" w14:textId="77777777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6DAE0A13" w14:textId="77777777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48C5697F" w14:textId="77777777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586D0ADF" w14:textId="77777777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6A46EFC4" w14:textId="77777777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3E691B7A" w14:textId="77777777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64E70"/>
            <w:noWrap/>
            <w:vAlign w:val="bottom"/>
            <w:hideMark/>
          </w:tcPr>
          <w:p w14:paraId="614FF906" w14:textId="77777777" w:rsidR="00350EA1" w:rsidRPr="00591214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DD40CB" w:rsidRPr="00591214" w14:paraId="1B3EC398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9996" w14:textId="77777777" w:rsidR="00DD40CB" w:rsidRPr="00591214" w:rsidRDefault="00DD40CB" w:rsidP="00DD40CB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G20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CDEB1" w14:textId="298A2C4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805EB" w14:textId="34D21C7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7C524" w14:textId="7B9A547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2B578" w14:textId="6AA87B7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889B1" w14:textId="5C95F48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2747FB" w14:textId="7FD2A68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14B9D" w14:textId="4F4B477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14C" w14:textId="409AEFDD" w:rsidR="00DD40CB" w:rsidRPr="00591214" w:rsidRDefault="008C0F18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/>
                <w:color w:val="000000"/>
                <w:sz w:val="16"/>
                <w:szCs w:val="16"/>
              </w:rPr>
              <w:t>..</w:t>
            </w:r>
          </w:p>
        </w:tc>
      </w:tr>
      <w:tr w:rsidR="00DD40CB" w:rsidRPr="00591214" w14:paraId="15251E59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1E24FAC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Argentina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2174ED3" w14:textId="47FB863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337F096" w14:textId="175879B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4156EC1" w14:textId="38415E5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546A7CD" w14:textId="3ECDA7D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2A02B1A" w14:textId="72ACDAB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5A27729" w14:textId="6C4E8E3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4C23D42" w14:textId="1CB3C78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AB4CCE4" w14:textId="37FB3CC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10.6</w:t>
            </w:r>
          </w:p>
        </w:tc>
      </w:tr>
      <w:tr w:rsidR="00DD40CB" w:rsidRPr="00591214" w14:paraId="30D11227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F5CD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79F87" w14:textId="3C57358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-8.2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FC0A7" w14:textId="78AD14F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EB2DC" w14:textId="230B40C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0AD38" w14:textId="01C0A00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1E43B" w14:textId="55C7296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D8FB0" w14:textId="548CCCA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E2E21" w14:textId="3894314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5DA3" w14:textId="28327DD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5.2</w:t>
            </w:r>
          </w:p>
        </w:tc>
      </w:tr>
      <w:tr w:rsidR="00DD40CB" w:rsidRPr="00591214" w14:paraId="2BDA3708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FB23723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2FA12CE" w14:textId="3412FBF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EB0418D" w14:textId="575948E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ACF9A76" w14:textId="174E069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9656B58" w14:textId="27602F7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2D3FDF0" w14:textId="300ABDA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9C1BA7A" w14:textId="271B8BF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81BAF70" w14:textId="66D433D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92642B6" w14:textId="75D61ED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4.3</w:t>
            </w:r>
          </w:p>
        </w:tc>
      </w:tr>
      <w:tr w:rsidR="00DD40CB" w:rsidRPr="00591214" w14:paraId="0F5C7C86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EB7F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Canada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04CD1" w14:textId="326A067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FB421" w14:textId="2887779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E5DC2" w14:textId="7003028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FBA6A" w14:textId="3E85548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F2D4D" w14:textId="1C099F2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9D709" w14:textId="382AA32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B5C0B" w14:textId="56C129A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-9.6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01CB" w14:textId="4B674DB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591214" w14:paraId="09C34417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A21E7DC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1C8D231" w14:textId="551C8CB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0347187" w14:textId="434E32C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6F405B5" w14:textId="29FEB2E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A8BDD68" w14:textId="2B22A4C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2B988D1" w14:textId="6B195EF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2C28FF2" w14:textId="475CBAF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D18FE78" w14:textId="4B7D672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2E72D57" w14:textId="24EC143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-0.7</w:t>
            </w:r>
          </w:p>
        </w:tc>
      </w:tr>
      <w:tr w:rsidR="00DD40CB" w:rsidRPr="00591214" w14:paraId="303CC239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E5E6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EU 27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B5D3A" w14:textId="0FCF9CC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46E83" w14:textId="2ABD62B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05568" w14:textId="3E81E99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4B01" w14:textId="18EA31A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F1F23" w14:textId="6B7F7C3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A36EA" w14:textId="14CCBAF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9877F" w14:textId="0D2E95E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000D4" w14:textId="4F3909B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3.2</w:t>
            </w:r>
          </w:p>
        </w:tc>
      </w:tr>
      <w:tr w:rsidR="00DD40CB" w:rsidRPr="00591214" w14:paraId="007B1269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5F3CC44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4F01217" w14:textId="5A36B30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8F2B779" w14:textId="7F7F15E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27582DB" w14:textId="4978B44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12A0CF6" w14:textId="36AA0FB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5400784" w14:textId="352ACC1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46D3E19" w14:textId="45E4163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DF43B8B" w14:textId="5A35655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D9D2401" w14:textId="4D7CC1B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6.5</w:t>
            </w:r>
          </w:p>
        </w:tc>
      </w:tr>
      <w:tr w:rsidR="00DD40CB" w:rsidRPr="00591214" w14:paraId="6FA48F48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E3AB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3E054" w14:textId="462196C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1C740" w14:textId="11A11FD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5C467" w14:textId="6D4F37A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CA1AB" w14:textId="1316AC2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31FE0" w14:textId="67D72DB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8680" w14:textId="450154E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6CA31" w14:textId="5F237EE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7B701" w14:textId="6FC770D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2.8</w:t>
            </w:r>
          </w:p>
        </w:tc>
      </w:tr>
      <w:tr w:rsidR="00DD40CB" w:rsidRPr="00591214" w14:paraId="1DCD6B51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719A8E8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E71878D" w14:textId="51404ED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469F9B2" w14:textId="2B1DF94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09D1AD3" w14:textId="37F205B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61ADF8D" w14:textId="5AD147C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-12.0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FFF0855" w14:textId="29BB1CB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5EF4BC4" w14:textId="0A48A12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83A8276" w14:textId="1F59EE8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7AB9DB1" w14:textId="5820FA8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-2.1</w:t>
            </w:r>
          </w:p>
        </w:tc>
      </w:tr>
      <w:tr w:rsidR="00DD40CB" w:rsidRPr="00591214" w14:paraId="4AEE2D33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B7FF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Indonesia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1ACF9" w14:textId="0437D11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57F56" w14:textId="6C5CC36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2C687" w14:textId="3DC1502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72366" w14:textId="3C2C232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F1B9" w14:textId="044DAA9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70ED1" w14:textId="3295723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01BC7" w14:textId="2A4C67C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6F72" w14:textId="5035FA0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4.0</w:t>
            </w:r>
          </w:p>
        </w:tc>
      </w:tr>
      <w:tr w:rsidR="00DD40CB" w:rsidRPr="00591214" w14:paraId="1847FD96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E48CDA1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A0553A2" w14:textId="41C6F73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96645E4" w14:textId="090652F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3942613" w14:textId="52AAB09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585969F" w14:textId="7945744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0F024EF" w14:textId="788AEFC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7C5B022" w14:textId="051DAEC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602AA85" w14:textId="5EC73AD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F54838F" w14:textId="1C296AE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4.5</w:t>
            </w:r>
          </w:p>
        </w:tc>
      </w:tr>
      <w:tr w:rsidR="00DD40CB" w:rsidRPr="00591214" w14:paraId="6FAEE83C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280E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55C48" w14:textId="7BF6F21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1FCAA" w14:textId="4BB3265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6DCAD" w14:textId="32D2AF5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CA74D" w14:textId="579DB7B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AEF44" w14:textId="589D747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9E9AE" w14:textId="2B88FD2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69A37" w14:textId="41647C7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204D" w14:textId="4706A22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-1.6</w:t>
            </w:r>
          </w:p>
        </w:tc>
      </w:tr>
      <w:tr w:rsidR="00DD40CB" w:rsidRPr="00591214" w14:paraId="1674247D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41043D4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F06E393" w14:textId="6487F80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65543C9" w14:textId="4F43FFE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0165780" w14:textId="7EBD6AC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427AF68" w14:textId="43B64C0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180DD75" w14:textId="438F8C9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7BC9F94" w14:textId="7510A9A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A42D4F2" w14:textId="1B4A86F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0F01C23" w14:textId="1527F32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4.8</w:t>
            </w:r>
          </w:p>
        </w:tc>
      </w:tr>
      <w:tr w:rsidR="00DD40CB" w:rsidRPr="00591214" w14:paraId="0B233D80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49D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Mexico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438AA" w14:textId="38A878C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EA7BD" w14:textId="322D96E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5E06A" w14:textId="1A02C90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F2BC8" w14:textId="77E6D25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9F796F" w14:textId="6D20CB7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2991A" w14:textId="1E2A8F5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84500" w14:textId="61C9C0D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E092" w14:textId="13F8CA5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3.3</w:t>
            </w:r>
          </w:p>
        </w:tc>
      </w:tr>
      <w:tr w:rsidR="00DD40CB" w:rsidRPr="00591214" w14:paraId="72A19072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1FAFFA9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52EDE04" w14:textId="4A76F5D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20847AD" w14:textId="50C3416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2B27404" w14:textId="6DB1F57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31991D4" w14:textId="5F23EF7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-6.3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6FC135D" w14:textId="00A76D0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F7F83BF" w14:textId="320F28A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9EE0042" w14:textId="0A97202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A8CB251" w14:textId="62B85D5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591214" w14:paraId="37F334FF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64C1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South Africa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92199" w14:textId="55E13EB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CAAA1F" w14:textId="3D2FB08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ED424C" w14:textId="6993C77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5520C" w14:textId="65570DD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97AB0" w14:textId="57BA0DF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49418" w14:textId="17B6FDC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2349B" w14:textId="62315EA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920FB" w14:textId="1B0822F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7.4</w:t>
            </w:r>
          </w:p>
        </w:tc>
      </w:tr>
      <w:tr w:rsidR="00DD40CB" w:rsidRPr="00591214" w14:paraId="44D5D7C3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844DF33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Türkiye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53362B8" w14:textId="2231A3A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F5F19B7" w14:textId="65606D0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E6A5865" w14:textId="3F42745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0CE0F82" w14:textId="7375F13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C35A898" w14:textId="0EB2B88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191BC2B" w14:textId="795CB5E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EEC80AF" w14:textId="74BC447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21182DB" w14:textId="759BCE1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1.7</w:t>
            </w:r>
          </w:p>
        </w:tc>
      </w:tr>
      <w:tr w:rsidR="00DD40CB" w:rsidRPr="00591214" w14:paraId="612CEC8E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2343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Kingdom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CAFDD" w14:textId="753D429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361B0" w14:textId="4A312BD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783D1" w14:textId="5B6AE65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8AB77" w14:textId="2F13634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6B319" w14:textId="15D4AC8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188C5" w14:textId="1AEB9C0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BA5D" w14:textId="5BCE4C8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88F4" w14:textId="1459CA0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-0.3</w:t>
            </w:r>
          </w:p>
        </w:tc>
      </w:tr>
      <w:tr w:rsidR="00DD40CB" w:rsidRPr="00591214" w14:paraId="42A441BC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37BDD5A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States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1E79067" w14:textId="53A84E3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B9B7690" w14:textId="7ACDDF2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6206687" w14:textId="46F7FF4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40A1864" w14:textId="3309A56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2569BE1" w14:textId="141B535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FA6E1C8" w14:textId="7759BC5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0305D5F" w14:textId="489A961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A7AC354" w14:textId="6D7BE2D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591214" w14:paraId="10BCDCB4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327AA96E" w14:textId="77777777" w:rsidR="00DD40CB" w:rsidRPr="00591214" w:rsidRDefault="00DD40CB" w:rsidP="00DD40CB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  <w:t>Imports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26C2BC86" w14:textId="44B9413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17C7392C" w14:textId="1206E9E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50E91451" w14:textId="2E488C2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18BD3E45" w14:textId="30366FD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2F0AA48D" w14:textId="336D6E9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465773A3" w14:textId="083938E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23FC19D2" w14:textId="1648D4C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64E70"/>
            <w:noWrap/>
            <w:vAlign w:val="bottom"/>
          </w:tcPr>
          <w:p w14:paraId="19774C75" w14:textId="0317AE7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D40CB" w:rsidRPr="00591214" w14:paraId="5166E08A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A1B5" w14:textId="77777777" w:rsidR="00DD40CB" w:rsidRPr="00591214" w:rsidRDefault="00DD40CB" w:rsidP="00DD40CB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G20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77F10" w14:textId="3E8D9CD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24847" w14:textId="59C7D7F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B9FDC" w14:textId="62B56EC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0B37B" w14:textId="6568BEA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25990" w14:textId="7E6638F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2C806" w14:textId="32A4866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0586F" w14:textId="6CC5885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7463" w14:textId="1A4C45A0" w:rsidR="00DD40CB" w:rsidRPr="00591214" w:rsidRDefault="008C0F18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  <w:t>..</w:t>
            </w:r>
          </w:p>
        </w:tc>
      </w:tr>
      <w:tr w:rsidR="00DD40CB" w:rsidRPr="00591214" w14:paraId="06393BF4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2C10198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Argentina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16720E6" w14:textId="5FC5362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-17.7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C65FAFD" w14:textId="2BBBE84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-12.4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F5A70E3" w14:textId="62CA279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BA9780D" w14:textId="005E5A4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F6F5E6B" w14:textId="3EB9F7A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E860496" w14:textId="7F5EEC2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66AE6E6" w14:textId="77959F2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E2901DB" w14:textId="4206999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4.5</w:t>
            </w:r>
          </w:p>
        </w:tc>
      </w:tr>
      <w:tr w:rsidR="00DD40CB" w:rsidRPr="00591214" w14:paraId="5F6295CF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A9D3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8E79B" w14:textId="12401A2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A0AFE" w14:textId="4037A57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94521E" w14:textId="31D32CD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F2A4F" w14:textId="0D6BAB1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6E846" w14:textId="7690592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99B86" w14:textId="1AB9941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03234" w14:textId="5C73560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DC85" w14:textId="4FB8274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-1.7</w:t>
            </w:r>
          </w:p>
        </w:tc>
      </w:tr>
      <w:tr w:rsidR="00DD40CB" w:rsidRPr="00591214" w14:paraId="37B84776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41A0894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5C8028F" w14:textId="66C8B03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5171E42" w14:textId="3C1D998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2F0C2EA" w14:textId="5698B96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9724514" w14:textId="3C0E401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FD0E156" w14:textId="09BDCD1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B618E9D" w14:textId="51717BD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8A8E5F1" w14:textId="09A8BF7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28A1E46" w14:textId="29C5582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3.8</w:t>
            </w:r>
          </w:p>
        </w:tc>
      </w:tr>
      <w:tr w:rsidR="00DD40CB" w:rsidRPr="00591214" w14:paraId="44780073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403A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Canada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EBA0D" w14:textId="12D46F1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5B6A" w14:textId="7AB5CC4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3D16B" w14:textId="2B6A5EE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5BC87" w14:textId="2AC712F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E6BE5" w14:textId="32305CA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E1CC3" w14:textId="045F96B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2463F" w14:textId="6224A8D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DBDD2" w14:textId="336F18B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591214" w14:paraId="25804A3E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AB6097A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4967505" w14:textId="481372E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B1429A4" w14:textId="2D2AF22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F8E56D7" w14:textId="6397FEB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2A63CEB" w14:textId="591439D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E7BA96F" w14:textId="77FC4BF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91FEBA8" w14:textId="24FA3E0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8A05ED4" w14:textId="2F2A9EE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B62B9D7" w14:textId="111E261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3.8</w:t>
            </w:r>
          </w:p>
        </w:tc>
      </w:tr>
      <w:tr w:rsidR="00DD40CB" w:rsidRPr="00591214" w14:paraId="5C1B665D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FDE5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EU 27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1E13" w14:textId="4CA8CA2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F7740" w14:textId="025F122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E9C82" w14:textId="14493F6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6DAED" w14:textId="59126AA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9CAC" w14:textId="32933CE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C65E0" w14:textId="55950DE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D11B9" w14:textId="52439E3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CDC1" w14:textId="0719F73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2.9</w:t>
            </w:r>
          </w:p>
        </w:tc>
      </w:tr>
      <w:tr w:rsidR="00DD40CB" w:rsidRPr="00591214" w14:paraId="0D9AEC70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232E45D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56F90D0" w14:textId="0A2D617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4134AE9" w14:textId="0A0077A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32DB433" w14:textId="4EFA492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B66BD34" w14:textId="72D666E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F7541F8" w14:textId="26370CD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07084E8" w14:textId="28F4EC2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7A7B2DE" w14:textId="571354C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785A86B" w14:textId="1BA919C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</w:tr>
      <w:tr w:rsidR="00DD40CB" w:rsidRPr="00591214" w14:paraId="780660FB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36D1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CB741" w14:textId="414E06C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F35D1" w14:textId="696728A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080D8" w14:textId="358F947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BCA36" w14:textId="604068F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98176" w14:textId="220862C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871D9" w14:textId="36C1BD2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44D7A" w14:textId="4182C46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D0B46" w14:textId="50B6977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</w:tr>
      <w:tr w:rsidR="00DD40CB" w:rsidRPr="00591214" w14:paraId="2523C9D1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7C3743F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04F607E" w14:textId="07DC779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0357FD0" w14:textId="2FE55FE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F7537B0" w14:textId="0D9E198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EE62EB5" w14:textId="0545673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F9AB271" w14:textId="5295A4C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CBC66FB" w14:textId="51DEA96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2C75B10" w14:textId="6614AE3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4FD5147" w14:textId="426CC58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6.8</w:t>
            </w:r>
          </w:p>
        </w:tc>
      </w:tr>
      <w:tr w:rsidR="00DD40CB" w:rsidRPr="00591214" w14:paraId="04D24781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132A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Indonesia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33F6" w14:textId="61E3B44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427F3" w14:textId="7788AE0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D8F55" w14:textId="518974B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0AC09" w14:textId="214FB4F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4AE48" w14:textId="09DD9CA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EF844" w14:textId="15CF8C5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-5.2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72910" w14:textId="5648692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F14EA" w14:textId="32F7052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-3.2</w:t>
            </w:r>
          </w:p>
        </w:tc>
      </w:tr>
      <w:tr w:rsidR="00DD40CB" w:rsidRPr="00591214" w14:paraId="2A25DFDD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20DC1F5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4D6A048" w14:textId="498DE9B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8CFC08D" w14:textId="644CA41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51AA542" w14:textId="6B3FFB8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A42AC1F" w14:textId="10A1E0A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AD1DE41" w14:textId="2D33784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04837E8" w14:textId="2A9AE67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D95A662" w14:textId="1387F11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11CD50B" w14:textId="6138F058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</w:tr>
      <w:tr w:rsidR="00DD40CB" w:rsidRPr="00591214" w14:paraId="26D8A558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E519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6B252" w14:textId="60695CD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-6.0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3BD24" w14:textId="451CCF5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C079E" w14:textId="7D4B583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CDD7D" w14:textId="4E84B38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9DAE1" w14:textId="53E8826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-5.0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EB4BE" w14:textId="19DECDD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8B00B" w14:textId="138C25C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79B9" w14:textId="0290EC6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-2.0</w:t>
            </w:r>
          </w:p>
        </w:tc>
      </w:tr>
      <w:tr w:rsidR="00DD40CB" w:rsidRPr="00591214" w14:paraId="5D73A684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04BF39D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CCDB549" w14:textId="0CC9E0F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AB096E5" w14:textId="37C9453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399C62D" w14:textId="3F724B9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D549744" w14:textId="1ECB600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13C13A0" w14:textId="7B30143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8C9A7C8" w14:textId="7E8508E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B368883" w14:textId="50B36E4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61FCFCD" w14:textId="0E9B0E2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4.9</w:t>
            </w:r>
          </w:p>
        </w:tc>
      </w:tr>
      <w:tr w:rsidR="00DD40CB" w:rsidRPr="00591214" w14:paraId="7D7A431F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F4E3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Mexico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A879F" w14:textId="6D7A14D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1D2D4" w14:textId="7F7EDB9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1D05B" w14:textId="40BC0FF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2F586" w14:textId="09BC7EC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B1CD95" w14:textId="1F582CD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86D93" w14:textId="14BC6BA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06CD5" w14:textId="1B7AA6B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E558" w14:textId="4B5A3AB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</w:tr>
      <w:tr w:rsidR="00DD40CB" w:rsidRPr="00591214" w14:paraId="55206438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66DFA84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4307657" w14:textId="5F8AFA2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238C005" w14:textId="71AAD605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62B668B" w14:textId="41E17EB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A09BD76" w14:textId="02C6365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2B61EFA" w14:textId="091EE8D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FCF1EC2" w14:textId="01D66B8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7DBCC53" w14:textId="19E7DD1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63A4972" w14:textId="6F19C21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591214" w14:paraId="24DC4E02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8EF6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South Africa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4C4E" w14:textId="4A386E5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-6.2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A3D7A" w14:textId="71ECE3A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-5.0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555F2" w14:textId="27E7644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F2306" w14:textId="72FEB82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F4532" w14:textId="30EBB17F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E427E" w14:textId="5D051C6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9AB01" w14:textId="281F1E9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22E05" w14:textId="4CE46C4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6.5</w:t>
            </w:r>
          </w:p>
        </w:tc>
      </w:tr>
      <w:tr w:rsidR="00DD40CB" w:rsidRPr="00591214" w14:paraId="569F758E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2A9748D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Türkiye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9E90630" w14:textId="721AC43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B9F256B" w14:textId="07E59B4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36B6CBC" w14:textId="0E8339B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B3753AB" w14:textId="5B4A783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491AC1F" w14:textId="52F312E0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3851BC6" w14:textId="5227F1F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4872DCE" w14:textId="617B763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0F51E7E" w14:textId="5872E6C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-7.3</w:t>
            </w:r>
          </w:p>
        </w:tc>
      </w:tr>
      <w:tr w:rsidR="00DD40CB" w:rsidRPr="00591214" w14:paraId="26F25A0F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A1C1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Kingdom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32DE7" w14:textId="4B0B84F4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4A0A7" w14:textId="13F874B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-3.4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4072C" w14:textId="3DA31FF2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42164" w14:textId="360D63F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1BD4A" w14:textId="3AC1383A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7900F" w14:textId="2196CAB6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E5090" w14:textId="30EB6017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5783B" w14:textId="50D22021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2.1</w:t>
            </w:r>
          </w:p>
        </w:tc>
      </w:tr>
      <w:tr w:rsidR="00DD40CB" w:rsidRPr="00591214" w14:paraId="7274EED4" w14:textId="77777777" w:rsidTr="00165F0D">
        <w:trPr>
          <w:trHeight w:val="277"/>
        </w:trPr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  <w:hideMark/>
          </w:tcPr>
          <w:p w14:paraId="3A75B722" w14:textId="77777777" w:rsidR="00DD40CB" w:rsidRPr="00591214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591214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States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0FF6A58" w14:textId="282780A9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719F8762" w14:textId="0E7F91BD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1019BD81" w14:textId="4F06B7EE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4687BDED" w14:textId="4FCB0F1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608E128D" w14:textId="3C0F835B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456A82D0" w14:textId="3A2F204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22294C5E" w14:textId="3CF57AE3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-18.4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5636DB8" w14:textId="30783A6C" w:rsidR="00DD40CB" w:rsidRPr="00591214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</w:tbl>
    <w:p w14:paraId="614C3365" w14:textId="4B5671D7" w:rsidR="002C1D60" w:rsidRPr="00DA48FF" w:rsidRDefault="002C1D60" w:rsidP="002C1D60">
      <w:pPr>
        <w:tabs>
          <w:tab w:val="left" w:pos="7088"/>
        </w:tabs>
        <w:spacing w:after="120"/>
        <w:jc w:val="both"/>
        <w:rPr>
          <w:rFonts w:ascii="Yu Gothic" w:eastAsia="Yu Gothic" w:hAnsi="Yu Gothic"/>
          <w:sz w:val="16"/>
          <w:szCs w:val="16"/>
        </w:rPr>
      </w:pPr>
      <w:r w:rsidRPr="00DA48FF">
        <w:rPr>
          <w:rFonts w:ascii="Yu Gothic" w:eastAsia="Yu Gothic" w:hAnsi="Yu Gothic"/>
          <w:sz w:val="16"/>
          <w:szCs w:val="16"/>
        </w:rPr>
        <w:t xml:space="preserve">Note: </w:t>
      </w:r>
      <w:r w:rsidR="00D116FD" w:rsidRPr="002C1D60">
        <w:rPr>
          <w:rFonts w:ascii="Yu Gothic" w:eastAsia="Yu Gothic" w:hAnsi="Yu Gothic"/>
          <w:sz w:val="16"/>
          <w:szCs w:val="16"/>
        </w:rPr>
        <w:t>The G20 aggregate does not include African Union countries, except for South Africa.</w:t>
      </w:r>
      <w:r w:rsidR="00D116FD">
        <w:rPr>
          <w:rFonts w:ascii="Yu Gothic" w:eastAsia="Yu Gothic" w:hAnsi="Yu Gothic"/>
          <w:sz w:val="16"/>
          <w:szCs w:val="16"/>
        </w:rPr>
        <w:t xml:space="preserve"> </w:t>
      </w:r>
      <w:r w:rsidRPr="00DA48FF">
        <w:rPr>
          <w:rFonts w:ascii="Yu Gothic" w:eastAsia="Yu Gothic" w:hAnsi="Yu Gothic"/>
          <w:sz w:val="16"/>
          <w:szCs w:val="16"/>
        </w:rPr>
        <w:t>The Russian Federation is included in the G20 estimates</w:t>
      </w:r>
      <w:r w:rsidR="00FF0442">
        <w:rPr>
          <w:rFonts w:ascii="Yu Gothic" w:eastAsia="Yu Gothic" w:hAnsi="Yu Gothic"/>
          <w:sz w:val="16"/>
          <w:szCs w:val="16"/>
        </w:rPr>
        <w:t xml:space="preserve">. </w:t>
      </w:r>
      <w:r w:rsidR="00415DF6">
        <w:rPr>
          <w:rFonts w:ascii="Yu Gothic" w:eastAsia="Yu Gothic" w:hAnsi="Yu Gothic"/>
          <w:sz w:val="16"/>
          <w:szCs w:val="16"/>
        </w:rPr>
        <w:t xml:space="preserve">For Q3 2025, the G20 aggregate was not computed due to insufficient coverage of reported data. </w:t>
      </w:r>
      <w:r>
        <w:rPr>
          <w:rFonts w:ascii="Yu Gothic" w:eastAsia="Yu Gothic" w:hAnsi="Yu Gothic"/>
          <w:sz w:val="16"/>
          <w:szCs w:val="16"/>
        </w:rPr>
        <w:t xml:space="preserve">Values that are not available are denoted with </w:t>
      </w:r>
      <w:r w:rsidRPr="00AC28C3">
        <w:rPr>
          <w:rFonts w:ascii="Yu Gothic" w:eastAsia="Yu Gothic" w:hAnsi="Yu Gothic"/>
          <w:sz w:val="16"/>
          <w:szCs w:val="16"/>
        </w:rPr>
        <w:t>“..”.</w:t>
      </w:r>
    </w:p>
    <w:p w14:paraId="4063D176" w14:textId="1E5F42D7" w:rsidR="008976A0" w:rsidRPr="00DA48FF" w:rsidRDefault="00EB0DF7" w:rsidP="00C81436">
      <w:pPr>
        <w:tabs>
          <w:tab w:val="left" w:pos="6230"/>
        </w:tabs>
        <w:spacing w:after="120"/>
        <w:rPr>
          <w:rFonts w:ascii="Yu Gothic" w:eastAsia="Yu Gothic" w:hAnsi="Yu Gothic"/>
          <w:b/>
          <w:sz w:val="16"/>
        </w:rPr>
      </w:pPr>
      <w:r w:rsidRPr="00DA48FF">
        <w:rPr>
          <w:rFonts w:ascii="Yu Gothic" w:eastAsia="Yu Gothic" w:hAnsi="Yu Gothic"/>
          <w:sz w:val="16"/>
          <w:szCs w:val="16"/>
        </w:rPr>
        <w:t xml:space="preserve">Source: OECD </w:t>
      </w:r>
      <w:r w:rsidR="00E840CD">
        <w:rPr>
          <w:rFonts w:ascii="Yu Gothic" w:eastAsia="Yu Gothic" w:hAnsi="Yu Gothic"/>
          <w:sz w:val="16"/>
          <w:szCs w:val="16"/>
        </w:rPr>
        <w:t>Data Explorer</w:t>
      </w:r>
      <w:r w:rsidRPr="00DA48FF">
        <w:rPr>
          <w:rFonts w:ascii="Yu Gothic" w:eastAsia="Yu Gothic" w:hAnsi="Yu Gothic"/>
          <w:sz w:val="16"/>
          <w:szCs w:val="16"/>
        </w:rPr>
        <w:t xml:space="preserve">: </w:t>
      </w:r>
      <w:hyperlink r:id="rId20" w:history="1">
        <w:r w:rsidR="00C4197A">
          <w:rPr>
            <w:rStyle w:val="Hyperlink"/>
            <w:rFonts w:ascii="Yu Gothic" w:eastAsia="Yu Gothic" w:hAnsi="Yu Gothic" w:cstheme="minorBidi"/>
            <w:sz w:val="16"/>
            <w:szCs w:val="16"/>
          </w:rPr>
          <w:t>International merchandise trade statistics</w:t>
        </w:r>
      </w:hyperlink>
      <w:r w:rsidR="008976A0" w:rsidRPr="00DA48FF">
        <w:rPr>
          <w:rFonts w:ascii="Yu Gothic" w:eastAsia="Yu Gothic" w:hAnsi="Yu Gothic"/>
          <w:b/>
          <w:sz w:val="16"/>
        </w:rPr>
        <w:br w:type="page"/>
      </w:r>
    </w:p>
    <w:p w14:paraId="5067824B" w14:textId="17FE8643" w:rsidR="009113DD" w:rsidRPr="00DA48FF" w:rsidRDefault="009113DD" w:rsidP="005F79C4">
      <w:pPr>
        <w:shd w:val="clear" w:color="auto" w:fill="E0F2FF"/>
        <w:tabs>
          <w:tab w:val="left" w:pos="7479"/>
        </w:tabs>
        <w:spacing w:after="0" w:line="192" w:lineRule="auto"/>
        <w:rPr>
          <w:rFonts w:ascii="Yu Gothic" w:eastAsia="Yu Gothic" w:hAnsi="Yu Gothic"/>
          <w:b/>
          <w:sz w:val="16"/>
        </w:rPr>
      </w:pPr>
      <w:r w:rsidRPr="00DA48FF">
        <w:rPr>
          <w:rFonts w:ascii="Yu Gothic" w:eastAsia="Yu Gothic" w:hAnsi="Yu Gothic"/>
          <w:b/>
          <w:sz w:val="20"/>
        </w:rPr>
        <w:lastRenderedPageBreak/>
        <w:t xml:space="preserve">Table </w:t>
      </w:r>
      <w:r w:rsidR="00683EED" w:rsidRPr="00DA48FF">
        <w:rPr>
          <w:rFonts w:ascii="Yu Gothic" w:eastAsia="Yu Gothic" w:hAnsi="Yu Gothic"/>
          <w:b/>
          <w:sz w:val="20"/>
        </w:rPr>
        <w:t>2</w:t>
      </w:r>
      <w:r w:rsidRPr="00DA48FF">
        <w:rPr>
          <w:rFonts w:ascii="Yu Gothic" w:eastAsia="Yu Gothic" w:hAnsi="Yu Gothic"/>
          <w:b/>
          <w:sz w:val="20"/>
        </w:rPr>
        <w:t xml:space="preserve"> – G20 </w:t>
      </w:r>
      <w:r w:rsidR="00683EED" w:rsidRPr="00DA48FF">
        <w:rPr>
          <w:rFonts w:ascii="Yu Gothic" w:eastAsia="Yu Gothic" w:hAnsi="Yu Gothic"/>
          <w:b/>
          <w:sz w:val="20"/>
        </w:rPr>
        <w:t xml:space="preserve">quarterly </w:t>
      </w:r>
      <w:r w:rsidRPr="00DA48FF">
        <w:rPr>
          <w:rFonts w:ascii="Yu Gothic" w:eastAsia="Yu Gothic" w:hAnsi="Yu Gothic"/>
          <w:b/>
          <w:sz w:val="20"/>
        </w:rPr>
        <w:t>international merchandise trade</w:t>
      </w:r>
    </w:p>
    <w:p w14:paraId="2DFE5CB3" w14:textId="1A71866B" w:rsidR="009113DD" w:rsidRPr="00DA48FF" w:rsidRDefault="009113DD" w:rsidP="005F79C4">
      <w:pPr>
        <w:shd w:val="clear" w:color="auto" w:fill="E0F2FF"/>
        <w:tabs>
          <w:tab w:val="left" w:pos="6230"/>
        </w:tabs>
        <w:rPr>
          <w:rFonts w:ascii="Yu Gothic" w:eastAsia="Yu Gothic" w:hAnsi="Yu Gothic"/>
          <w:sz w:val="18"/>
          <w:szCs w:val="18"/>
        </w:rPr>
      </w:pPr>
      <w:r w:rsidRPr="00DA48FF">
        <w:rPr>
          <w:rFonts w:ascii="Yu Gothic" w:eastAsia="Yu Gothic" w:hAnsi="Yu Gothic"/>
          <w:sz w:val="16"/>
        </w:rPr>
        <w:t>C</w:t>
      </w:r>
      <w:r w:rsidRPr="00DA48FF">
        <w:rPr>
          <w:rFonts w:ascii="Yu Gothic" w:eastAsia="Yu Gothic" w:hAnsi="Yu Gothic" w:cs="Helvetica"/>
          <w:sz w:val="18"/>
          <w:szCs w:val="18"/>
        </w:rPr>
        <w:t>urrent prices, billion US dollars, seasonally adjuste</w:t>
      </w:r>
      <w:r w:rsidRPr="00DA48FF">
        <w:rPr>
          <w:rFonts w:ascii="Yu Gothic" w:eastAsia="Yu Gothic" w:hAnsi="Yu Gothic"/>
          <w:sz w:val="18"/>
          <w:szCs w:val="18"/>
        </w:rPr>
        <w:t>d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90"/>
        <w:gridCol w:w="951"/>
        <w:gridCol w:w="863"/>
        <w:gridCol w:w="864"/>
        <w:gridCol w:w="864"/>
        <w:gridCol w:w="864"/>
        <w:gridCol w:w="866"/>
        <w:gridCol w:w="864"/>
        <w:gridCol w:w="864"/>
        <w:gridCol w:w="866"/>
      </w:tblGrid>
      <w:tr w:rsidR="00350EA1" w:rsidRPr="001C3F6E" w14:paraId="41AEF394" w14:textId="77777777" w:rsidTr="00165F0D">
        <w:trPr>
          <w:trHeight w:val="280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80A5" w14:textId="3D9A534F" w:rsidR="00350EA1" w:rsidRPr="001C3F6E" w:rsidRDefault="00350EA1" w:rsidP="001C3F6E">
            <w:pPr>
              <w:spacing w:after="0" w:line="240" w:lineRule="auto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1F65" w14:textId="77777777" w:rsidR="00350EA1" w:rsidRPr="001C3F6E" w:rsidRDefault="00350EA1" w:rsidP="001C3F6E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2024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4632A96" w14:textId="77777777" w:rsidR="00350EA1" w:rsidRPr="001C3F6E" w:rsidRDefault="00350EA1" w:rsidP="001C3F6E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653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1AEBEB6D" w14:textId="5CAD3E46" w:rsidR="00350EA1" w:rsidRPr="001C3F6E" w:rsidRDefault="00350EA1" w:rsidP="001C3F6E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2024</w:t>
            </w:r>
          </w:p>
        </w:tc>
        <w:tc>
          <w:tcPr>
            <w:tcW w:w="1240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5D41B8" w14:textId="4CCD2DC4" w:rsidR="00350EA1" w:rsidRPr="001C3F6E" w:rsidRDefault="00350EA1" w:rsidP="001C3F6E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2025</w:t>
            </w:r>
          </w:p>
        </w:tc>
      </w:tr>
      <w:tr w:rsidR="00350EA1" w:rsidRPr="001C3F6E" w14:paraId="765FE0A0" w14:textId="77777777" w:rsidTr="00165F0D">
        <w:trPr>
          <w:trHeight w:val="32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6FC35665" w14:textId="647AE58C" w:rsidR="00350EA1" w:rsidRPr="001C3F6E" w:rsidRDefault="00350EA1" w:rsidP="00350EA1">
            <w:pPr>
              <w:spacing w:after="0" w:line="240" w:lineRule="auto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33D65488" w14:textId="59C5229F" w:rsidR="00350EA1" w:rsidRPr="001C3F6E" w:rsidRDefault="00350EA1" w:rsidP="00350EA1">
            <w:pPr>
              <w:spacing w:after="0" w:line="240" w:lineRule="auto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  <w:hideMark/>
          </w:tcPr>
          <w:p w14:paraId="4075B85A" w14:textId="62BAA1FC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7F2E3174" w14:textId="6D48ED17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2A2C2A66" w14:textId="56C77B5A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7B635D3F" w14:textId="0A6C445E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Q3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2DFD440E" w14:textId="469218CE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6828A4D3" w14:textId="259CD950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  <w:hideMark/>
          </w:tcPr>
          <w:p w14:paraId="7A482763" w14:textId="5ABCB7F9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</w:t>
            </w: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3D1C0105" w14:textId="2FF98905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</w:t>
            </w: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350EA1" w:rsidRPr="001C3F6E" w14:paraId="2D438465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573942B9" w14:textId="77777777" w:rsidR="00350EA1" w:rsidRPr="001C3F6E" w:rsidRDefault="00350EA1" w:rsidP="00350EA1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  <w:t>Exports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64E70"/>
            <w:noWrap/>
            <w:vAlign w:val="bottom"/>
          </w:tcPr>
          <w:p w14:paraId="4AC1A2ED" w14:textId="4144B8B1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64E70"/>
            <w:noWrap/>
            <w:vAlign w:val="bottom"/>
          </w:tcPr>
          <w:p w14:paraId="01943146" w14:textId="0E3FD115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64E70"/>
            <w:noWrap/>
            <w:vAlign w:val="bottom"/>
          </w:tcPr>
          <w:p w14:paraId="2D32EF5F" w14:textId="355B6509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64E70"/>
            <w:noWrap/>
            <w:vAlign w:val="bottom"/>
          </w:tcPr>
          <w:p w14:paraId="1615D80C" w14:textId="7A5BF88E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64E70"/>
            <w:noWrap/>
            <w:vAlign w:val="bottom"/>
          </w:tcPr>
          <w:p w14:paraId="5F0DFCBE" w14:textId="4248B531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64E70"/>
            <w:noWrap/>
            <w:vAlign w:val="bottom"/>
          </w:tcPr>
          <w:p w14:paraId="36A5E5F2" w14:textId="038C8EA3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64E70"/>
            <w:noWrap/>
            <w:vAlign w:val="bottom"/>
          </w:tcPr>
          <w:p w14:paraId="157339B3" w14:textId="6BF7267E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64E70"/>
            <w:noWrap/>
            <w:vAlign w:val="bottom"/>
          </w:tcPr>
          <w:p w14:paraId="00795821" w14:textId="65042B1F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64E70"/>
            <w:noWrap/>
            <w:vAlign w:val="bottom"/>
          </w:tcPr>
          <w:p w14:paraId="4A36A422" w14:textId="6E58F036" w:rsidR="00350EA1" w:rsidRPr="001C3F6E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DD40CB" w:rsidRPr="001C3F6E" w14:paraId="27F0CAD6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E60B" w14:textId="77777777" w:rsidR="00DD40CB" w:rsidRPr="001C3F6E" w:rsidRDefault="00DD40CB" w:rsidP="00DD40CB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G20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F52E" w14:textId="218E14B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18390.3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8A5E6F6" w14:textId="62BD8BA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4510.7</w:t>
            </w:r>
          </w:p>
        </w:tc>
        <w:tc>
          <w:tcPr>
            <w:tcW w:w="41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0F9A51F3" w14:textId="1CA3FB2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4566.6</w:t>
            </w:r>
          </w:p>
        </w:tc>
        <w:tc>
          <w:tcPr>
            <w:tcW w:w="41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2E467E04" w14:textId="59E6234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4591.0</w:t>
            </w:r>
          </w:p>
        </w:tc>
        <w:tc>
          <w:tcPr>
            <w:tcW w:w="41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15D35C5" w14:textId="6CE4A2D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4626.9</w:t>
            </w:r>
          </w:p>
        </w:tc>
        <w:tc>
          <w:tcPr>
            <w:tcW w:w="41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4FE4A9FF" w14:textId="1A485E4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4606.5</w:t>
            </w:r>
          </w:p>
        </w:tc>
        <w:tc>
          <w:tcPr>
            <w:tcW w:w="41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125A76E7" w14:textId="6555EF4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4695.4</w:t>
            </w:r>
          </w:p>
        </w:tc>
        <w:tc>
          <w:tcPr>
            <w:tcW w:w="41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3903889" w14:textId="2CCA8CE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4816.8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5B796" w14:textId="11E6936A" w:rsidR="00DD40CB" w:rsidRPr="001C3F6E" w:rsidRDefault="008C0F18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  <w:t>..</w:t>
            </w:r>
          </w:p>
        </w:tc>
      </w:tr>
      <w:tr w:rsidR="00DD40CB" w:rsidRPr="001C3F6E" w14:paraId="5AE2BA99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5BA2494F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Argentina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BE3462B" w14:textId="324A6A8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</w:tcPr>
          <w:p w14:paraId="5907E418" w14:textId="6BE6C6C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1EC64BF4" w14:textId="0F65213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385CA44F" w14:textId="35B8930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55184E47" w14:textId="04EC342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207FE2FF" w14:textId="749A7FA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65340502" w14:textId="661F492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17B11CA8" w14:textId="5946858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0A52756" w14:textId="017D91D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22.4</w:t>
            </w:r>
          </w:p>
        </w:tc>
      </w:tr>
      <w:tr w:rsidR="00DD40CB" w:rsidRPr="001C3F6E" w14:paraId="449A428B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6DCD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3E31" w14:textId="4951B4D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341.0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700CD25" w14:textId="5E94332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CADB22" w14:textId="767ABB8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458744" w14:textId="5D780C0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84.2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762DBFF" w14:textId="6171F2A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84.5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69EAA7E" w14:textId="6B7704E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84.1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FF69FC" w14:textId="5002EA2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91A397" w14:textId="1ADDBFD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B6C9" w14:textId="4815ADF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86.2</w:t>
            </w:r>
          </w:p>
        </w:tc>
      </w:tr>
      <w:tr w:rsidR="00DD40CB" w:rsidRPr="001C3F6E" w14:paraId="0BC2CFA6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6CF79C58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235D19A" w14:textId="02BFB72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336.1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</w:tcPr>
          <w:p w14:paraId="15B7080B" w14:textId="0FE2CFA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29BC54A8" w14:textId="0B45FEA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39086F86" w14:textId="1746751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83.8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13AB2DE4" w14:textId="05064D2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290C3EE0" w14:textId="5DCA45D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55D4CFF2" w14:textId="33E6ABF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86.4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603A5612" w14:textId="3360E30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83.3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904E49B" w14:textId="26F330E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86.9</w:t>
            </w:r>
          </w:p>
        </w:tc>
      </w:tr>
      <w:tr w:rsidR="00DD40CB" w:rsidRPr="001C3F6E" w14:paraId="6AC913F7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5C4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Canada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9E77" w14:textId="5AA7FD2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569.7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F31020A" w14:textId="79A8EA2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628060F" w14:textId="602C0AE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139.7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87D51C7" w14:textId="14ABEC7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142.7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AB72173" w14:textId="229B0D7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143.3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8B10AB" w14:textId="316124B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144.0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80B4C6E" w14:textId="76CB469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147.7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4800FC5" w14:textId="6F5F15B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133.6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9E37E" w14:textId="2DD0329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1C3F6E" w14:paraId="636E9ADD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3F0FD79A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DCF05F0" w14:textId="2731BE7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3580.5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</w:tcPr>
          <w:p w14:paraId="6A239D9A" w14:textId="3A64E5D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837.2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73621FD8" w14:textId="4BD2910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879.0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166C87D3" w14:textId="681248D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897.6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5CA361EC" w14:textId="2080C8F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886.4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02F08463" w14:textId="07AA0D9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917.5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601381C9" w14:textId="21D8F2C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927.8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6766E239" w14:textId="1AE5FB8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951.1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1018C41" w14:textId="03F052D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944.6</w:t>
            </w:r>
          </w:p>
        </w:tc>
      </w:tr>
      <w:tr w:rsidR="00DD40CB" w:rsidRPr="001C3F6E" w14:paraId="69F779ED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F6DD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EU 27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494F" w14:textId="35A6332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7153.6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F375169" w14:textId="440467F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1777.7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83B10C5" w14:textId="7814FC3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1781.2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CFF376C" w14:textId="581CBE7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1780.6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5FE0C9E" w14:textId="61C4D2F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1822.1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E36CFD5" w14:textId="56DF57B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1770.5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7CFEE54" w14:textId="513470C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1818.9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F6DF16" w14:textId="63D75AB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1905.9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2F47" w14:textId="57BFB87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1966.9</w:t>
            </w:r>
          </w:p>
        </w:tc>
      </w:tr>
      <w:tr w:rsidR="00DD40CB" w:rsidRPr="001C3F6E" w14:paraId="31BFE48A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560D6FB5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C836132" w14:textId="711521A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639.4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</w:tcPr>
          <w:p w14:paraId="3734B154" w14:textId="52B8A46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7B83A826" w14:textId="1088388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161.6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04D6A255" w14:textId="54ED212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160.5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391E5957" w14:textId="281CCE8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159.1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5C563CDD" w14:textId="742BB4D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158.2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7369D774" w14:textId="4BC62F0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157.7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3E7B6FEE" w14:textId="0D06973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167.4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081E1CB" w14:textId="50E45FB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178.3</w:t>
            </w:r>
          </w:p>
        </w:tc>
      </w:tr>
      <w:tr w:rsidR="00DD40CB" w:rsidRPr="001C3F6E" w14:paraId="660B2896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5A06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747E" w14:textId="6437D80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1672.9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500AD738" w14:textId="4D6840E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417.4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AEF6A31" w14:textId="338E405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423.4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DC9B463" w14:textId="73466D4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418.1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E1A2AF6" w14:textId="6FDBB87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423.4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CEECF8B" w14:textId="5B40FF4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408.0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09CFFD5" w14:textId="678D3FD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411.0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20F5D6E" w14:textId="30D73C8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441.3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10A3" w14:textId="4C38DE1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453.8</w:t>
            </w:r>
          </w:p>
        </w:tc>
      </w:tr>
      <w:tr w:rsidR="00DD40CB" w:rsidRPr="001C3F6E" w14:paraId="5E9D269D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5520E77F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A5DC747" w14:textId="3CAC8E7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441.1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</w:tcPr>
          <w:p w14:paraId="2AB2EE53" w14:textId="42E245F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108.6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2D6D9F79" w14:textId="7DA313A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618BBD12" w14:textId="743608B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114.9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48E14CC1" w14:textId="57F8677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064A7390" w14:textId="6FA5E8C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111.2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714020EB" w14:textId="4ADF8B4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110.6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443BCDC2" w14:textId="7CF022F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112.4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5516504" w14:textId="2379A88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110.1</w:t>
            </w:r>
          </w:p>
        </w:tc>
      </w:tr>
      <w:tr w:rsidR="00DD40CB" w:rsidRPr="001C3F6E" w14:paraId="60988C06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3EE9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Indonesia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D3D60" w14:textId="0D4344B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263.6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47A83F5A" w14:textId="68B116F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63.9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C93315F" w14:textId="6CCB222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5D9BC89" w14:textId="47EA07E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22C85C" w14:textId="783D618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66.5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A6D3D2C" w14:textId="65D2B47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68.3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BD0B354" w14:textId="5F61CCA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69.3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07C580A" w14:textId="45F464C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A25CA" w14:textId="4BCAFEC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73.3</w:t>
            </w:r>
          </w:p>
        </w:tc>
      </w:tr>
      <w:tr w:rsidR="00DD40CB" w:rsidRPr="001C3F6E" w14:paraId="67574D5E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5740BF16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9EF80F6" w14:textId="459D2C5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672.4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</w:tcPr>
          <w:p w14:paraId="243352A2" w14:textId="39BB4F8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171.1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5FF5CE97" w14:textId="61E7289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168.7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74036A78" w14:textId="7C0DF3C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167.6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421861D9" w14:textId="3E4F582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169.4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3C6E9D2C" w14:textId="04F628C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166.7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7A906491" w14:textId="7287859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171.4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106F08BD" w14:textId="541C617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181.7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EAEEA18" w14:textId="5FD334C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189.9</w:t>
            </w:r>
          </w:p>
        </w:tc>
      </w:tr>
      <w:tr w:rsidR="00DD40CB" w:rsidRPr="001C3F6E" w14:paraId="5C24E781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0743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34F57" w14:textId="449D3C8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705.9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6E76059" w14:textId="5F28707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178.4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680276" w14:textId="2D6E97F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173.9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2334853" w14:textId="06C97ED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173.1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46A81B9" w14:textId="7B13748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181.3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4FF93C9" w14:textId="3469BC3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177.6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BD57058" w14:textId="5765DF0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183.6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643B025" w14:textId="7A2AA62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186.9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93C8D" w14:textId="5134008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184.0</w:t>
            </w:r>
          </w:p>
        </w:tc>
      </w:tr>
      <w:tr w:rsidR="00DD40CB" w:rsidRPr="001C3F6E" w14:paraId="284541C8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0ED22A7D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FB4C318" w14:textId="5304177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686.3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</w:tcPr>
          <w:p w14:paraId="44AD46B6" w14:textId="5F05692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165.4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467E8989" w14:textId="6D9FE21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168.2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7F6F294D" w14:textId="29B1A64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172.5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66907BB0" w14:textId="1F440F6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173.5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4FE5ED92" w14:textId="11101C6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172.1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42D7E3B0" w14:textId="321DFBB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164.3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6F46B51F" w14:textId="434EC86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176.1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69F4C78" w14:textId="406B6D0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184.6</w:t>
            </w:r>
          </w:p>
        </w:tc>
      </w:tr>
      <w:tr w:rsidR="00DD40CB" w:rsidRPr="001C3F6E" w14:paraId="04917F9D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5340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Mexico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B7D91" w14:textId="7442ED0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615.0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610CE9CF" w14:textId="468B071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148.7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77284A3" w14:textId="5E9B10E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151.2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574446" w14:textId="7DE5810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152.0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1E2E9DA" w14:textId="6893F26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154.8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932216C" w14:textId="0EC8872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338DBD1" w14:textId="3DF4F20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158.0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755A184" w14:textId="78F5C5B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161.3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0E76" w14:textId="07AFE3A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166.6</w:t>
            </w:r>
          </w:p>
        </w:tc>
      </w:tr>
      <w:tr w:rsidR="00DD40CB" w:rsidRPr="001C3F6E" w14:paraId="574FFE95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5CD96D18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C3B215D" w14:textId="01BCC75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305.3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</w:tcPr>
          <w:p w14:paraId="237BB8FD" w14:textId="423860B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78.9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5C749155" w14:textId="07E3665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78.7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7EF85865" w14:textId="39D8D20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78.8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186417D3" w14:textId="4DFDE42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52F2BA51" w14:textId="202794C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44E285E6" w14:textId="2984390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4137A58A" w14:textId="508C1F4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73.1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ED688EF" w14:textId="2A99A67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1C3F6E" w14:paraId="079D02FF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7817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South Africa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9DBA7" w14:textId="6392EBE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109.3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7F8C7293" w14:textId="167004B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A147A99" w14:textId="62726CA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B0098A" w14:textId="5ABEF9A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6AB154" w14:textId="6B7CD50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2218DDA" w14:textId="2F0591C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28.2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C4BAFB8" w14:textId="03B6ABD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A129A4" w14:textId="11EBB04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65E7" w14:textId="19D549D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29.6</w:t>
            </w:r>
          </w:p>
        </w:tc>
      </w:tr>
      <w:tr w:rsidR="00DD40CB" w:rsidRPr="001C3F6E" w14:paraId="3A6EA5A4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2D88AD55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Türkiye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F6E4E4C" w14:textId="267F691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261.3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E0F2FF"/>
            <w:noWrap/>
            <w:vAlign w:val="bottom"/>
          </w:tcPr>
          <w:p w14:paraId="75BEB131" w14:textId="00F088D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65.7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2FA0A11C" w14:textId="26BDFA3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40516FD6" w14:textId="6134071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0F3C3538" w14:textId="2400C1C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13D25BF8" w14:textId="4C17BFB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65.4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081EFC88" w14:textId="4622E56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67.5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E0F2FF"/>
            <w:noWrap/>
            <w:vAlign w:val="bottom"/>
          </w:tcPr>
          <w:p w14:paraId="27CAB32B" w14:textId="43C7D8B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67.3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6483038" w14:textId="64D2C49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68.5</w:t>
            </w:r>
          </w:p>
        </w:tc>
      </w:tr>
      <w:tr w:rsidR="00DD40CB" w:rsidRPr="001C3F6E" w14:paraId="2E69C125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617D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Kingdom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DB3E" w14:textId="04CBDCD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446.9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</w:tcPr>
          <w:p w14:paraId="3F2CA367" w14:textId="1BE33E9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E858401" w14:textId="77E488E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111.9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325EF2E" w14:textId="15642D2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110.2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155A93A" w14:textId="3F241B8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113.4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49F706" w14:textId="67413AB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111.4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696A32D" w14:textId="4C76B0E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117.5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FEFB3F" w14:textId="006CBA9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114.7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96A24" w14:textId="663F5A0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114.4</w:t>
            </w:r>
          </w:p>
        </w:tc>
      </w:tr>
      <w:tr w:rsidR="00DD40CB" w:rsidRPr="001C3F6E" w14:paraId="442EAA94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9EF"/>
            <w:noWrap/>
            <w:vAlign w:val="bottom"/>
            <w:hideMark/>
          </w:tcPr>
          <w:p w14:paraId="2A2368A8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States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9EF"/>
            <w:noWrap/>
            <w:vAlign w:val="bottom"/>
          </w:tcPr>
          <w:p w14:paraId="2B72C20F" w14:textId="276D54E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2061.7</w:t>
            </w:r>
          </w:p>
        </w:tc>
        <w:tc>
          <w:tcPr>
            <w:tcW w:w="413" w:type="pct"/>
            <w:tcBorders>
              <w:top w:val="nil"/>
              <w:left w:val="single" w:sz="4" w:space="0" w:color="auto"/>
              <w:bottom w:val="nil"/>
            </w:tcBorders>
            <w:shd w:val="clear" w:color="000000" w:fill="DDE9EF"/>
            <w:noWrap/>
            <w:vAlign w:val="bottom"/>
          </w:tcPr>
          <w:p w14:paraId="6C8B88CC" w14:textId="285DD94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508.2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DDE9EF"/>
            <w:noWrap/>
            <w:vAlign w:val="bottom"/>
          </w:tcPr>
          <w:p w14:paraId="400BE1A9" w14:textId="3364A88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513.2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DDE9EF"/>
            <w:noWrap/>
            <w:vAlign w:val="bottom"/>
          </w:tcPr>
          <w:p w14:paraId="22DCEB6F" w14:textId="37A2C81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512.8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DDE9EF"/>
            <w:noWrap/>
            <w:vAlign w:val="bottom"/>
          </w:tcPr>
          <w:p w14:paraId="1040CF67" w14:textId="7AE3144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523.5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DDE9EF"/>
            <w:noWrap/>
            <w:vAlign w:val="bottom"/>
          </w:tcPr>
          <w:p w14:paraId="2161603C" w14:textId="748D3C7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512.2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DDE9EF"/>
            <w:noWrap/>
            <w:vAlign w:val="bottom"/>
          </w:tcPr>
          <w:p w14:paraId="2FB5B205" w14:textId="69563B7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533.4</w:t>
            </w:r>
          </w:p>
        </w:tc>
        <w:tc>
          <w:tcPr>
            <w:tcW w:w="413" w:type="pct"/>
            <w:tcBorders>
              <w:top w:val="nil"/>
              <w:bottom w:val="nil"/>
            </w:tcBorders>
            <w:shd w:val="clear" w:color="000000" w:fill="DDE9EF"/>
            <w:noWrap/>
            <w:vAlign w:val="bottom"/>
          </w:tcPr>
          <w:p w14:paraId="687B2395" w14:textId="2C34E72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547.8</w:t>
            </w:r>
          </w:p>
        </w:tc>
        <w:tc>
          <w:tcPr>
            <w:tcW w:w="414" w:type="pct"/>
            <w:tcBorders>
              <w:top w:val="nil"/>
              <w:bottom w:val="nil"/>
              <w:right w:val="single" w:sz="4" w:space="0" w:color="auto"/>
            </w:tcBorders>
            <w:shd w:val="clear" w:color="000000" w:fill="DDE9EF"/>
            <w:noWrap/>
            <w:vAlign w:val="bottom"/>
          </w:tcPr>
          <w:p w14:paraId="57110D0E" w14:textId="04958F1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1C3F6E" w14:paraId="6D98557B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4D52B719" w14:textId="77777777" w:rsidR="00DD40CB" w:rsidRPr="001C3F6E" w:rsidRDefault="00DD40CB" w:rsidP="00DD40CB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  <w:t>Imports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794710EC" w14:textId="789FA58B" w:rsidR="00DD40CB" w:rsidRPr="001C3F6E" w:rsidRDefault="00DD40CB" w:rsidP="00DD40CB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36611B95" w14:textId="1F9EC22E" w:rsidR="00DD40CB" w:rsidRPr="001C3F6E" w:rsidRDefault="00DD40CB" w:rsidP="00DD40CB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466BE1B2" w14:textId="288C1BC7" w:rsidR="00DD40CB" w:rsidRPr="001C3F6E" w:rsidRDefault="00DD40CB" w:rsidP="00DD40CB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33BE36D7" w14:textId="22127C8F" w:rsidR="00DD40CB" w:rsidRPr="001C3F6E" w:rsidRDefault="00DD40CB" w:rsidP="00DD40CB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234AB365" w14:textId="3A413691" w:rsidR="00DD40CB" w:rsidRPr="001C3F6E" w:rsidRDefault="00DD40CB" w:rsidP="00DD40CB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03D0E2A4" w14:textId="72D7307D" w:rsidR="00DD40CB" w:rsidRPr="001C3F6E" w:rsidRDefault="00DD40CB" w:rsidP="00DD40CB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7F9362D9" w14:textId="446C271E" w:rsidR="00DD40CB" w:rsidRPr="001C3F6E" w:rsidRDefault="00DD40CB" w:rsidP="00DD40CB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544424A7" w14:textId="04257F8C" w:rsidR="00DD40CB" w:rsidRPr="001C3F6E" w:rsidRDefault="00DD40CB" w:rsidP="00DD40CB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64E70"/>
            <w:noWrap/>
            <w:vAlign w:val="bottom"/>
          </w:tcPr>
          <w:p w14:paraId="553F0464" w14:textId="2D9AC293" w:rsidR="00DD40CB" w:rsidRPr="001C3F6E" w:rsidRDefault="00DD40CB" w:rsidP="00DD40CB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D40CB" w:rsidRPr="001C3F6E" w14:paraId="3DCE9006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31C5" w14:textId="77777777" w:rsidR="00DD40CB" w:rsidRPr="001C3F6E" w:rsidRDefault="00DD40CB" w:rsidP="00DD40CB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G20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5FD34" w14:textId="25275B6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18579.7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F74EF" w14:textId="71E9EAE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4570.0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59B6A" w14:textId="35E6CA5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4557.0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7F9E4" w14:textId="71ED144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4626.8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A6524" w14:textId="2F304CE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4719.3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6CA3A" w14:textId="6B03E54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4677.3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8FD18" w14:textId="0F7EE18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4829.4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525C61" w14:textId="119FD0A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4829.6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EED32" w14:textId="33B5A83B" w:rsidR="00DD40CB" w:rsidRPr="001C3F6E" w:rsidRDefault="008C0F18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  <w:t>..</w:t>
            </w:r>
          </w:p>
        </w:tc>
      </w:tr>
      <w:tr w:rsidR="00DD40CB" w:rsidRPr="001C3F6E" w14:paraId="16C686B2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8780F7F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Argentina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0F74264" w14:textId="05478D9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8BAEC90" w14:textId="250F166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612426E" w14:textId="4EDBF4C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58B41F0" w14:textId="674AD52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A6D7512" w14:textId="3CDF347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431080F" w14:textId="59ECC57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80EFD17" w14:textId="6B61742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2104CCC" w14:textId="14B2B06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65F0819" w14:textId="2627039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19.4</w:t>
            </w:r>
          </w:p>
        </w:tc>
      </w:tr>
      <w:tr w:rsidR="00DD40CB" w:rsidRPr="001C3F6E" w14:paraId="386DCEC3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0572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DBC1" w14:textId="41C08D7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282.6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E3FD3" w14:textId="13000C7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34AC8" w14:textId="03EBCD5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71.9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8BF4A" w14:textId="083213D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70.7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F2B30" w14:textId="0431168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70.5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897D8" w14:textId="6A38E0B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69.6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61747" w14:textId="23120A3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7E884" w14:textId="061E1D1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75.7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FF52F" w14:textId="4C4E0D8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74.4</w:t>
            </w:r>
          </w:p>
        </w:tc>
      </w:tr>
      <w:tr w:rsidR="00DD40CB" w:rsidRPr="001C3F6E" w14:paraId="725270A2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7A1DBA4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7740363" w14:textId="6969297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262.2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8B2BA84" w14:textId="0269848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BAA33B9" w14:textId="250D893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61.6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B8EE48D" w14:textId="1355742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67.6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3E2AC5E" w14:textId="5055A1A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67.2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9FB865D" w14:textId="002696C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15E6D10" w14:textId="6373ECD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E8AB909" w14:textId="7152FBE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69.9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AE946EB" w14:textId="1796D3C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72.5</w:t>
            </w:r>
          </w:p>
        </w:tc>
      </w:tr>
      <w:tr w:rsidR="00DD40CB" w:rsidRPr="001C3F6E" w14:paraId="6498E0B3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F57B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Canada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48A0" w14:textId="1047C46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559.5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BECE7" w14:textId="2C474D7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138.9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C3E65" w14:textId="4674574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138.0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298C8" w14:textId="78441DD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141.4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C26AC" w14:textId="6839E16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E44B41" w14:textId="0F880E1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139.0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7F45A" w14:textId="71918FF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141.7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D5DE5C" w14:textId="784D3AD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05C11" w14:textId="45D64B6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1C3F6E" w14:paraId="05F9569B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7F11BDA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7C65874" w14:textId="4917826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2591.5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F3C474F" w14:textId="25F2E7B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656.9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688947D" w14:textId="72B0FF3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652.3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0B563BD" w14:textId="0B3C051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652.2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9C02BE3" w14:textId="189B7BF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645.8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C60A8C3" w14:textId="1FEEEF2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641.3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3372014" w14:textId="2C593E6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617.0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4D64D92" w14:textId="76BCA93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645.9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C6ABD9F" w14:textId="3EB4D07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670.5</w:t>
            </w:r>
          </w:p>
        </w:tc>
      </w:tr>
      <w:tr w:rsidR="00DD40CB" w:rsidRPr="001C3F6E" w14:paraId="623CFCFA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239E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EU 27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3DCA" w14:textId="39AD45B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6889.8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23C9B" w14:textId="4758159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1716.1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BF86C" w14:textId="1941C7E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1695.6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63992" w14:textId="0B9DE42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1716.5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9D4A" w14:textId="43463E6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1760.7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DCE1D" w14:textId="78D3C80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1717.6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90B25" w14:textId="6FADCEF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1742.8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D77C4" w14:textId="79E9E7D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1852.6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4E35" w14:textId="1D711F8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1907.0</w:t>
            </w:r>
          </w:p>
        </w:tc>
      </w:tr>
      <w:tr w:rsidR="00DD40CB" w:rsidRPr="001C3F6E" w14:paraId="34623D88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8C1E5BA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196F86C" w14:textId="17D2EC2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751.9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7C517A2" w14:textId="11B9C4B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189.9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F2877DF" w14:textId="1EBD988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187.3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E8B6D91" w14:textId="6A91FF6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190.4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5F73F6B" w14:textId="7E01379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189.7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948F3DE" w14:textId="0FBE75C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184.5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EC05932" w14:textId="18B8DF3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185.3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42AD34A" w14:textId="0757C98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198.6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9F8AF19" w14:textId="4DDAE84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202.5</w:t>
            </w:r>
          </w:p>
        </w:tc>
      </w:tr>
      <w:tr w:rsidR="00DD40CB" w:rsidRPr="001C3F6E" w14:paraId="09AE35E4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5004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D797B" w14:textId="620DDA6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1414.0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A16DC" w14:textId="487FE5B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352.5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BD216" w14:textId="6D9BE6C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352.6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75981" w14:textId="10F16FE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349.8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17696" w14:textId="195FDF3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361.9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F58B2" w14:textId="0E0428F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349.8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A7655" w14:textId="50A349B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357.9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A9AA1" w14:textId="2350CD9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386.6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0727" w14:textId="6DEC3CA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401.1</w:t>
            </w:r>
          </w:p>
        </w:tc>
      </w:tr>
      <w:tr w:rsidR="00DD40CB" w:rsidRPr="001C3F6E" w14:paraId="18F515C4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B5633AE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509A1D5" w14:textId="1AE0876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713.7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D923987" w14:textId="32B62F2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172.4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DB5BF04" w14:textId="123B339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171.2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06DE787" w14:textId="04364A6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172.9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357EF3F" w14:textId="31D1D7A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185.6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F822F7B" w14:textId="5A4B8B1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184.0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0647B97" w14:textId="1F23041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177.7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9E63E13" w14:textId="1D61867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181.3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0E8403B" w14:textId="416FF9A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193.5</w:t>
            </w:r>
          </w:p>
        </w:tc>
      </w:tr>
      <w:tr w:rsidR="00DD40CB" w:rsidRPr="001C3F6E" w14:paraId="5E6C1511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BD46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Indonesia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9DB54" w14:textId="7FC8D8D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233.1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0087E" w14:textId="5733051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2C808" w14:textId="5B57600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090ED" w14:textId="420BE57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4D2E0" w14:textId="5D6F599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AC21B" w14:textId="13CD527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53A69" w14:textId="46E0AFA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E9540" w14:textId="34BFD4D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0A08E" w14:textId="3E550BE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59.5</w:t>
            </w:r>
          </w:p>
        </w:tc>
      </w:tr>
      <w:tr w:rsidR="00DD40CB" w:rsidRPr="001C3F6E" w14:paraId="3AED17D1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37110D4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39F852F" w14:textId="5FB687E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621.1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9C532C5" w14:textId="7889048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D39691D" w14:textId="3B7FBE2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153.6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E824431" w14:textId="2EAEDBF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154.3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67EF0A8" w14:textId="0539B85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EE32364" w14:textId="12610BF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154.9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AD17C50" w14:textId="3014C4F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159.4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19AB965" w14:textId="27D5277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167.5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7C7113C" w14:textId="375739F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173.7</w:t>
            </w:r>
          </w:p>
        </w:tc>
      </w:tr>
      <w:tr w:rsidR="00DD40CB" w:rsidRPr="001C3F6E" w14:paraId="59421112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91C8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06BDE" w14:textId="2856EA9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741.1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6DEB1" w14:textId="29721EA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189.0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A0B3C" w14:textId="1A0F0CA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DE791" w14:textId="4E64C1D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184.8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99FA8" w14:textId="0A6D8C9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191.6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EE526" w14:textId="27B7E9E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182.0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C9929C" w14:textId="55961E3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189.2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A402B" w14:textId="7B11D3C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193.1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6EC3" w14:textId="75F69B8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189.3</w:t>
            </w:r>
          </w:p>
        </w:tc>
      </w:tr>
      <w:tr w:rsidR="00DD40CB" w:rsidRPr="001C3F6E" w14:paraId="25207231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695BE66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9B6273F" w14:textId="10B8D42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631.8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C0C6DB5" w14:textId="1DB05EE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157.3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3D9A015" w14:textId="123558E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155.2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EDF0BB0" w14:textId="23A0440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DD03269" w14:textId="565D82A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160.8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72AA6F6" w14:textId="5C6AF60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157.5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A53E36B" w14:textId="0E6E03F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153.6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F482E40" w14:textId="2D9B4A9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155.6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F2337CD" w14:textId="3989423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163.1</w:t>
            </w:r>
          </w:p>
        </w:tc>
      </w:tr>
      <w:tr w:rsidR="00DD40CB" w:rsidRPr="001C3F6E" w14:paraId="0F27B311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768C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Mexico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5D445" w14:textId="61BF37F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633.4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D14C4" w14:textId="7FD3BB3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151.6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2516E" w14:textId="78C2837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156.6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AEBF0" w14:textId="593BA0D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158.5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A1D25" w14:textId="5F961BC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158.8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CEECE" w14:textId="1CB408D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159.6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230ED" w14:textId="41C4FE3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156.9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BB0A4" w14:textId="3D5A894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161.2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4546D" w14:textId="55526E0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167.0</w:t>
            </w:r>
          </w:p>
        </w:tc>
      </w:tr>
      <w:tr w:rsidR="00DD40CB" w:rsidRPr="001C3F6E" w14:paraId="2D5BEF09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10D4203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4AA0E5B" w14:textId="56548DBC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232.6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AF5ABC7" w14:textId="04CE5B2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53.1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DCBB3E7" w14:textId="7B8C030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55.7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AC1911E" w14:textId="455CA97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55.5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EE8EA77" w14:textId="0EDDFB3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877A469" w14:textId="74FA732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0EB0710" w14:textId="4720454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37AF67D" w14:textId="3C0FACB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F4ECEB0" w14:textId="406180C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1C3F6E" w14:paraId="5E1D6077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EF7B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South Africa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918E6" w14:textId="7795669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D19E0" w14:textId="398EBAE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69CE9" w14:textId="33A5F5EF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E7E1F" w14:textId="00D8918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3F2F" w14:textId="0F53379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9B256" w14:textId="06877B84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24.9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B52ED" w14:textId="169A1AA9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92518" w14:textId="30FD7AD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B8C7" w14:textId="075F014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27.3</w:t>
            </w:r>
          </w:p>
        </w:tc>
      </w:tr>
      <w:tr w:rsidR="00DD40CB" w:rsidRPr="001C3F6E" w14:paraId="3895F69D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80A9B96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Türkiye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9FF819D" w14:textId="62C00D1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344.2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A1C3FC0" w14:textId="7CC21D5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84.9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8C668D0" w14:textId="3DEC011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EAFD903" w14:textId="21F1FC9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B25460C" w14:textId="5B72DEC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FFCFAE0" w14:textId="60DA4B0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73125E9" w14:textId="317DC667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89.5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38840DF" w14:textId="41313C5A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D2D940F" w14:textId="18E527D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86.0</w:t>
            </w:r>
          </w:p>
        </w:tc>
      </w:tr>
      <w:tr w:rsidR="00DD40CB" w:rsidRPr="001C3F6E" w14:paraId="7D167014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C5D7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Kingdom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CBD06" w14:textId="2A36CA4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735.0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C42A8" w14:textId="12FA2DA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181.9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5F8B5" w14:textId="22B72EAD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175.7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2EAC9" w14:textId="68865AB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185.5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C8E1" w14:textId="0554183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186.0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851DA" w14:textId="06310298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90A89" w14:textId="213D3F30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187.3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60AA8" w14:textId="45ADD03B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198.4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37D30" w14:textId="381A3F53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202.6</w:t>
            </w:r>
          </w:p>
        </w:tc>
      </w:tr>
      <w:tr w:rsidR="00DD40CB" w:rsidRPr="001C3F6E" w14:paraId="71B445CB" w14:textId="77777777" w:rsidTr="00165F0D">
        <w:trPr>
          <w:trHeight w:val="280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  <w:hideMark/>
          </w:tcPr>
          <w:p w14:paraId="60D6A0B5" w14:textId="77777777" w:rsidR="00DD40CB" w:rsidRPr="001C3F6E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C3F6E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States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4E019E5" w14:textId="61FC2F7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3266.4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444E2D60" w14:textId="22B5B9A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771.1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062F84C9" w14:textId="30A10CB2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787.5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6805BC61" w14:textId="2D70E34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808.4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3F18B945" w14:textId="5ECAFF3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830.6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3288525A" w14:textId="2CAEC411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840.0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32CC08B5" w14:textId="47A49226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998.4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5876E291" w14:textId="0F878AB5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814.5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3DEB435" w14:textId="5DE0FF7E" w:rsidR="00DD40CB" w:rsidRPr="001C3F6E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</w:tbl>
    <w:p w14:paraId="529A8682" w14:textId="50F46869" w:rsidR="00E457C6" w:rsidRPr="00DA48FF" w:rsidRDefault="00E457C6" w:rsidP="006A34D7">
      <w:pPr>
        <w:tabs>
          <w:tab w:val="left" w:pos="7088"/>
        </w:tabs>
        <w:spacing w:after="120"/>
        <w:jc w:val="both"/>
        <w:rPr>
          <w:rFonts w:ascii="Yu Gothic" w:eastAsia="Yu Gothic" w:hAnsi="Yu Gothic"/>
          <w:sz w:val="16"/>
          <w:szCs w:val="16"/>
        </w:rPr>
      </w:pPr>
      <w:r w:rsidRPr="00DA48FF">
        <w:rPr>
          <w:rFonts w:ascii="Yu Gothic" w:eastAsia="Yu Gothic" w:hAnsi="Yu Gothic"/>
          <w:sz w:val="16"/>
          <w:szCs w:val="16"/>
        </w:rPr>
        <w:t>Note:</w:t>
      </w:r>
      <w:r w:rsidR="0043268F" w:rsidRPr="00DA48FF">
        <w:rPr>
          <w:rFonts w:ascii="Yu Gothic" w:eastAsia="Yu Gothic" w:hAnsi="Yu Gothic"/>
          <w:sz w:val="16"/>
          <w:szCs w:val="16"/>
        </w:rPr>
        <w:t xml:space="preserve"> </w:t>
      </w:r>
      <w:r w:rsidR="00D116FD" w:rsidRPr="002C1D60">
        <w:rPr>
          <w:rFonts w:ascii="Yu Gothic" w:eastAsia="Yu Gothic" w:hAnsi="Yu Gothic"/>
          <w:sz w:val="16"/>
          <w:szCs w:val="16"/>
        </w:rPr>
        <w:t>The G20 aggregate does not include African Union countries, except for South Africa.</w:t>
      </w:r>
      <w:r w:rsidR="00D116FD">
        <w:rPr>
          <w:rFonts w:ascii="Yu Gothic" w:eastAsia="Yu Gothic" w:hAnsi="Yu Gothic"/>
          <w:sz w:val="16"/>
          <w:szCs w:val="16"/>
        </w:rPr>
        <w:t xml:space="preserve"> </w:t>
      </w:r>
      <w:r w:rsidRPr="00DA48FF">
        <w:rPr>
          <w:rFonts w:ascii="Yu Gothic" w:eastAsia="Yu Gothic" w:hAnsi="Yu Gothic"/>
          <w:sz w:val="16"/>
          <w:szCs w:val="16"/>
        </w:rPr>
        <w:t>The Russian Federation is included in the G20 estimates</w:t>
      </w:r>
      <w:r w:rsidR="00FF0442">
        <w:rPr>
          <w:rFonts w:ascii="Yu Gothic" w:eastAsia="Yu Gothic" w:hAnsi="Yu Gothic"/>
          <w:sz w:val="16"/>
          <w:szCs w:val="16"/>
        </w:rPr>
        <w:t xml:space="preserve">. </w:t>
      </w:r>
      <w:r w:rsidR="00415DF6">
        <w:rPr>
          <w:rFonts w:ascii="Yu Gothic" w:eastAsia="Yu Gothic" w:hAnsi="Yu Gothic"/>
          <w:sz w:val="16"/>
          <w:szCs w:val="16"/>
        </w:rPr>
        <w:t xml:space="preserve">For Q3 2025, the G20 aggregate was not computed due to insufficient coverage of reported data. </w:t>
      </w:r>
      <w:r w:rsidR="000D4BCF">
        <w:rPr>
          <w:rFonts w:ascii="Yu Gothic" w:eastAsia="Yu Gothic" w:hAnsi="Yu Gothic"/>
          <w:sz w:val="16"/>
          <w:szCs w:val="16"/>
        </w:rPr>
        <w:t xml:space="preserve">Values that are not available are denoted with </w:t>
      </w:r>
      <w:r w:rsidR="000D4BCF" w:rsidRPr="00AC28C3">
        <w:rPr>
          <w:rFonts w:ascii="Yu Gothic" w:eastAsia="Yu Gothic" w:hAnsi="Yu Gothic"/>
          <w:sz w:val="16"/>
          <w:szCs w:val="16"/>
        </w:rPr>
        <w:t>“..”.</w:t>
      </w:r>
    </w:p>
    <w:p w14:paraId="0D2701B8" w14:textId="273082DB" w:rsidR="00C24079" w:rsidRPr="00DA48FF" w:rsidRDefault="00EB0DF7" w:rsidP="00EB0DF7">
      <w:pPr>
        <w:tabs>
          <w:tab w:val="left" w:pos="6230"/>
        </w:tabs>
        <w:spacing w:after="120"/>
        <w:rPr>
          <w:rFonts w:ascii="Yu Gothic" w:eastAsia="Yu Gothic" w:hAnsi="Yu Gothic"/>
          <w:sz w:val="16"/>
        </w:rPr>
      </w:pPr>
      <w:r w:rsidRPr="00DA48FF">
        <w:rPr>
          <w:rFonts w:ascii="Yu Gothic" w:eastAsia="Yu Gothic" w:hAnsi="Yu Gothic"/>
          <w:sz w:val="16"/>
          <w:szCs w:val="16"/>
        </w:rPr>
        <w:t>Source: OECD Data</w:t>
      </w:r>
      <w:r w:rsidR="00E840CD">
        <w:rPr>
          <w:rFonts w:ascii="Yu Gothic" w:eastAsia="Yu Gothic" w:hAnsi="Yu Gothic"/>
          <w:sz w:val="16"/>
          <w:szCs w:val="16"/>
        </w:rPr>
        <w:t xml:space="preserve"> Explorer</w:t>
      </w:r>
      <w:r w:rsidRPr="00DA48FF">
        <w:rPr>
          <w:rFonts w:ascii="Yu Gothic" w:eastAsia="Yu Gothic" w:hAnsi="Yu Gothic"/>
          <w:sz w:val="16"/>
          <w:szCs w:val="16"/>
        </w:rPr>
        <w:t xml:space="preserve">: </w:t>
      </w:r>
      <w:hyperlink r:id="rId21" w:history="1">
        <w:r w:rsidR="00C4197A">
          <w:rPr>
            <w:rStyle w:val="Hyperlink"/>
            <w:rFonts w:ascii="Yu Gothic" w:eastAsia="Yu Gothic" w:hAnsi="Yu Gothic" w:cstheme="minorBidi"/>
            <w:sz w:val="16"/>
            <w:szCs w:val="16"/>
          </w:rPr>
          <w:t>International merchandise trade statistics</w:t>
        </w:r>
      </w:hyperlink>
    </w:p>
    <w:p w14:paraId="54751030" w14:textId="5CE7F096" w:rsidR="00683EED" w:rsidRPr="00DA48FF" w:rsidRDefault="00683EED" w:rsidP="005F79C4">
      <w:pPr>
        <w:shd w:val="clear" w:color="auto" w:fill="E0F2FF"/>
        <w:tabs>
          <w:tab w:val="left" w:pos="7479"/>
        </w:tabs>
        <w:spacing w:after="0" w:line="192" w:lineRule="auto"/>
        <w:rPr>
          <w:rFonts w:ascii="Yu Gothic" w:eastAsia="Yu Gothic" w:hAnsi="Yu Gothic"/>
          <w:b/>
          <w:sz w:val="18"/>
          <w:szCs w:val="18"/>
        </w:rPr>
      </w:pPr>
      <w:r w:rsidRPr="00DA48FF">
        <w:rPr>
          <w:rFonts w:ascii="Yu Gothic" w:eastAsia="Yu Gothic" w:hAnsi="Yu Gothic"/>
          <w:b/>
          <w:sz w:val="20"/>
        </w:rPr>
        <w:lastRenderedPageBreak/>
        <w:t>Table 3 – G20 quarterly international trade in services</w:t>
      </w:r>
    </w:p>
    <w:p w14:paraId="56AD85A2" w14:textId="49058681" w:rsidR="000838AA" w:rsidRDefault="00683EED" w:rsidP="005F79C4">
      <w:pPr>
        <w:shd w:val="clear" w:color="auto" w:fill="E0F2FF"/>
        <w:tabs>
          <w:tab w:val="left" w:pos="6230"/>
        </w:tabs>
        <w:rPr>
          <w:rFonts w:ascii="Yu Gothic" w:eastAsia="Yu Gothic" w:hAnsi="Yu Gothic"/>
          <w:sz w:val="16"/>
          <w:szCs w:val="16"/>
        </w:rPr>
      </w:pPr>
      <w:r w:rsidRPr="00DA48FF">
        <w:rPr>
          <w:rFonts w:ascii="Yu Gothic" w:eastAsia="Yu Gothic" w:hAnsi="Yu Gothic"/>
          <w:sz w:val="18"/>
          <w:szCs w:val="18"/>
        </w:rPr>
        <w:t>P</w:t>
      </w:r>
      <w:r w:rsidRPr="00DA48FF">
        <w:rPr>
          <w:rFonts w:ascii="Yu Gothic" w:eastAsia="Yu Gothic" w:hAnsi="Yu Gothic" w:cs="Helvetica"/>
          <w:sz w:val="18"/>
          <w:szCs w:val="18"/>
        </w:rPr>
        <w:t>ercentage change on the previous period, current US dollars, seasonally adjuste</w:t>
      </w:r>
      <w:r w:rsidRPr="00DA48FF">
        <w:rPr>
          <w:rFonts w:ascii="Yu Gothic" w:eastAsia="Yu Gothic" w:hAnsi="Yu Gothic"/>
          <w:sz w:val="18"/>
          <w:szCs w:val="18"/>
        </w:rPr>
        <w:t>d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4"/>
        <w:gridCol w:w="978"/>
        <w:gridCol w:w="984"/>
        <w:gridCol w:w="984"/>
        <w:gridCol w:w="984"/>
        <w:gridCol w:w="984"/>
        <w:gridCol w:w="9"/>
        <w:gridCol w:w="981"/>
        <w:gridCol w:w="985"/>
        <w:gridCol w:w="983"/>
      </w:tblGrid>
      <w:tr w:rsidR="00350EA1" w:rsidRPr="00903AD0" w14:paraId="2BAFB3F6" w14:textId="77777777" w:rsidTr="00350EA1">
        <w:trPr>
          <w:trHeight w:val="276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9995" w14:textId="23FE3EDC" w:rsidR="00350EA1" w:rsidRPr="00903AD0" w:rsidRDefault="00350EA1" w:rsidP="00903AD0">
            <w:pPr>
              <w:spacing w:after="0" w:line="240" w:lineRule="auto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9C4F" w14:textId="77777777" w:rsidR="00350EA1" w:rsidRPr="00903AD0" w:rsidRDefault="00350EA1" w:rsidP="00903AD0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2024</w:t>
            </w:r>
          </w:p>
        </w:tc>
        <w:tc>
          <w:tcPr>
            <w:tcW w:w="1886" w:type="pct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CF5178E" w14:textId="5F14BC5E" w:rsidR="00350EA1" w:rsidRPr="00903AD0" w:rsidRDefault="00350EA1" w:rsidP="00903AD0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202</w:t>
            </w: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410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4723032" w14:textId="4959378D" w:rsidR="00350EA1" w:rsidRPr="00903AD0" w:rsidRDefault="00350EA1" w:rsidP="00903AD0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2025</w:t>
            </w:r>
          </w:p>
        </w:tc>
      </w:tr>
      <w:tr w:rsidR="00350EA1" w:rsidRPr="00903AD0" w14:paraId="62191CC8" w14:textId="77777777" w:rsidTr="00165F0D">
        <w:trPr>
          <w:trHeight w:val="31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E97B2A2" w14:textId="6BBE53F0" w:rsidR="00350EA1" w:rsidRPr="00903AD0" w:rsidRDefault="00350EA1" w:rsidP="00350EA1">
            <w:pPr>
              <w:spacing w:after="0" w:line="240" w:lineRule="auto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6CACACE7" w14:textId="7FA70C1B" w:rsidR="00350EA1" w:rsidRPr="00903AD0" w:rsidRDefault="00350EA1" w:rsidP="00350EA1">
            <w:pPr>
              <w:spacing w:after="0" w:line="240" w:lineRule="auto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7721D61" w14:textId="64982C7E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FDDF36C" w14:textId="54EDA1FD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0D04043" w14:textId="448C6572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03E35DE" w14:textId="3A900B89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DA52BEF" w14:textId="72273ABF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493690F" w14:textId="3213F41B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</w:t>
            </w: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563248A1" w14:textId="077AC07E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</w:t>
            </w: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*</w:t>
            </w:r>
          </w:p>
        </w:tc>
      </w:tr>
      <w:tr w:rsidR="00350EA1" w:rsidRPr="00903AD0" w14:paraId="58A00DC2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78720BC1" w14:textId="77777777" w:rsidR="00350EA1" w:rsidRPr="00903AD0" w:rsidRDefault="00350EA1" w:rsidP="00350EA1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  <w:t>Exports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4A39E8EB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2AA95850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3DADBFD7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4DA57F95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611C6738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19B0C55C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2D90111F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64E70"/>
            <w:noWrap/>
            <w:vAlign w:val="bottom"/>
            <w:hideMark/>
          </w:tcPr>
          <w:p w14:paraId="0AED9CAB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DD40CB" w:rsidRPr="00903AD0" w14:paraId="2F3AB228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A9D1" w14:textId="77777777" w:rsidR="00DD40CB" w:rsidRPr="00903AD0" w:rsidRDefault="00DD40CB" w:rsidP="00DD40CB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G20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B5E57" w14:textId="18DD171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EF7E9" w14:textId="2E48134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98A59" w14:textId="1F5999E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D56F7" w14:textId="1E9AB73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E2B61" w14:textId="6A02FC2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30693" w14:textId="0E30F7C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0032E" w14:textId="39DFED9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6C405" w14:textId="429D0A5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1F4F9D7E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9D1872A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Argentina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63B3FE7" w14:textId="163B6B5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A0F859D" w14:textId="7D03EC2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085CC40" w14:textId="7A605AB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7F98286" w14:textId="7853112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A112F43" w14:textId="4B302B5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04EFC5A" w14:textId="22ACDE9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133C876" w14:textId="1B2ABC5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A9E2072" w14:textId="7CDC8C7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7ACF9B23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A9CA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37B02" w14:textId="614846D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2C04A" w14:textId="3A2BC81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79214" w14:textId="1BCCE68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EBCFC5" w14:textId="3C56CBE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EB5D9" w14:textId="01B4973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31448" w14:textId="05D06B8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DEED0" w14:textId="2AB84B2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F8789" w14:textId="1DD55DE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49D08A05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97F7E09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B12DD88" w14:textId="36A9552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DC9A870" w14:textId="7223288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C4F983E" w14:textId="491F5DE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4906E44" w14:textId="11B642A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3E32E8C" w14:textId="5819D31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D7D96D7" w14:textId="100EBB5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61071BF" w14:textId="3CE81D1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FE89CB4" w14:textId="2D20BA2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4.3</w:t>
            </w:r>
          </w:p>
        </w:tc>
      </w:tr>
      <w:tr w:rsidR="00DD40CB" w:rsidRPr="00903AD0" w14:paraId="74B25865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BB98E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Canada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A7153" w14:textId="0DEFE6F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A56D8" w14:textId="1DDB3B0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26035" w14:textId="53D3760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18C87" w14:textId="10E09BD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8BE27" w14:textId="01021A7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3D755" w14:textId="505E108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88058" w14:textId="007BB22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066BE" w14:textId="2C2ABBE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265CCCC0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8F5FE91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03405D4" w14:textId="35395FA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6D040F3" w14:textId="3F56FC0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E588730" w14:textId="0AC3038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5471F44" w14:textId="7FCE72D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4876406" w14:textId="2B192A2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914F85E" w14:textId="7181AD8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-5.6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4892536" w14:textId="5B8469C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C655439" w14:textId="42D2344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6.2</w:t>
            </w:r>
          </w:p>
        </w:tc>
      </w:tr>
      <w:tr w:rsidR="00DD40CB" w:rsidRPr="00903AD0" w14:paraId="1C465323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A483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EU 27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095B" w14:textId="0F1E8C8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6EB1C" w14:textId="3C7502F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65F2C" w14:textId="259848D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DF832" w14:textId="7502D7A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76E81" w14:textId="1FC6F2F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E72AA0" w14:textId="1A0A4B9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AF4D8" w14:textId="53EFBB1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FEF90" w14:textId="3FFED37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197346DC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0F027E0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836A520" w14:textId="5ADCF10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36993EA" w14:textId="66281B5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45C694D" w14:textId="716A8AC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8407B07" w14:textId="2159D69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CBC7D08" w14:textId="7363EF7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6156C4F" w14:textId="1DCC2A9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EE8C25A" w14:textId="0893C13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274E49E" w14:textId="5EA348C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3.6</w:t>
            </w:r>
          </w:p>
        </w:tc>
      </w:tr>
      <w:tr w:rsidR="00DD40CB" w:rsidRPr="00903AD0" w14:paraId="1ABDFEB6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2801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5B683" w14:textId="08EDC77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774B8" w14:textId="6A9A28F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756202" w14:textId="5FECF89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D8BD2" w14:textId="343A62E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9BE64" w14:textId="425FA45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9B505" w14:textId="682B287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242DD" w14:textId="7EFBBD5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C09BB" w14:textId="62415FB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1.0</w:t>
            </w:r>
          </w:p>
        </w:tc>
      </w:tr>
      <w:tr w:rsidR="00DD40CB" w:rsidRPr="00903AD0" w14:paraId="1DE05FBA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5E1534E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04579E1" w14:textId="3135437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4617C76" w14:textId="7A1AE84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AF09EE5" w14:textId="662ABBF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C0CA3E9" w14:textId="59D5BAE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BF910FC" w14:textId="3E7E8C3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D0D909A" w14:textId="18283F7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C7143EE" w14:textId="20D8972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047CF16" w14:textId="3F584AD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</w:tr>
      <w:tr w:rsidR="00DD40CB" w:rsidRPr="00903AD0" w14:paraId="29E5E5EB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2927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Indonesia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89B0D" w14:textId="5EED430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1326B" w14:textId="5ECB046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7ED8B" w14:textId="51621CA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D0A997" w14:textId="742106E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06D341" w14:textId="2647998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E356CF" w14:textId="19501CD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-9.7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5EFC7" w14:textId="362F50E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CA86B" w14:textId="39DBE0D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44A5A0E3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3B22210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3D1BAC6" w14:textId="03A7AF5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FF6F440" w14:textId="14780AC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0052F89" w14:textId="18465DB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1FD9761" w14:textId="69F51FE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8A51A69" w14:textId="7669EC0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0F31480" w14:textId="34669D7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8662AA0" w14:textId="7706356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27DF179" w14:textId="57E42D5F" w:rsidR="00DD40CB" w:rsidRPr="00903AD0" w:rsidRDefault="00A145CD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0.2</w:t>
            </w:r>
          </w:p>
        </w:tc>
      </w:tr>
      <w:tr w:rsidR="00DD40CB" w:rsidRPr="00903AD0" w14:paraId="0E735280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F23E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EFCD3" w14:textId="02F1C8B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635B8" w14:textId="1EBEDCC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-7.5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7B27A" w14:textId="248BB5F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6DC0C" w14:textId="358DC36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4773A" w14:textId="74FAD8C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EAEC1" w14:textId="22E4FDB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431546" w14:textId="526F04C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259A" w14:textId="7932F5C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-5.8</w:t>
            </w:r>
          </w:p>
        </w:tc>
      </w:tr>
      <w:tr w:rsidR="00DD40CB" w:rsidRPr="00903AD0" w14:paraId="78093E99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930ABE6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B3F879F" w14:textId="77A0E9F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F42BC59" w14:textId="6FACB7E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E407727" w14:textId="64FF38A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A27DE51" w14:textId="1F4F6F2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688D0BF" w14:textId="46FE9C9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9BD0B07" w14:textId="3DEC045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45CC4A3" w14:textId="10AEC61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5F08ACB" w14:textId="3314AB5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6.1</w:t>
            </w:r>
          </w:p>
        </w:tc>
      </w:tr>
      <w:tr w:rsidR="00DD40CB" w:rsidRPr="00903AD0" w14:paraId="7314B4BA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5DE8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Mexico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65D88" w14:textId="4BE4DD7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EF27C" w14:textId="171AA85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97535" w14:textId="611C8D3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25D41" w14:textId="76FFEA5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048C6" w14:textId="5468EC0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4BCAE" w14:textId="390442F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736A6" w14:textId="0FFF2A1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87D89" w14:textId="0A893B5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444E647C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C663A1B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8D0056E" w14:textId="11BABF7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F6D5541" w14:textId="2A31741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06C880B" w14:textId="704BB08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EABB0E9" w14:textId="3BF55EE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BAECD35" w14:textId="119E359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C036B80" w14:textId="0621380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A401A71" w14:textId="379D9D0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-22.3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8432E26" w14:textId="4846771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4A488271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CC7B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South Africa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3F95" w14:textId="6EEB5BF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A1A1C" w14:textId="3C84323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87BFC" w14:textId="625E44B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E96E42" w14:textId="02E5D28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7892F" w14:textId="5E2DF74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6942F" w14:textId="355831D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FAD2E" w14:textId="5CBADA6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3C34E" w14:textId="6EEB547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07330893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AC113AC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Türkiye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C1C9988" w14:textId="6ED3334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03ACD66" w14:textId="08CAA91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AE69779" w14:textId="68CC6DE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B4DD97E" w14:textId="7295DBF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49D9D20" w14:textId="06A1ED8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DA1B31C" w14:textId="71921C6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F6114E1" w14:textId="3FA7124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A6B0887" w14:textId="22DD175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-3.4</w:t>
            </w:r>
          </w:p>
        </w:tc>
      </w:tr>
      <w:tr w:rsidR="00DD40CB" w:rsidRPr="00903AD0" w14:paraId="4E11C67D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A799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Kingdom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67B43" w14:textId="1238DA0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39BA5" w14:textId="47D643E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F6EEC5" w14:textId="33E7B89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2CFA2" w14:textId="53E3626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47269" w14:textId="6A4CFE8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609F4" w14:textId="600DAE6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88705" w14:textId="25FB454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9931" w14:textId="2BDD84B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1.1</w:t>
            </w:r>
          </w:p>
        </w:tc>
      </w:tr>
      <w:tr w:rsidR="00DD40CB" w:rsidRPr="00903AD0" w14:paraId="2074BE18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1AF89383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States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D3FC3DC" w14:textId="418EC4F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2499C66" w14:textId="19932BE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D01C7D9" w14:textId="6A7A460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85CC505" w14:textId="2560768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9FF2DF4" w14:textId="4D52111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D92BB03" w14:textId="7370404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11D45F8" w14:textId="639DE1A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B1219CE" w14:textId="232296A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65950F09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39AD526C" w14:textId="77777777" w:rsidR="00DD40CB" w:rsidRPr="00903AD0" w:rsidRDefault="00DD40CB" w:rsidP="00DD40CB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  <w:t>Imports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493FB973" w14:textId="4D3A4A5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2CBA3DCE" w14:textId="4CE5AFB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7FE1D72E" w14:textId="18D0270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16090DA1" w14:textId="643A930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745C8E29" w14:textId="0DCA675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1DC6AF56" w14:textId="3C511F3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6A413435" w14:textId="70B4DFE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64E70"/>
            <w:noWrap/>
            <w:vAlign w:val="bottom"/>
          </w:tcPr>
          <w:p w14:paraId="627CB768" w14:textId="7F1CF96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DD40CB" w:rsidRPr="00903AD0" w14:paraId="444F6C09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A895" w14:textId="77777777" w:rsidR="00DD40CB" w:rsidRPr="00903AD0" w:rsidRDefault="00DD40CB" w:rsidP="00DD40CB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G20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2D94" w14:textId="2773037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F4B40" w14:textId="2859512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B0D7" w14:textId="506ED6F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AF2BD" w14:textId="6C9AFE0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EECD7" w14:textId="4A07058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0C613" w14:textId="185F57E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BBC2B" w14:textId="7A869BD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E7B5D" w14:textId="655D086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16093B6F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5F07986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Argentina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572E4DE" w14:textId="770C48F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3C2F4AA" w14:textId="4E3B072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-5.1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930D354" w14:textId="6613E2A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12838DA" w14:textId="7F2D6B6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F19B5EC" w14:textId="5F84D62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864F774" w14:textId="09A0E4A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475D304" w14:textId="6F66CC5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-15.1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72D0AEE" w14:textId="447F138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2BF7AFC8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9C53F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0FD5E" w14:textId="33E9D2A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4E62D" w14:textId="1691B4E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F1CE5" w14:textId="1474F9B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46125" w14:textId="158E857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FAE1E" w14:textId="651DEF0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7A166" w14:textId="2823AD3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77A21" w14:textId="730F1A5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270B" w14:textId="1865441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00B150E4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81F5CE1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63AF9AE" w14:textId="7EB415B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F896F29" w14:textId="20EF611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67A67C3" w14:textId="710F01C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0EB84F3" w14:textId="07EFCF7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6582157" w14:textId="392C56A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-4.3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E03CFE2" w14:textId="621C7FA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34B03AB" w14:textId="47AFF23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FD886A0" w14:textId="5AB3AC5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6.6</w:t>
            </w:r>
          </w:p>
        </w:tc>
      </w:tr>
      <w:tr w:rsidR="00DD40CB" w:rsidRPr="00903AD0" w14:paraId="30CC413D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E71D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Canada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7046D" w14:textId="19E454E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1941D" w14:textId="399B9FB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BFBCF" w14:textId="41E87CB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7F922" w14:textId="76E71AE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D6B64" w14:textId="691EAD8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-3.2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D8D3A" w14:textId="3EC3D1A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FE93A" w14:textId="7BEA9AF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12FE" w14:textId="374365F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5D24F2A5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6EF8606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DF55BE3" w14:textId="626415E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8D2E6C9" w14:textId="55D71FC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DEC8643" w14:textId="1C5F81B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5E778A0" w14:textId="76C3073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C0B8C7B" w14:textId="17BC298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2193C46" w14:textId="2174A7F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D2A315A" w14:textId="787E9FD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-5.9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6B4476D" w14:textId="16F521E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1.1</w:t>
            </w:r>
          </w:p>
        </w:tc>
      </w:tr>
      <w:tr w:rsidR="00DD40CB" w:rsidRPr="00903AD0" w14:paraId="2128638A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79CF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EU 27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DA30" w14:textId="252B308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D0AC6" w14:textId="6896B63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335A2" w14:textId="37E587B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D6150" w14:textId="5BD3973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B359F" w14:textId="6597ECB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4DC78" w14:textId="63DC56A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ABAEA" w14:textId="741C484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17C3F" w14:textId="25D0DCC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2BF57821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57F7947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65C71F6" w14:textId="4D6ACAC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38CA3B0" w14:textId="2515000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5706F0F" w14:textId="17F8124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56136F0" w14:textId="40F0027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D8580A3" w14:textId="4727D43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5A4B2D3" w14:textId="67A96B4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A6D18AD" w14:textId="3C45444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6587E64" w14:textId="0E453B2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5.2</w:t>
            </w:r>
          </w:p>
        </w:tc>
      </w:tr>
      <w:tr w:rsidR="00DD40CB" w:rsidRPr="00903AD0" w14:paraId="73D9AD36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4D81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FF43A" w14:textId="26C234C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92EEA" w14:textId="02961E8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98953" w14:textId="316A58B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5DF1C" w14:textId="01A8B7B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D2A95" w14:textId="3D4E53E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883F" w14:textId="5482BFD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2A4DC" w14:textId="3683AF9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932B" w14:textId="5C4F1DA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-0.7</w:t>
            </w:r>
          </w:p>
        </w:tc>
      </w:tr>
      <w:tr w:rsidR="00DD40CB" w:rsidRPr="00903AD0" w14:paraId="2CC00070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0D6F399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14BD52D" w14:textId="0AE03EC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53DF9B6" w14:textId="018799F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5A1A2AC" w14:textId="4E341E8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4EA5502" w14:textId="4B46C91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CCC143A" w14:textId="2B94C72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C30E17E" w14:textId="176D4F2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-9.0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A47723F" w14:textId="3249B21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1F69BB3" w14:textId="0E46A59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4.6</w:t>
            </w:r>
          </w:p>
        </w:tc>
      </w:tr>
      <w:tr w:rsidR="00DD40CB" w:rsidRPr="00903AD0" w14:paraId="08818845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9D6E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Indonesia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D6F82" w14:textId="0618278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BB34D" w14:textId="3CC6534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A9273" w14:textId="293E089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11AD3" w14:textId="5B1A598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ECA59" w14:textId="310E52E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258CEE" w14:textId="2E8652F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C3CB5" w14:textId="299CC2C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D913" w14:textId="5FBFA5F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4AD4C0E2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C5574CA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56E4C4A" w14:textId="4310D4E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37183BC" w14:textId="5AE8F70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4D77667" w14:textId="33F66F8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8E5FC3F" w14:textId="40E1D25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A0AEAE3" w14:textId="4C76DD7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-1.5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FE1AC74" w14:textId="0EB1638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FA1BB80" w14:textId="5E4C1E6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AA303C7" w14:textId="24F9FAC8" w:rsidR="00DD40CB" w:rsidRPr="00903AD0" w:rsidRDefault="00A145CD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3.0</w:t>
            </w:r>
          </w:p>
        </w:tc>
      </w:tr>
      <w:tr w:rsidR="00DD40CB" w:rsidRPr="00903AD0" w14:paraId="0B75ABE9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84E7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F73D9" w14:textId="6D6A139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C352F" w14:textId="05C32EF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10E89" w14:textId="3B139BC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77C08" w14:textId="60CE76A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E05B7" w14:textId="07EF73E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-3.0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E09E8" w14:textId="48EB8C1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EED9D" w14:textId="5119C78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E5BD4" w14:textId="0ACF4FB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0.2</w:t>
            </w:r>
          </w:p>
        </w:tc>
      </w:tr>
      <w:tr w:rsidR="00DD40CB" w:rsidRPr="00903AD0" w14:paraId="54DD6D30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C50BF98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0D2FBAC" w14:textId="16BF7D9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90D939B" w14:textId="40A8263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8E47BE6" w14:textId="2E7F7A2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071FCA6" w14:textId="76066B8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FF63AD4" w14:textId="281AEDC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43BBEA4" w14:textId="6AF8EFB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30D7B6F" w14:textId="7FD8E5B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74533B5" w14:textId="42163C5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2.1</w:t>
            </w:r>
          </w:p>
        </w:tc>
      </w:tr>
      <w:tr w:rsidR="00DD40CB" w:rsidRPr="00903AD0" w14:paraId="4C7B1BF5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9A63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Mexico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99A89" w14:textId="50CF662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-4.9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A5A0D" w14:textId="58C96D3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D8E38" w14:textId="69260DD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B5F0F4" w14:textId="2E8B340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9AF29" w14:textId="296F885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18EA9" w14:textId="24E6126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AD046" w14:textId="0F6B63A7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CFF8" w14:textId="4FF33F5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4F6AC88F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9EC6F0E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E6D38E3" w14:textId="0E733813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F2C3D45" w14:textId="6D8C439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F3773FC" w14:textId="5B0618D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D693E05" w14:textId="347BD812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97D3DDA" w14:textId="0B6021D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4BAAD96" w14:textId="3D38BDF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-6.2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8A221B8" w14:textId="68B6BB5B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EF45B99" w14:textId="0BCBAE09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04172F28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F6D5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South Africa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61DE5" w14:textId="7768025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5D633" w14:textId="4F785CE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72DAE" w14:textId="7432426E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04D2B" w14:textId="6556298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DD461C" w14:textId="55EAFB5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771B2" w14:textId="5CBDF2F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1851F" w14:textId="560168B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CA65D" w14:textId="751631B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DD40CB" w:rsidRPr="00903AD0" w14:paraId="39EA4A5F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878BE31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Türkiye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B251B2B" w14:textId="4344B47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9901164" w14:textId="7B6BDEF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6F82230" w14:textId="0345984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-1.7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84464D4" w14:textId="6FC0E7C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2DCE73E" w14:textId="418D984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FA00147" w14:textId="6A9FAA3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85DCCC4" w14:textId="7FED6CA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1858273" w14:textId="7E6F5748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-0.4</w:t>
            </w:r>
          </w:p>
        </w:tc>
      </w:tr>
      <w:tr w:rsidR="00DD40CB" w:rsidRPr="00903AD0" w14:paraId="5C136AC8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FB1F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Kingdom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C196" w14:textId="59C38A6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04B92" w14:textId="4E8EEAE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FDCBA" w14:textId="7C4424B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3D0B7" w14:textId="2DA8FF54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AF424" w14:textId="194FF73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4E611" w14:textId="3574AB7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ADD9C" w14:textId="40F1D9F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95CC" w14:textId="65C77D2D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1.1</w:t>
            </w:r>
          </w:p>
        </w:tc>
      </w:tr>
      <w:tr w:rsidR="00DD40CB" w:rsidRPr="00903AD0" w14:paraId="12EC8609" w14:textId="77777777" w:rsidTr="00165F0D">
        <w:trPr>
          <w:trHeight w:val="276"/>
        </w:trPr>
        <w:tc>
          <w:tcPr>
            <w:tcW w:w="12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  <w:hideMark/>
          </w:tcPr>
          <w:p w14:paraId="6FF452EB" w14:textId="77777777" w:rsidR="00DD40CB" w:rsidRPr="00903AD0" w:rsidRDefault="00DD40CB" w:rsidP="00DD40CB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States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B1E0087" w14:textId="52D3C4BF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1906F7F6" w14:textId="41008E9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3B6365B2" w14:textId="39484480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6F412285" w14:textId="448B220C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30D645BF" w14:textId="04AD0755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273E8CED" w14:textId="5AE41BEA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-0.2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25B12017" w14:textId="02CC8656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728CA7B" w14:textId="697AACB1" w:rsidR="00DD40CB" w:rsidRPr="00903AD0" w:rsidRDefault="00DD40CB" w:rsidP="00DD40CB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</w:tbl>
    <w:p w14:paraId="0C31DA5B" w14:textId="5CA947D0" w:rsidR="002C334D" w:rsidRPr="00DA48FF" w:rsidRDefault="002C334D" w:rsidP="002C1D60">
      <w:pPr>
        <w:tabs>
          <w:tab w:val="left" w:pos="7088"/>
        </w:tabs>
        <w:spacing w:after="0"/>
        <w:jc w:val="both"/>
        <w:rPr>
          <w:rFonts w:ascii="Yu Gothic" w:eastAsia="Yu Gothic" w:hAnsi="Yu Gothic"/>
          <w:sz w:val="16"/>
          <w:szCs w:val="16"/>
        </w:rPr>
      </w:pPr>
      <w:r w:rsidRPr="00DA48FF">
        <w:rPr>
          <w:rFonts w:ascii="Yu Gothic" w:eastAsia="Yu Gothic" w:hAnsi="Yu Gothic"/>
          <w:sz w:val="16"/>
          <w:szCs w:val="16"/>
        </w:rPr>
        <w:t xml:space="preserve">Note: </w:t>
      </w:r>
      <w:r w:rsidR="00D116FD" w:rsidRPr="002C1D60">
        <w:rPr>
          <w:rFonts w:ascii="Yu Gothic" w:eastAsia="Yu Gothic" w:hAnsi="Yu Gothic"/>
          <w:sz w:val="16"/>
          <w:szCs w:val="16"/>
        </w:rPr>
        <w:t xml:space="preserve">The G20 aggregate </w:t>
      </w:r>
      <w:r w:rsidR="00D34BF6">
        <w:rPr>
          <w:rFonts w:ascii="Yu Gothic" w:eastAsia="Yu Gothic" w:hAnsi="Yu Gothic"/>
          <w:sz w:val="16"/>
          <w:szCs w:val="16"/>
        </w:rPr>
        <w:t xml:space="preserve">includes the Russian Federation and </w:t>
      </w:r>
      <w:r w:rsidR="00D116FD" w:rsidRPr="002C1D60">
        <w:rPr>
          <w:rFonts w:ascii="Yu Gothic" w:eastAsia="Yu Gothic" w:hAnsi="Yu Gothic"/>
          <w:sz w:val="16"/>
          <w:szCs w:val="16"/>
        </w:rPr>
        <w:t>does not include African Union countries, except for South Africa.</w:t>
      </w:r>
      <w:r w:rsidR="00D116FD">
        <w:rPr>
          <w:rFonts w:ascii="Yu Gothic" w:eastAsia="Yu Gothic" w:hAnsi="Yu Gothic"/>
          <w:sz w:val="16"/>
          <w:szCs w:val="16"/>
        </w:rPr>
        <w:t xml:space="preserve"> </w:t>
      </w:r>
      <w:r>
        <w:rPr>
          <w:rFonts w:ascii="Yu Gothic" w:eastAsia="Yu Gothic" w:hAnsi="Yu Gothic"/>
          <w:sz w:val="16"/>
          <w:szCs w:val="16"/>
        </w:rPr>
        <w:t>For Q</w:t>
      </w:r>
      <w:r w:rsidR="00350EA1">
        <w:rPr>
          <w:rFonts w:ascii="Yu Gothic" w:eastAsia="Yu Gothic" w:hAnsi="Yu Gothic"/>
          <w:sz w:val="16"/>
          <w:szCs w:val="16"/>
        </w:rPr>
        <w:t>3</w:t>
      </w:r>
      <w:r w:rsidR="009D03F4">
        <w:rPr>
          <w:rFonts w:ascii="Yu Gothic" w:eastAsia="Yu Gothic" w:hAnsi="Yu Gothic"/>
          <w:sz w:val="16"/>
          <w:szCs w:val="16"/>
        </w:rPr>
        <w:t> </w:t>
      </w:r>
      <w:r>
        <w:rPr>
          <w:rFonts w:ascii="Yu Gothic" w:eastAsia="Yu Gothic" w:hAnsi="Yu Gothic"/>
          <w:sz w:val="16"/>
          <w:szCs w:val="16"/>
        </w:rPr>
        <w:t>202</w:t>
      </w:r>
      <w:r w:rsidR="005E589B">
        <w:rPr>
          <w:rFonts w:ascii="Yu Gothic" w:eastAsia="Yu Gothic" w:hAnsi="Yu Gothic"/>
          <w:sz w:val="16"/>
          <w:szCs w:val="16"/>
        </w:rPr>
        <w:t>5</w:t>
      </w:r>
      <w:r>
        <w:rPr>
          <w:rFonts w:ascii="Yu Gothic" w:eastAsia="Yu Gothic" w:hAnsi="Yu Gothic"/>
          <w:sz w:val="16"/>
          <w:szCs w:val="16"/>
        </w:rPr>
        <w:t xml:space="preserve">, </w:t>
      </w:r>
      <w:r w:rsidR="00FF0442">
        <w:rPr>
          <w:rFonts w:ascii="Yu Gothic" w:eastAsia="Yu Gothic" w:hAnsi="Yu Gothic"/>
          <w:sz w:val="16"/>
          <w:szCs w:val="16"/>
        </w:rPr>
        <w:t>the G20 aggregate was not computed due to insufficient coverage of reported data. F</w:t>
      </w:r>
      <w:r w:rsidRPr="006777F1">
        <w:rPr>
          <w:rFonts w:ascii="Yu Gothic" w:eastAsia="Yu Gothic" w:hAnsi="Yu Gothic"/>
          <w:sz w:val="16"/>
          <w:szCs w:val="16"/>
        </w:rPr>
        <w:t xml:space="preserve">igures for the following economies are OECD preliminary estimates based on monthly national data:  China, France, </w:t>
      </w:r>
      <w:r w:rsidRPr="00DB5042">
        <w:rPr>
          <w:rFonts w:ascii="Yu Gothic" w:eastAsia="Yu Gothic" w:hAnsi="Yu Gothic"/>
          <w:sz w:val="16"/>
          <w:szCs w:val="16"/>
        </w:rPr>
        <w:t>Germany,</w:t>
      </w:r>
      <w:r w:rsidR="00F863EC">
        <w:rPr>
          <w:rFonts w:ascii="Yu Gothic" w:eastAsia="Yu Gothic" w:hAnsi="Yu Gothic"/>
          <w:sz w:val="16"/>
          <w:szCs w:val="16"/>
        </w:rPr>
        <w:t xml:space="preserve"> I</w:t>
      </w:r>
      <w:r w:rsidR="00D116FD">
        <w:rPr>
          <w:rFonts w:ascii="Yu Gothic" w:eastAsia="Yu Gothic" w:hAnsi="Yu Gothic"/>
          <w:sz w:val="16"/>
          <w:szCs w:val="16"/>
        </w:rPr>
        <w:t>ndia</w:t>
      </w:r>
      <w:r w:rsidR="00F863EC">
        <w:rPr>
          <w:rFonts w:ascii="Yu Gothic" w:eastAsia="Yu Gothic" w:hAnsi="Yu Gothic"/>
          <w:sz w:val="16"/>
          <w:szCs w:val="16"/>
        </w:rPr>
        <w:t>,</w:t>
      </w:r>
      <w:r w:rsidRPr="00DB5042">
        <w:rPr>
          <w:rFonts w:ascii="Yu Gothic" w:eastAsia="Yu Gothic" w:hAnsi="Yu Gothic"/>
          <w:sz w:val="16"/>
          <w:szCs w:val="16"/>
        </w:rPr>
        <w:t xml:space="preserve"> </w:t>
      </w:r>
      <w:r w:rsidR="00E2283B">
        <w:rPr>
          <w:rFonts w:ascii="Yu Gothic" w:eastAsia="Yu Gothic" w:hAnsi="Yu Gothic"/>
          <w:sz w:val="16"/>
          <w:szCs w:val="16"/>
        </w:rPr>
        <w:t>Italy</w:t>
      </w:r>
      <w:r w:rsidR="007979D6">
        <w:rPr>
          <w:rFonts w:ascii="Yu Gothic" w:eastAsia="Yu Gothic" w:hAnsi="Yu Gothic"/>
          <w:sz w:val="16"/>
          <w:szCs w:val="16"/>
        </w:rPr>
        <w:t xml:space="preserve"> and</w:t>
      </w:r>
      <w:r w:rsidR="00E2283B">
        <w:rPr>
          <w:rFonts w:ascii="Yu Gothic" w:eastAsia="Yu Gothic" w:hAnsi="Yu Gothic"/>
          <w:sz w:val="16"/>
          <w:szCs w:val="16"/>
        </w:rPr>
        <w:t xml:space="preserve"> </w:t>
      </w:r>
      <w:r w:rsidRPr="00DB5042">
        <w:rPr>
          <w:rFonts w:ascii="Yu Gothic" w:eastAsia="Yu Gothic" w:hAnsi="Yu Gothic"/>
          <w:sz w:val="16"/>
          <w:szCs w:val="16"/>
        </w:rPr>
        <w:t>the</w:t>
      </w:r>
      <w:r w:rsidRPr="006777F1">
        <w:rPr>
          <w:rFonts w:ascii="Yu Gothic" w:eastAsia="Yu Gothic" w:hAnsi="Yu Gothic"/>
          <w:sz w:val="16"/>
          <w:szCs w:val="16"/>
        </w:rPr>
        <w:t xml:space="preserve"> United Kingdom.</w:t>
      </w:r>
      <w:r>
        <w:rPr>
          <w:rFonts w:ascii="Yu Gothic" w:eastAsia="Yu Gothic" w:hAnsi="Yu Gothic"/>
          <w:sz w:val="16"/>
          <w:szCs w:val="16"/>
        </w:rPr>
        <w:t xml:space="preserve"> Values that are not available are denoted with </w:t>
      </w:r>
      <w:r w:rsidRPr="00AC28C3">
        <w:rPr>
          <w:rFonts w:ascii="Yu Gothic" w:eastAsia="Yu Gothic" w:hAnsi="Yu Gothic"/>
          <w:sz w:val="16"/>
          <w:szCs w:val="16"/>
        </w:rPr>
        <w:t>“..”.</w:t>
      </w:r>
    </w:p>
    <w:p w14:paraId="67BDD35A" w14:textId="68204C0A" w:rsidR="00C7394C" w:rsidRDefault="00EB0DF7" w:rsidP="002C1D60">
      <w:pPr>
        <w:tabs>
          <w:tab w:val="left" w:pos="7088"/>
        </w:tabs>
        <w:spacing w:after="120"/>
        <w:rPr>
          <w:rFonts w:ascii="Yu Gothic" w:eastAsia="Yu Gothic" w:hAnsi="Yu Gothic"/>
          <w:b/>
          <w:sz w:val="16"/>
        </w:rPr>
      </w:pPr>
      <w:r w:rsidRPr="00DA48FF">
        <w:rPr>
          <w:rFonts w:ascii="Yu Gothic" w:eastAsia="Yu Gothic" w:hAnsi="Yu Gothic"/>
          <w:sz w:val="16"/>
          <w:szCs w:val="16"/>
        </w:rPr>
        <w:t>Source:</w:t>
      </w:r>
      <w:r w:rsidR="0043268F" w:rsidRPr="00DA48FF">
        <w:rPr>
          <w:rFonts w:ascii="Yu Gothic" w:eastAsia="Yu Gothic" w:hAnsi="Yu Gothic"/>
          <w:sz w:val="16"/>
          <w:szCs w:val="16"/>
        </w:rPr>
        <w:t xml:space="preserve"> </w:t>
      </w:r>
      <w:r w:rsidRPr="00DA48FF">
        <w:rPr>
          <w:rFonts w:ascii="Yu Gothic" w:eastAsia="Yu Gothic" w:hAnsi="Yu Gothic"/>
          <w:sz w:val="16"/>
          <w:szCs w:val="16"/>
        </w:rPr>
        <w:t>OECD Data</w:t>
      </w:r>
      <w:r w:rsidR="00E840CD">
        <w:rPr>
          <w:rFonts w:ascii="Yu Gothic" w:eastAsia="Yu Gothic" w:hAnsi="Yu Gothic"/>
          <w:sz w:val="16"/>
          <w:szCs w:val="16"/>
        </w:rPr>
        <w:t xml:space="preserve"> Explorer</w:t>
      </w:r>
      <w:r w:rsidR="003F3E59" w:rsidRPr="00DA48FF">
        <w:rPr>
          <w:rFonts w:ascii="Yu Gothic" w:eastAsia="Yu Gothic" w:hAnsi="Yu Gothic"/>
          <w:sz w:val="16"/>
          <w:szCs w:val="16"/>
        </w:rPr>
        <w:t xml:space="preserve">: </w:t>
      </w:r>
      <w:hyperlink r:id="rId22" w:history="1">
        <w:r w:rsidR="003F3E59">
          <w:rPr>
            <w:rStyle w:val="Hyperlink"/>
            <w:rFonts w:ascii="Yu Gothic" w:eastAsia="Yu Gothic" w:hAnsi="Yu Gothic" w:cstheme="minorBidi"/>
            <w:sz w:val="16"/>
            <w:szCs w:val="16"/>
          </w:rPr>
          <w:t>Balance of payments</w:t>
        </w:r>
      </w:hyperlink>
      <w:r w:rsidR="00C7394C">
        <w:rPr>
          <w:rFonts w:ascii="Yu Gothic" w:eastAsia="Yu Gothic" w:hAnsi="Yu Gothic"/>
          <w:b/>
          <w:sz w:val="16"/>
        </w:rPr>
        <w:br w:type="page"/>
      </w:r>
    </w:p>
    <w:p w14:paraId="534891C2" w14:textId="5550F013" w:rsidR="00683EED" w:rsidRPr="00DA48FF" w:rsidRDefault="00B655CE" w:rsidP="005F79C4">
      <w:pPr>
        <w:shd w:val="clear" w:color="auto" w:fill="E0F2FF"/>
        <w:tabs>
          <w:tab w:val="left" w:pos="7479"/>
        </w:tabs>
        <w:spacing w:after="0" w:line="192" w:lineRule="auto"/>
        <w:rPr>
          <w:rFonts w:ascii="Yu Gothic" w:eastAsia="Yu Gothic" w:hAnsi="Yu Gothic"/>
          <w:b/>
          <w:sz w:val="18"/>
          <w:szCs w:val="18"/>
        </w:rPr>
      </w:pPr>
      <w:r w:rsidRPr="00DA48FF">
        <w:rPr>
          <w:rFonts w:ascii="Yu Gothic" w:eastAsia="Yu Gothic" w:hAnsi="Yu Gothic"/>
          <w:b/>
          <w:sz w:val="20"/>
        </w:rPr>
        <w:lastRenderedPageBreak/>
        <w:t>Table 4</w:t>
      </w:r>
      <w:r w:rsidR="00683EED" w:rsidRPr="00DA48FF">
        <w:rPr>
          <w:rFonts w:ascii="Yu Gothic" w:eastAsia="Yu Gothic" w:hAnsi="Yu Gothic"/>
          <w:b/>
          <w:sz w:val="20"/>
        </w:rPr>
        <w:t xml:space="preserve"> – G20 quarterly international trade in services</w:t>
      </w:r>
    </w:p>
    <w:p w14:paraId="74935F22" w14:textId="1D16D9D4" w:rsidR="000838AA" w:rsidRDefault="00683EED" w:rsidP="005F79C4">
      <w:pPr>
        <w:shd w:val="clear" w:color="auto" w:fill="E0F2FF"/>
        <w:tabs>
          <w:tab w:val="left" w:pos="6230"/>
        </w:tabs>
        <w:rPr>
          <w:rFonts w:ascii="Yu Gothic" w:eastAsia="Yu Gothic" w:hAnsi="Yu Gothic"/>
          <w:sz w:val="16"/>
          <w:szCs w:val="16"/>
        </w:rPr>
      </w:pPr>
      <w:r w:rsidRPr="00DA48FF">
        <w:rPr>
          <w:rFonts w:ascii="Yu Gothic" w:eastAsia="Yu Gothic" w:hAnsi="Yu Gothic"/>
          <w:sz w:val="16"/>
        </w:rPr>
        <w:t>C</w:t>
      </w:r>
      <w:r w:rsidRPr="00DA48FF">
        <w:rPr>
          <w:rFonts w:ascii="Yu Gothic" w:eastAsia="Yu Gothic" w:hAnsi="Yu Gothic" w:cs="Helvetica"/>
          <w:sz w:val="18"/>
          <w:szCs w:val="18"/>
        </w:rPr>
        <w:t>urrent prices, billion US dollars, seasonally adjuste</w:t>
      </w:r>
      <w:r w:rsidRPr="00DA48FF">
        <w:rPr>
          <w:rFonts w:ascii="Yu Gothic" w:eastAsia="Yu Gothic" w:hAnsi="Yu Gothic"/>
          <w:sz w:val="18"/>
          <w:szCs w:val="18"/>
        </w:rPr>
        <w:t>d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64"/>
        <w:gridCol w:w="896"/>
        <w:gridCol w:w="899"/>
        <w:gridCol w:w="899"/>
        <w:gridCol w:w="899"/>
        <w:gridCol w:w="899"/>
        <w:gridCol w:w="899"/>
        <w:gridCol w:w="899"/>
        <w:gridCol w:w="899"/>
        <w:gridCol w:w="903"/>
      </w:tblGrid>
      <w:tr w:rsidR="00350EA1" w:rsidRPr="00903AD0" w14:paraId="659A7537" w14:textId="77777777" w:rsidTr="00350EA1">
        <w:trPr>
          <w:trHeight w:val="28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F37F" w14:textId="1B7264AD" w:rsidR="00350EA1" w:rsidRPr="00903AD0" w:rsidRDefault="00350EA1" w:rsidP="00903AD0">
            <w:pPr>
              <w:spacing w:after="0" w:line="240" w:lineRule="auto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E2873" w14:textId="77777777" w:rsidR="00350EA1" w:rsidRPr="00903AD0" w:rsidRDefault="00350EA1" w:rsidP="00903AD0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2024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F21A30C" w14:textId="77777777" w:rsidR="00350EA1" w:rsidRPr="00903AD0" w:rsidRDefault="00350EA1" w:rsidP="00903AD0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720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6B3FB26B" w14:textId="210BCD9C" w:rsidR="00350EA1" w:rsidRPr="00903AD0" w:rsidRDefault="00350EA1" w:rsidP="00903AD0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2024</w:t>
            </w:r>
          </w:p>
        </w:tc>
        <w:tc>
          <w:tcPr>
            <w:tcW w:w="1292" w:type="pct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4F2710" w14:textId="28AC8CE8" w:rsidR="00350EA1" w:rsidRPr="00903AD0" w:rsidRDefault="00350EA1" w:rsidP="00903AD0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2025</w:t>
            </w:r>
          </w:p>
        </w:tc>
      </w:tr>
      <w:tr w:rsidR="00350EA1" w:rsidRPr="00903AD0" w14:paraId="60301B76" w14:textId="77777777" w:rsidTr="00165F0D">
        <w:trPr>
          <w:trHeight w:val="32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18FA81A" w14:textId="0E8CF66D" w:rsidR="00350EA1" w:rsidRPr="00903AD0" w:rsidRDefault="00350EA1" w:rsidP="00350EA1">
            <w:pPr>
              <w:spacing w:after="0" w:line="240" w:lineRule="auto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2F30E794" w14:textId="50D66234" w:rsidR="00350EA1" w:rsidRPr="00903AD0" w:rsidRDefault="00350EA1" w:rsidP="00350EA1">
            <w:pPr>
              <w:spacing w:after="0" w:line="240" w:lineRule="auto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230F59B" w14:textId="6840BA9F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B4AF0CF" w14:textId="5861CDE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5050333" w14:textId="147705AB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C58AFBD" w14:textId="53469619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15ADB5F" w14:textId="51F69620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59EB311" w14:textId="641F72B5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44847B3" w14:textId="1AD4DF32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</w:t>
            </w: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  <w:hideMark/>
          </w:tcPr>
          <w:p w14:paraId="73F38487" w14:textId="0F7DFB9A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Q</w:t>
            </w:r>
            <w:r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*</w:t>
            </w:r>
          </w:p>
        </w:tc>
      </w:tr>
      <w:tr w:rsidR="00350EA1" w:rsidRPr="00903AD0" w14:paraId="4D82E1B4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309A77C7" w14:textId="77777777" w:rsidR="00350EA1" w:rsidRPr="00903AD0" w:rsidRDefault="00350EA1" w:rsidP="00350EA1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  <w:t>Exports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30F1D513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48881431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277B70EC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45A7CE66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51A5EF87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65E2EB07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4D5F5557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5D59D6BA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64E70"/>
            <w:noWrap/>
            <w:vAlign w:val="bottom"/>
            <w:hideMark/>
          </w:tcPr>
          <w:p w14:paraId="5A8F7B87" w14:textId="77777777" w:rsidR="00350EA1" w:rsidRPr="00903AD0" w:rsidRDefault="00350EA1" w:rsidP="00350EA1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67379D" w:rsidRPr="00903AD0" w14:paraId="5B48B549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934E" w14:textId="77777777" w:rsidR="0067379D" w:rsidRPr="00903AD0" w:rsidRDefault="0067379D" w:rsidP="0067379D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G20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4D3CE" w14:textId="79DE02E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6861.1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E4FB7" w14:textId="4E8289E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1604.9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34FD10" w14:textId="4BE3DAD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1663.9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D49FF" w14:textId="2DA12EC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1704.5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C86CA" w14:textId="5D90020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1737.6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BD457" w14:textId="3924680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1755.2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DE917" w14:textId="5AF67A3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1763.9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40F3E" w14:textId="157A133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1851.7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988FB" w14:textId="449FB99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6281FACE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F5FA2E4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Argentina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2F8B17C" w14:textId="73B88D2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9BDC5C6" w14:textId="024FAB0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0593412" w14:textId="0800852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92F42D2" w14:textId="25CD4E7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523598B" w14:textId="677B3C0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82EF6E5" w14:textId="12D53F6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CC2A162" w14:textId="44B6791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1B5FF8B" w14:textId="5E04677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E197A9E" w14:textId="0AC9A70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4A72E783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90F8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55A8" w14:textId="4617DB8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84.1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7E685" w14:textId="6214BD2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36A02" w14:textId="1BDEB79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6CBEE" w14:textId="705C0FB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A574E" w14:textId="67FA246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4301D" w14:textId="3C48665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6AE36" w14:textId="333CE77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21.0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63A1E" w14:textId="79D3D94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044F9" w14:textId="109629F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1548FA91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5286B60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AAC1318" w14:textId="620749D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48.1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6657C06" w14:textId="08CDF12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E53D921" w14:textId="7B44BCF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1BDB6DB" w14:textId="647DAD9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61CD0AA" w14:textId="18880E9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A7DF32E" w14:textId="3EF9C55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CE71B6D" w14:textId="080730F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9141E22" w14:textId="57DC273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3D4C9A9" w14:textId="3F643D0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13.0</w:t>
            </w:r>
          </w:p>
        </w:tc>
      </w:tr>
      <w:tr w:rsidR="0067379D" w:rsidRPr="00903AD0" w14:paraId="3D4D074B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398F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Canada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9F539" w14:textId="228E0F7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159.0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1501F" w14:textId="430071A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B6285" w14:textId="396E825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F5712" w14:textId="12D6E5F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FD57" w14:textId="3B7AC2B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2EE77" w14:textId="1AFF268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30860" w14:textId="3C5C6D3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506BF" w14:textId="2E3539B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085E3" w14:textId="10CE9E7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053F7435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F1D9A11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DAC6581" w14:textId="4739B92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383.5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9BECBD9" w14:textId="3958B41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79F1055" w14:textId="4653C2F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88.1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C42782D" w14:textId="506A4D5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D093462" w14:textId="71F91C1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52B6BDE" w14:textId="0D77FD3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DD5FC71" w14:textId="54093B9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99.1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54237E5" w14:textId="24F3C37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104.4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867128C" w14:textId="6E474AE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110.9</w:t>
            </w:r>
          </w:p>
        </w:tc>
      </w:tr>
      <w:tr w:rsidR="0067379D" w:rsidRPr="00903AD0" w14:paraId="4BA112A1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C595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EU 27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C50B" w14:textId="268ADAD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1663.8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CD74B" w14:textId="6E64E0D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397.2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C16BC" w14:textId="2531311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408.4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116DE" w14:textId="0BFE37D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426.9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7240D" w14:textId="32B9639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416.0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6F0C06" w14:textId="2DE84C9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412.4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CFB0E" w14:textId="6E244C6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426.1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7F666" w14:textId="2594BB4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442.7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44969" w14:textId="3901FF6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2B1BEFFA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7D548599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E9639FE" w14:textId="3092413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403.2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43B7F0B" w14:textId="0C905B6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93.9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985A490" w14:textId="5ACAF47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100.8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706DA70" w14:textId="37F8C02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100.1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CF6E863" w14:textId="6D1352D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73DCE71" w14:textId="44637B4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925B2E6" w14:textId="56F8421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101.8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64CE01E" w14:textId="3DB6C57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107.8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5E3ED270" w14:textId="6F2FCDC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111.7</w:t>
            </w:r>
          </w:p>
        </w:tc>
      </w:tr>
      <w:tr w:rsidR="0067379D" w:rsidRPr="00903AD0" w14:paraId="7DF7B474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02C3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0F4D7" w14:textId="018CE7C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469.9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DBB90" w14:textId="5A0C71D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16CE3" w14:textId="7B94CE8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B17AE" w14:textId="28F11CA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117.1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85889" w14:textId="74AC944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120.4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94FF1" w14:textId="642A25B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115.3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CB808" w14:textId="30E522C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117.6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CB876" w14:textId="3309550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129.0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D717E" w14:textId="44ECA87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130.4</w:t>
            </w:r>
          </w:p>
        </w:tc>
      </w:tr>
      <w:tr w:rsidR="0067379D" w:rsidRPr="00903AD0" w14:paraId="394B3B78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2D2C37F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AA2B4A2" w14:textId="402CB0C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374.8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EF867FF" w14:textId="5852807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85.4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ABA5D81" w14:textId="600C397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AA1FCBA" w14:textId="6EADD90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3691D66" w14:textId="1A64361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299A3E1" w14:textId="3E7CECB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B30AFB3" w14:textId="7CE700D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5D1525F" w14:textId="485E181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100.9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A521060" w14:textId="2B4605C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102.9</w:t>
            </w:r>
          </w:p>
        </w:tc>
      </w:tr>
      <w:tr w:rsidR="0067379D" w:rsidRPr="00903AD0" w14:paraId="7049ADFB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4988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Indonesia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9F34" w14:textId="0EA9757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25B98" w14:textId="6D690B0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0978E" w14:textId="2AF87A5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30B6A" w14:textId="0C8D1BE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99967" w14:textId="2B6AF2A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EF196" w14:textId="093E762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6FA5C" w14:textId="78D4F66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F605C" w14:textId="48A1F0C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06119" w14:textId="5A82A0A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391946A5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5A47556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1364786" w14:textId="60F8B41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154.9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A62AD02" w14:textId="53D9418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693EA95" w14:textId="7E840AB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39B5390" w14:textId="6CDEBBB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8E1717D" w14:textId="53C62C9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BCB8867" w14:textId="5566C60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A3C8F89" w14:textId="195064D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05B7CD9" w14:textId="20EC574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43.3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0D150E5" w14:textId="5001092F" w:rsidR="0067379D" w:rsidRPr="00903AD0" w:rsidRDefault="00A145C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43.4</w:t>
            </w:r>
          </w:p>
        </w:tc>
      </w:tr>
      <w:tr w:rsidR="0067379D" w:rsidRPr="00903AD0" w14:paraId="01886FB0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FF89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2EB35" w14:textId="304F4C5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227.2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63230" w14:textId="720195D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57.9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01E6D" w14:textId="31F7321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53.5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6BFDE9" w14:textId="5686EC4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55.9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8A3F8" w14:textId="7600B20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73025" w14:textId="251D412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60.6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EC71E" w14:textId="1E1A838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9B545" w14:textId="2DBEACE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64.1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BFD12" w14:textId="623FFDC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60.4</w:t>
            </w:r>
          </w:p>
        </w:tc>
      </w:tr>
      <w:tr w:rsidR="0067379D" w:rsidRPr="00903AD0" w14:paraId="12C42054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A3165BD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418E359" w14:textId="54E432C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139.0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9D68A8C" w14:textId="6A3C212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68E060F" w14:textId="3AE6E7C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18B4830" w14:textId="4AEBB71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34.2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75D3200" w14:textId="6BEC43A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36.0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D541EA9" w14:textId="6ED596B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F29327B" w14:textId="7B53FB2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35.1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A82608B" w14:textId="02FEC19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36.1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6BE6F64" w14:textId="4514B20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38.3</w:t>
            </w:r>
          </w:p>
        </w:tc>
      </w:tr>
      <w:tr w:rsidR="0067379D" w:rsidRPr="00903AD0" w14:paraId="76154C20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8F78F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Mexico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DCF8A" w14:textId="3F017D9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62.8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FA983" w14:textId="71A5CE6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6F244" w14:textId="589DE12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8CEDA" w14:textId="5485A3C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46B38" w14:textId="5F75BAC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021E02" w14:textId="2032A5C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60454" w14:textId="3F2F150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0B694" w14:textId="1404CAB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F7BF" w14:textId="43CA5BB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2862BCEF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A1668F4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8C51FE6" w14:textId="4CF122F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54.6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D658A6D" w14:textId="4DDB5B6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B7C6990" w14:textId="13F4F3E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EEA9DCB" w14:textId="42A1526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9B43E79" w14:textId="55ECD93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2CD9DF9" w14:textId="560AA2A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532103A" w14:textId="48EB472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CA578CF" w14:textId="3AF583B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3185ADE" w14:textId="387D53C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153C247C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DED5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South Africa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F928F" w14:textId="3586F3F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6311F" w14:textId="7C3B6A2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73C71" w14:textId="4277695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68E25" w14:textId="0BA3299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80C23" w14:textId="0146BB5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68DBA" w14:textId="6E15E4E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811CD" w14:textId="1E91018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FE1A1" w14:textId="08A5312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FB693" w14:textId="270A5AF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3FB3E046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3F505EEC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Türkiye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9564E37" w14:textId="52CC1AC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119.4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F035C96" w14:textId="7AA9086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F03C0B5" w14:textId="36825D5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E04ADE7" w14:textId="5D71A20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30.1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4906210" w14:textId="068D07C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29.2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20EF646" w14:textId="20660FB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30ABC02" w14:textId="427A3DF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29.4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DDB9E18" w14:textId="5C4C647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31.9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D4D0B35" w14:textId="5FD76AF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30.8</w:t>
            </w:r>
          </w:p>
        </w:tc>
      </w:tr>
      <w:tr w:rsidR="0067379D" w:rsidRPr="00903AD0" w14:paraId="200DAA62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A62F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Kingdom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74139" w14:textId="1F24CC5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647.8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E1420" w14:textId="73E12BF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141.4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70976" w14:textId="20BCF56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151.3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F2B4D4" w14:textId="1B13C60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158.7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0155D" w14:textId="21FE4FA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166.1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05D70" w14:textId="6BEA6C1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D648E" w14:textId="6100EE7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169.9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6797BF" w14:textId="09845F7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184.6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52D09" w14:textId="26DC3A7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186.7</w:t>
            </w:r>
          </w:p>
        </w:tc>
      </w:tr>
      <w:tr w:rsidR="0067379D" w:rsidRPr="00903AD0" w14:paraId="15B564C9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74E2BAC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States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CEE368F" w14:textId="4A08BFC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1152.7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9AFD3F4" w14:textId="02EDCFA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267.1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96326D5" w14:textId="38FFC20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279.7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BD5A880" w14:textId="25B00C7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283.1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EADF849" w14:textId="75E2CB6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292.4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31AF4CB" w14:textId="228148E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297.6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C2DD55A" w14:textId="3004E3C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299.5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55ED414" w14:textId="14F65C1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301.6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1FB032C" w14:textId="6607168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5D1367E5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464E70"/>
            <w:noWrap/>
            <w:vAlign w:val="bottom"/>
            <w:hideMark/>
          </w:tcPr>
          <w:p w14:paraId="6AE83688" w14:textId="77777777" w:rsidR="0067379D" w:rsidRPr="00903AD0" w:rsidRDefault="0067379D" w:rsidP="0067379D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i/>
                <w:iCs/>
                <w:color w:val="FFFFFF"/>
                <w:sz w:val="16"/>
                <w:szCs w:val="16"/>
                <w:lang w:val="en-US"/>
              </w:rPr>
              <w:t>Imports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6980E322" w14:textId="24126A92" w:rsidR="0067379D" w:rsidRPr="00903AD0" w:rsidRDefault="0067379D" w:rsidP="0067379D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10968691" w14:textId="1DDA8407" w:rsidR="0067379D" w:rsidRPr="00903AD0" w:rsidRDefault="0067379D" w:rsidP="0067379D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79B51BC6" w14:textId="3A4FACF4" w:rsidR="0067379D" w:rsidRPr="00903AD0" w:rsidRDefault="0067379D" w:rsidP="0067379D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33F7767D" w14:textId="3FC35515" w:rsidR="0067379D" w:rsidRPr="00903AD0" w:rsidRDefault="0067379D" w:rsidP="0067379D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3789611E" w14:textId="7E748975" w:rsidR="0067379D" w:rsidRPr="00903AD0" w:rsidRDefault="0067379D" w:rsidP="0067379D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2C5F8F38" w14:textId="03AA11D2" w:rsidR="0067379D" w:rsidRPr="00903AD0" w:rsidRDefault="0067379D" w:rsidP="0067379D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69063095" w14:textId="25AC5463" w:rsidR="0067379D" w:rsidRPr="00903AD0" w:rsidRDefault="0067379D" w:rsidP="0067379D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464E70"/>
            <w:noWrap/>
            <w:vAlign w:val="bottom"/>
          </w:tcPr>
          <w:p w14:paraId="2D82AAC8" w14:textId="07EE3563" w:rsidR="0067379D" w:rsidRPr="00903AD0" w:rsidRDefault="0067379D" w:rsidP="0067379D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464E70"/>
            <w:noWrap/>
            <w:vAlign w:val="bottom"/>
          </w:tcPr>
          <w:p w14:paraId="08DE8EA8" w14:textId="2B7ACFC9" w:rsidR="0067379D" w:rsidRPr="00903AD0" w:rsidRDefault="0067379D" w:rsidP="0067379D">
            <w:pPr>
              <w:spacing w:after="0" w:line="240" w:lineRule="auto"/>
              <w:jc w:val="center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7379D" w:rsidRPr="00903AD0" w14:paraId="2699197A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A41E" w14:textId="77777777" w:rsidR="0067379D" w:rsidRPr="00903AD0" w:rsidRDefault="0067379D" w:rsidP="0067379D">
            <w:pPr>
              <w:spacing w:after="0" w:line="240" w:lineRule="auto"/>
              <w:ind w:firstLineChars="100" w:firstLine="16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G20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5EA44" w14:textId="18EAD35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6159.4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9049A" w14:textId="1491F61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1458.0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24FE1" w14:textId="2D746E7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1498.6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F2C9A" w14:textId="191199D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1526.5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EDCD2" w14:textId="77E913A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1570.4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2A4C10" w14:textId="68F0A0F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1563.9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B4F1AE" w14:textId="4D1047B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1588.3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88151" w14:textId="14B2FC7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1649.5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5E9D9" w14:textId="6C1EEF1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0782BD96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A732985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Argentina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F0CC91B" w14:textId="4D70798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23.0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88BD8F6" w14:textId="6ADD836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80F5280" w14:textId="078E591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EDCB929" w14:textId="292AD8A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4B850BC" w14:textId="11B7071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DFDF312" w14:textId="793908A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262CAEA" w14:textId="7E8EF6C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30F3086" w14:textId="62F4FB9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8C56364" w14:textId="787C8FF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7A4AC0F1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D731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Australia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F5961" w14:textId="0749C6E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108.9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4AB44" w14:textId="4B0DAC3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B1F0D" w14:textId="656927F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31D45" w14:textId="6D07563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6E152" w14:textId="675D228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EC700" w14:textId="3115562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27.9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E53E64" w14:textId="3E6534D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751AE" w14:textId="5BAE70B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28.3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54166" w14:textId="2699377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40645F24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20D8C40E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Brazil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6E61325" w14:textId="1C60A43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103.2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37945EA" w14:textId="260E2D4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E7BE2D2" w14:textId="7144514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1B970B4" w14:textId="4825D66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22557C5" w14:textId="0A9AF9E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27.4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DA50B1E" w14:textId="6DD8F69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FA8539E" w14:textId="45EC924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79CA671" w14:textId="6FA996A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FAA3947" w14:textId="59A1281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26.8</w:t>
            </w:r>
          </w:p>
        </w:tc>
      </w:tr>
      <w:tr w:rsidR="0067379D" w:rsidRPr="00903AD0" w14:paraId="390D7D03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B5C7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Canada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47AFF" w14:textId="3FD12E8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159.9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F4B19" w14:textId="2AD9B00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0DC58" w14:textId="1430E7B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51E2C7" w14:textId="6D242CB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5B8B9" w14:textId="3FB03E5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C4F2B" w14:textId="2908527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62D25" w14:textId="3AA14E9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E961F" w14:textId="22C9AC5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1E726" w14:textId="4637639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442BD517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581BE9F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China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D7AAE21" w14:textId="2657482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613.1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6771610" w14:textId="6C20CF9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143.1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19610D7" w14:textId="578943F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153.6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5110EAE" w14:textId="069D412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153.8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A6CE562" w14:textId="52B2438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151.4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EA88E9B" w14:textId="44E3278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154.4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373BE62" w14:textId="198A485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161.9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A5B6290" w14:textId="3F277AC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152.4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EE0E130" w14:textId="045E17F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154.1</w:t>
            </w:r>
          </w:p>
        </w:tc>
      </w:tr>
      <w:tr w:rsidR="0067379D" w:rsidRPr="00903AD0" w14:paraId="3EEC5DE1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AA780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EU 27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8B2AB" w14:textId="53867D2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1458.5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B0371" w14:textId="5F8883C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346.3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FDE2B" w14:textId="09F7960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352.4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AE27A" w14:textId="71BD239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366.6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F2767" w14:textId="764E3BC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375.6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78665" w14:textId="6172F70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364.1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6B7A5A" w14:textId="403AF45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377.3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1A83C" w14:textId="32B4B15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399.2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FE1F6" w14:textId="718F1E7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3496CCC8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CDA4D78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France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2DDAA812" w14:textId="51A69A7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341.1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86E8C36" w14:textId="27C10D5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83.0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405CD03" w14:textId="2755BA1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85.1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D9693F3" w14:textId="24C4CFB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82.4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4B6C365" w14:textId="64D2BBA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87.4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272C5BF" w14:textId="4844C81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818F1DF" w14:textId="2048DF4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85.2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003EEC5" w14:textId="57CFF52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86.9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1EBF805" w14:textId="2DD9AC1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91.4</w:t>
            </w:r>
          </w:p>
        </w:tc>
      </w:tr>
      <w:tr w:rsidR="0067379D" w:rsidRPr="00903AD0" w14:paraId="1EB31C6B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DCE4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CE34" w14:textId="7AD7673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547.5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4B5D49" w14:textId="6989A01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132.8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67C6E" w14:textId="29BA5BF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134.2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069AC" w14:textId="1B83C8C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137.7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29990" w14:textId="6D821F4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A1E5B" w14:textId="208D277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137.3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B4048" w14:textId="519105B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137.8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DDEF9" w14:textId="3CCB6AC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149.3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FE7FA" w14:textId="6BF967A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148.4</w:t>
            </w:r>
          </w:p>
        </w:tc>
      </w:tr>
      <w:tr w:rsidR="0067379D" w:rsidRPr="00903AD0" w14:paraId="675E53C5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855E9FE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India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2FEAD28" w14:textId="3510FE3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196.9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F45C959" w14:textId="63219E5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34A31E0" w14:textId="49FC426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0683058" w14:textId="5197114B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48.6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813953B" w14:textId="5001680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250DC9D" w14:textId="68F9A15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32C4742" w14:textId="05C24D4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4B668BF" w14:textId="2C1B0E7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4DD42F3" w14:textId="7998D47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51.4</w:t>
            </w:r>
          </w:p>
        </w:tc>
      </w:tr>
      <w:tr w:rsidR="0067379D" w:rsidRPr="00903AD0" w14:paraId="50E0E14D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9132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Indonesia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02D4" w14:textId="30A8B4C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57.6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6C6CC9" w14:textId="4B56FF1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638E8" w14:textId="245CA74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1E69C" w14:textId="51558F1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8CFB4" w14:textId="6F368F6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50EDA" w14:textId="58AF20D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7683C" w14:textId="63EEE0A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691A0" w14:textId="748CD92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D7A12" w14:textId="40FAABD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03EDAAD3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5E301BDD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Italy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6A9E5C4" w14:textId="4DB97B1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EE09366" w14:textId="79F40A2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883B25B" w14:textId="316B8C2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F5E221B" w14:textId="704D0DE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94F1F81" w14:textId="2CF878E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41.0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B786C74" w14:textId="362C123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5E5A11D" w14:textId="3C284E8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562C2DB" w14:textId="1775E96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8DA25ED" w14:textId="7E469584" w:rsidR="0067379D" w:rsidRPr="00903AD0" w:rsidRDefault="00A145C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45.3</w:t>
            </w:r>
          </w:p>
        </w:tc>
      </w:tr>
      <w:tr w:rsidR="0067379D" w:rsidRPr="00903AD0" w14:paraId="20BB2255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1D32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Japan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D802" w14:textId="3CE71A0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246.2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EC48E" w14:textId="365B598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750ED" w14:textId="10521D2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189007" w14:textId="7097D29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60.9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A4705" w14:textId="61A7A8F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342A4" w14:textId="4E5A576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61.3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004D6B" w14:textId="43D0328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6D26B" w14:textId="0EF1008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336D3" w14:textId="3214C81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67.0</w:t>
            </w:r>
          </w:p>
        </w:tc>
      </w:tr>
      <w:tr w:rsidR="0067379D" w:rsidRPr="00903AD0" w14:paraId="2A43978A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4620DD03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Korea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5CB9686" w14:textId="298956E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162.7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E5A9C1A" w14:textId="5E34EC8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5234A05" w14:textId="7077CF9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5DB5A9E" w14:textId="65157E9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B3006BC" w14:textId="1AED182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C7F4200" w14:textId="590AC2D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41.2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913BC77" w14:textId="2AEF128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5531D920" w14:textId="0047570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74638DCB" w14:textId="323861E8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45.7</w:t>
            </w:r>
          </w:p>
        </w:tc>
      </w:tr>
      <w:tr w:rsidR="0067379D" w:rsidRPr="00903AD0" w14:paraId="2AF3B347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4718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Mexico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96C3D" w14:textId="7765C07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72.1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A3834" w14:textId="042281A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5AE6C7" w14:textId="7A1000E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42980" w14:textId="11E33EB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8D8BD" w14:textId="0205FD5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F77D8" w14:textId="249C7DC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56140" w14:textId="70FE39A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0AE8A" w14:textId="62BE81F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4B941" w14:textId="6FF5679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0DF60184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62317B44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Saudi Arabia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F52BCB1" w14:textId="2584360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101.7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41D95BC" w14:textId="38181B7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E06396B" w14:textId="68822DC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0FD59BD6" w14:textId="7DA4FAF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0C80BAE" w14:textId="0F255A7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26.1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574C8C2" w14:textId="7F87623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C469D4E" w14:textId="44A6855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24.3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C0DA994" w14:textId="3A26FE3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27.3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432F705A" w14:textId="699EC9C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396257E5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F01B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South Africa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C1CC5" w14:textId="150D972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866B1" w14:textId="07552F7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865D3" w14:textId="1B86FA7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71B1B" w14:textId="6B0F63E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7B147" w14:textId="4E5504C6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8BBCB" w14:textId="0A5C68C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95421" w14:textId="14F379E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D59B7" w14:textId="1F32EAD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7B89E" w14:textId="70B3B27D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  <w:tr w:rsidR="0067379D" w:rsidRPr="00903AD0" w14:paraId="6B68AD26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0F2FF"/>
            <w:noWrap/>
            <w:vAlign w:val="bottom"/>
            <w:hideMark/>
          </w:tcPr>
          <w:p w14:paraId="0CD2C582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Türkiye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0CEFD37D" w14:textId="1D61B2A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55.8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67910BEB" w14:textId="122B497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42832856" w14:textId="4DCC9449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CAF4FA6" w14:textId="06DE42B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2C8F5611" w14:textId="4F37A9E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13.9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11E59DF3" w14:textId="6B1752C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30E9299A" w14:textId="5EAB396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000000" w:fill="E0F2FF"/>
            <w:noWrap/>
            <w:vAlign w:val="bottom"/>
          </w:tcPr>
          <w:p w14:paraId="7BEDC6DE" w14:textId="018C003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6BF32F40" w14:textId="4995CD1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14.9</w:t>
            </w:r>
          </w:p>
        </w:tc>
      </w:tr>
      <w:tr w:rsidR="0067379D" w:rsidRPr="00903AD0" w14:paraId="567A6705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713C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Kingdom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FC9F6" w14:textId="0D838E50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410.8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3C0EE" w14:textId="4E95C88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96.0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D26C7" w14:textId="0DB5A6B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100.5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95829A" w14:textId="0AECDFD2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00D69" w14:textId="5FA01694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103.7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F4938" w14:textId="5B71BEF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8952D" w14:textId="7C431EA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FC327" w14:textId="2FE89BDF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112.8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E86E9" w14:textId="5461982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113.9</w:t>
            </w:r>
          </w:p>
        </w:tc>
      </w:tr>
      <w:tr w:rsidR="0067379D" w:rsidRPr="00903AD0" w14:paraId="4CDDCD83" w14:textId="77777777" w:rsidTr="00165F0D">
        <w:trPr>
          <w:trHeight w:val="280"/>
        </w:trPr>
        <w:tc>
          <w:tcPr>
            <w:tcW w:w="11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  <w:hideMark/>
          </w:tcPr>
          <w:p w14:paraId="30CF0482" w14:textId="77777777" w:rsidR="0067379D" w:rsidRPr="00903AD0" w:rsidRDefault="0067379D" w:rsidP="0067379D">
            <w:pPr>
              <w:spacing w:after="0" w:line="240" w:lineRule="auto"/>
              <w:ind w:firstLineChars="200" w:firstLine="320"/>
              <w:rPr>
                <w:rFonts w:ascii="Yu Gothic Medium" w:eastAsia="Yu Gothic Medium" w:hAnsi="Yu Gothic Medium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03AD0">
              <w:rPr>
                <w:rFonts w:ascii="Yu Gothic Medium" w:eastAsia="Yu Gothic Medium" w:hAnsi="Yu Gothic Medium" w:cs="Arial" w:hint="eastAsia"/>
                <w:b/>
                <w:bCs/>
                <w:color w:val="000000"/>
                <w:sz w:val="16"/>
                <w:szCs w:val="16"/>
                <w:lang w:val="en-US"/>
              </w:rPr>
              <w:t>United States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10ECB2F7" w14:textId="09033F07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840.9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639A68FF" w14:textId="73DDE58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196.3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35BAF27A" w14:textId="716F875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201.3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5FF5051D" w14:textId="0B318FA3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205.4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55D21EB9" w14:textId="09FA74D5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214.6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78F17C57" w14:textId="63F1F3CA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219.6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633C0D57" w14:textId="479000AE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219.2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0F2FF"/>
            <w:noWrap/>
            <w:vAlign w:val="bottom"/>
          </w:tcPr>
          <w:p w14:paraId="11D8A6A3" w14:textId="3F0C41EC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222.0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F2FF"/>
            <w:noWrap/>
            <w:vAlign w:val="bottom"/>
          </w:tcPr>
          <w:p w14:paraId="3F7D817F" w14:textId="2DFCEDA1" w:rsidR="0067379D" w:rsidRPr="00903AD0" w:rsidRDefault="0067379D" w:rsidP="0067379D">
            <w:pPr>
              <w:spacing w:after="0" w:line="240" w:lineRule="auto"/>
              <w:ind w:firstLineChars="100" w:firstLine="160"/>
              <w:jc w:val="right"/>
              <w:rPr>
                <w:rFonts w:ascii="Yu Gothic Medium" w:eastAsia="Yu Gothic Medium" w:hAnsi="Yu Gothic Medium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Yu Gothic Medium" w:eastAsia="Yu Gothic Medium" w:hAnsi="Yu Gothic Medium" w:cs="Arial" w:hint="eastAsia"/>
                <w:color w:val="000000"/>
                <w:sz w:val="16"/>
                <w:szCs w:val="16"/>
              </w:rPr>
              <w:t>..</w:t>
            </w:r>
          </w:p>
        </w:tc>
      </w:tr>
    </w:tbl>
    <w:p w14:paraId="23F482C0" w14:textId="3A4203BC" w:rsidR="00080B72" w:rsidRPr="00DA48FF" w:rsidRDefault="002C1D60" w:rsidP="008A1ECC">
      <w:pPr>
        <w:tabs>
          <w:tab w:val="left" w:pos="7088"/>
        </w:tabs>
        <w:spacing w:after="0" w:line="240" w:lineRule="auto"/>
        <w:jc w:val="both"/>
        <w:rPr>
          <w:rFonts w:ascii="Yu Gothic" w:eastAsia="Yu Gothic" w:hAnsi="Yu Gothic"/>
          <w:sz w:val="16"/>
          <w:szCs w:val="16"/>
        </w:rPr>
      </w:pPr>
      <w:r w:rsidRPr="00DA48FF">
        <w:rPr>
          <w:rFonts w:ascii="Yu Gothic" w:eastAsia="Yu Gothic" w:hAnsi="Yu Gothic"/>
          <w:sz w:val="16"/>
          <w:szCs w:val="16"/>
        </w:rPr>
        <w:t xml:space="preserve">Note: </w:t>
      </w:r>
      <w:r w:rsidR="00D116FD" w:rsidRPr="002C1D60">
        <w:rPr>
          <w:rFonts w:ascii="Yu Gothic" w:eastAsia="Yu Gothic" w:hAnsi="Yu Gothic"/>
          <w:sz w:val="16"/>
          <w:szCs w:val="16"/>
        </w:rPr>
        <w:t xml:space="preserve">The G20 aggregate </w:t>
      </w:r>
      <w:r w:rsidR="00D34BF6">
        <w:rPr>
          <w:rFonts w:ascii="Yu Gothic" w:eastAsia="Yu Gothic" w:hAnsi="Yu Gothic"/>
          <w:sz w:val="16"/>
          <w:szCs w:val="16"/>
        </w:rPr>
        <w:t xml:space="preserve">includes the Russian Federation and </w:t>
      </w:r>
      <w:r w:rsidR="00D116FD" w:rsidRPr="002C1D60">
        <w:rPr>
          <w:rFonts w:ascii="Yu Gothic" w:eastAsia="Yu Gothic" w:hAnsi="Yu Gothic"/>
          <w:sz w:val="16"/>
          <w:szCs w:val="16"/>
        </w:rPr>
        <w:t>does not include African Union countries, except for South Africa.</w:t>
      </w:r>
      <w:r w:rsidR="00D116FD">
        <w:rPr>
          <w:rFonts w:ascii="Yu Gothic" w:eastAsia="Yu Gothic" w:hAnsi="Yu Gothic"/>
          <w:sz w:val="16"/>
          <w:szCs w:val="16"/>
        </w:rPr>
        <w:t xml:space="preserve"> </w:t>
      </w:r>
      <w:r>
        <w:rPr>
          <w:rFonts w:ascii="Yu Gothic" w:eastAsia="Yu Gothic" w:hAnsi="Yu Gothic"/>
          <w:sz w:val="16"/>
          <w:szCs w:val="16"/>
        </w:rPr>
        <w:t>For Q</w:t>
      </w:r>
      <w:r w:rsidR="00350EA1">
        <w:rPr>
          <w:rFonts w:ascii="Yu Gothic" w:eastAsia="Yu Gothic" w:hAnsi="Yu Gothic"/>
          <w:sz w:val="16"/>
          <w:szCs w:val="16"/>
        </w:rPr>
        <w:t>3</w:t>
      </w:r>
      <w:r w:rsidR="009D03F4">
        <w:rPr>
          <w:rFonts w:ascii="Yu Gothic" w:eastAsia="Yu Gothic" w:hAnsi="Yu Gothic"/>
          <w:sz w:val="16"/>
          <w:szCs w:val="16"/>
        </w:rPr>
        <w:t> </w:t>
      </w:r>
      <w:r>
        <w:rPr>
          <w:rFonts w:ascii="Yu Gothic" w:eastAsia="Yu Gothic" w:hAnsi="Yu Gothic"/>
          <w:sz w:val="16"/>
          <w:szCs w:val="16"/>
        </w:rPr>
        <w:t>202</w:t>
      </w:r>
      <w:r w:rsidR="00B67C0C">
        <w:rPr>
          <w:rFonts w:ascii="Yu Gothic" w:eastAsia="Yu Gothic" w:hAnsi="Yu Gothic"/>
          <w:sz w:val="16"/>
          <w:szCs w:val="16"/>
        </w:rPr>
        <w:t>5</w:t>
      </w:r>
      <w:r>
        <w:rPr>
          <w:rFonts w:ascii="Yu Gothic" w:eastAsia="Yu Gothic" w:hAnsi="Yu Gothic"/>
          <w:sz w:val="16"/>
          <w:szCs w:val="16"/>
        </w:rPr>
        <w:t xml:space="preserve">, </w:t>
      </w:r>
      <w:r w:rsidR="00FF0442">
        <w:rPr>
          <w:rFonts w:ascii="Yu Gothic" w:eastAsia="Yu Gothic" w:hAnsi="Yu Gothic"/>
          <w:sz w:val="16"/>
          <w:szCs w:val="16"/>
        </w:rPr>
        <w:t>the G20 aggregate was not computed due to insufficient coverage of reported data. F</w:t>
      </w:r>
      <w:r w:rsidRPr="006777F1">
        <w:rPr>
          <w:rFonts w:ascii="Yu Gothic" w:eastAsia="Yu Gothic" w:hAnsi="Yu Gothic"/>
          <w:sz w:val="16"/>
          <w:szCs w:val="16"/>
        </w:rPr>
        <w:t xml:space="preserve">igures for the following economies are OECD preliminary estimates based on monthly national data:  China, France, </w:t>
      </w:r>
      <w:r w:rsidRPr="00DB5042">
        <w:rPr>
          <w:rFonts w:ascii="Yu Gothic" w:eastAsia="Yu Gothic" w:hAnsi="Yu Gothic"/>
          <w:sz w:val="16"/>
          <w:szCs w:val="16"/>
        </w:rPr>
        <w:t xml:space="preserve">Germany, </w:t>
      </w:r>
      <w:r>
        <w:rPr>
          <w:rFonts w:ascii="Yu Gothic" w:eastAsia="Yu Gothic" w:hAnsi="Yu Gothic"/>
          <w:sz w:val="16"/>
          <w:szCs w:val="16"/>
        </w:rPr>
        <w:t>I</w:t>
      </w:r>
      <w:r w:rsidR="00D116FD">
        <w:rPr>
          <w:rFonts w:ascii="Yu Gothic" w:eastAsia="Yu Gothic" w:hAnsi="Yu Gothic"/>
          <w:sz w:val="16"/>
          <w:szCs w:val="16"/>
        </w:rPr>
        <w:t>ndia</w:t>
      </w:r>
      <w:r>
        <w:rPr>
          <w:rFonts w:ascii="Yu Gothic" w:eastAsia="Yu Gothic" w:hAnsi="Yu Gothic"/>
          <w:sz w:val="16"/>
          <w:szCs w:val="16"/>
        </w:rPr>
        <w:t xml:space="preserve">, </w:t>
      </w:r>
      <w:r w:rsidR="00E2283B">
        <w:rPr>
          <w:rFonts w:ascii="Yu Gothic" w:eastAsia="Yu Gothic" w:hAnsi="Yu Gothic"/>
          <w:sz w:val="16"/>
          <w:szCs w:val="16"/>
        </w:rPr>
        <w:t>Italy</w:t>
      </w:r>
      <w:r w:rsidR="007979D6">
        <w:rPr>
          <w:rFonts w:ascii="Yu Gothic" w:eastAsia="Yu Gothic" w:hAnsi="Yu Gothic"/>
          <w:sz w:val="16"/>
          <w:szCs w:val="16"/>
        </w:rPr>
        <w:t xml:space="preserve"> and</w:t>
      </w:r>
      <w:r w:rsidR="00E2283B">
        <w:rPr>
          <w:rFonts w:ascii="Yu Gothic" w:eastAsia="Yu Gothic" w:hAnsi="Yu Gothic"/>
          <w:sz w:val="16"/>
          <w:szCs w:val="16"/>
        </w:rPr>
        <w:t xml:space="preserve"> </w:t>
      </w:r>
      <w:r w:rsidRPr="00DB5042">
        <w:rPr>
          <w:rFonts w:ascii="Yu Gothic" w:eastAsia="Yu Gothic" w:hAnsi="Yu Gothic"/>
          <w:sz w:val="16"/>
          <w:szCs w:val="16"/>
        </w:rPr>
        <w:t>the</w:t>
      </w:r>
      <w:r w:rsidRPr="006777F1">
        <w:rPr>
          <w:rFonts w:ascii="Yu Gothic" w:eastAsia="Yu Gothic" w:hAnsi="Yu Gothic"/>
          <w:sz w:val="16"/>
          <w:szCs w:val="16"/>
        </w:rPr>
        <w:t xml:space="preserve"> United Kingdom.</w:t>
      </w:r>
      <w:r>
        <w:rPr>
          <w:rFonts w:ascii="Yu Gothic" w:eastAsia="Yu Gothic" w:hAnsi="Yu Gothic"/>
          <w:sz w:val="16"/>
          <w:szCs w:val="16"/>
        </w:rPr>
        <w:t xml:space="preserve"> Values that are not available are denoted with </w:t>
      </w:r>
      <w:r w:rsidRPr="00AC28C3">
        <w:rPr>
          <w:rFonts w:ascii="Yu Gothic" w:eastAsia="Yu Gothic" w:hAnsi="Yu Gothic"/>
          <w:sz w:val="16"/>
          <w:szCs w:val="16"/>
        </w:rPr>
        <w:t>“..”.</w:t>
      </w:r>
    </w:p>
    <w:p w14:paraId="71108BFF" w14:textId="05019C61" w:rsidR="00A77E40" w:rsidRDefault="00F51DFB" w:rsidP="000838AA">
      <w:pPr>
        <w:tabs>
          <w:tab w:val="left" w:pos="6230"/>
        </w:tabs>
        <w:rPr>
          <w:rStyle w:val="Hyperlink"/>
          <w:rFonts w:ascii="Yu Gothic" w:eastAsia="Yu Gothic" w:hAnsi="Yu Gothic" w:cstheme="minorBidi"/>
          <w:sz w:val="16"/>
          <w:szCs w:val="16"/>
        </w:rPr>
      </w:pPr>
      <w:r w:rsidRPr="00DA48FF">
        <w:rPr>
          <w:rFonts w:ascii="Yu Gothic" w:eastAsia="Yu Gothic" w:hAnsi="Yu Gothic"/>
          <w:sz w:val="16"/>
          <w:szCs w:val="16"/>
        </w:rPr>
        <w:t xml:space="preserve">Source: </w:t>
      </w:r>
      <w:r w:rsidR="00EB0DF7" w:rsidRPr="00DA48FF">
        <w:rPr>
          <w:rFonts w:ascii="Yu Gothic" w:eastAsia="Yu Gothic" w:hAnsi="Yu Gothic"/>
          <w:sz w:val="16"/>
          <w:szCs w:val="16"/>
        </w:rPr>
        <w:t>OECD Data</w:t>
      </w:r>
      <w:r w:rsidR="00E840CD">
        <w:rPr>
          <w:rFonts w:ascii="Yu Gothic" w:eastAsia="Yu Gothic" w:hAnsi="Yu Gothic"/>
          <w:sz w:val="16"/>
          <w:szCs w:val="16"/>
        </w:rPr>
        <w:t xml:space="preserve"> Explorer</w:t>
      </w:r>
      <w:r w:rsidR="00EB0DF7" w:rsidRPr="00DA48FF">
        <w:rPr>
          <w:rFonts w:ascii="Yu Gothic" w:eastAsia="Yu Gothic" w:hAnsi="Yu Gothic"/>
          <w:sz w:val="16"/>
          <w:szCs w:val="16"/>
        </w:rPr>
        <w:t xml:space="preserve">: </w:t>
      </w:r>
      <w:hyperlink r:id="rId23" w:history="1">
        <w:r w:rsidR="00C4197A">
          <w:rPr>
            <w:rStyle w:val="Hyperlink"/>
            <w:rFonts w:ascii="Yu Gothic" w:eastAsia="Yu Gothic" w:hAnsi="Yu Gothic" w:cstheme="minorBidi"/>
            <w:sz w:val="16"/>
            <w:szCs w:val="16"/>
          </w:rPr>
          <w:t>Balance of payments</w:t>
        </w:r>
      </w:hyperlink>
    </w:p>
    <w:p w14:paraId="55CF050E" w14:textId="78FC706B" w:rsidR="00B67C0C" w:rsidRPr="000838AA" w:rsidRDefault="00DD40CB" w:rsidP="000838AA">
      <w:pPr>
        <w:tabs>
          <w:tab w:val="left" w:pos="6230"/>
        </w:tabs>
        <w:rPr>
          <w:rFonts w:ascii="Yu Gothic" w:eastAsia="Yu Gothic" w:hAnsi="Yu Gothic"/>
          <w:b/>
          <w:bCs/>
          <w:color w:val="3E658B"/>
          <w:sz w:val="16"/>
          <w:szCs w:val="16"/>
          <w:u w:val="single"/>
        </w:rPr>
      </w:pPr>
      <w:r w:rsidRPr="00DA48FF">
        <w:rPr>
          <w:rFonts w:ascii="Yu Gothic" w:eastAsia="Yu Gothic" w:hAnsi="Yu Gothic"/>
          <w:b/>
          <w:noProof/>
          <w:color w:val="FF0000"/>
          <w:sz w:val="32"/>
          <w:szCs w:val="1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6C591E" wp14:editId="0771A586">
                <wp:simplePos x="0" y="0"/>
                <wp:positionH relativeFrom="margin">
                  <wp:align>left</wp:align>
                </wp:positionH>
                <wp:positionV relativeFrom="paragraph">
                  <wp:posOffset>284224</wp:posOffset>
                </wp:positionV>
                <wp:extent cx="6637655" cy="5770011"/>
                <wp:effectExtent l="0" t="0" r="10795" b="215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5770011"/>
                        </a:xfrm>
                        <a:prstGeom prst="rect">
                          <a:avLst/>
                        </a:prstGeom>
                        <a:solidFill>
                          <a:srgbClr val="E0F2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59745" w14:textId="77777777" w:rsidR="007530D8" w:rsidRPr="00DA48FF" w:rsidRDefault="007530D8" w:rsidP="007530D8">
                            <w:pPr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</w:pPr>
                            <w:r w:rsidRPr="00DA48FF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  <w:t xml:space="preserve">Methodological information: </w:t>
                            </w:r>
                          </w:p>
                          <w:p w14:paraId="33DFA487" w14:textId="70171C9A" w:rsidR="00FF0442" w:rsidRPr="00B25312" w:rsidRDefault="00FF0442" w:rsidP="007530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40" w:after="40"/>
                              <w:jc w:val="both"/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B25312"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>Data shown in this release was last updated on the 19th of November 2025. Due to exceptional circumstances, the G20 aggregate</w:t>
                            </w:r>
                            <w:r w:rsidR="008C0F18"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B25312"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0F18"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>were</w:t>
                            </w:r>
                            <w:r w:rsidRPr="00B25312"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 xml:space="preserve"> not computed due to insufficient coverage of reported data.</w:t>
                            </w:r>
                          </w:p>
                          <w:p w14:paraId="4AC8EC49" w14:textId="45178F42" w:rsidR="007530D8" w:rsidRPr="00DA48FF" w:rsidRDefault="007530D8" w:rsidP="007530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40" w:after="40"/>
                              <w:jc w:val="both"/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</w:pPr>
                            <w:r w:rsidRPr="004E5A9D"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>G20 economies published in this press release:</w:t>
                            </w:r>
                            <w:r w:rsidRPr="00DA48FF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  Argentina, Australia, Brazil, Canada, China, France, Germany, India, Indonesia, Italy, Japan, Korea, Mexico, Saudi Arabia, South Africa, Türkiye, the United Kingdom, the United States and the European Union (EU 27).</w:t>
                            </w:r>
                          </w:p>
                          <w:p w14:paraId="191D8B88" w14:textId="77777777" w:rsidR="007530D8" w:rsidRPr="0090018C" w:rsidRDefault="007530D8" w:rsidP="007530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spacing w:before="40" w:after="40"/>
                              <w:jc w:val="both"/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</w:pPr>
                            <w:r w:rsidRPr="0090018C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4E5A9D"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>G20 aggregate</w:t>
                            </w:r>
                            <w:r w:rsidRPr="00D34BF6"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 xml:space="preserve"> includes </w:t>
                            </w:r>
                            <w:r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D34BF6"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>Russia</w:t>
                            </w:r>
                            <w:r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>n Federation</w:t>
                            </w:r>
                            <w:r w:rsidRPr="00D34BF6">
                              <w:rPr>
                                <w:rFonts w:ascii="Yu Gothic" w:eastAsia="Yu Gothic" w:hAnsi="Yu Gothic" w:cstheme="minorHAnsi"/>
                                <w:bCs/>
                                <w:sz w:val="18"/>
                                <w:szCs w:val="18"/>
                              </w:rPr>
                              <w:t xml:space="preserve"> and does </w:t>
                            </w:r>
                            <w:r w:rsidRPr="0090018C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>not include</w:t>
                            </w:r>
                            <w:r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0018C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African Union countries, except for South Africa. </w:t>
                            </w:r>
                            <w:r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>It</w:t>
                            </w:r>
                            <w:r w:rsidRPr="0090018C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is </w:t>
                            </w:r>
                            <w:r w:rsidRPr="0090018C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>derived from the seasonally adjusted data of the individual economies, converted to US dollars using period average exchange rates.</w:t>
                            </w:r>
                          </w:p>
                          <w:p w14:paraId="1D7EA02C" w14:textId="700E3D84" w:rsidR="007530D8" w:rsidRPr="008A566F" w:rsidRDefault="007530D8" w:rsidP="007530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DA48FF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In the case of international trade in services </w:t>
                            </w:r>
                            <w:r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>in Q</w:t>
                            </w:r>
                            <w:r w:rsidR="00350EA1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DA48FF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>figures for the following economies are OECD preliminary estimates based on mo</w:t>
                            </w:r>
                            <w:r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nthly national data: </w:t>
                            </w:r>
                            <w:r w:rsidRPr="00331CD5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 China, France, Germany</w:t>
                            </w:r>
                            <w:r w:rsidRPr="00DB5042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India, Italy </w:t>
                            </w:r>
                            <w:r w:rsidR="007979D6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Pr="00331CD5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>the United Kingdom</w:t>
                            </w:r>
                            <w:r w:rsidRPr="00DA48FF">
                              <w:rPr>
                                <w:rFonts w:ascii="Yu Gothic" w:eastAsia="Yu Gothic" w:hAnsi="Yu Gothic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DD38191" w14:textId="3BEFB51A" w:rsidR="007530D8" w:rsidRPr="00DA48FF" w:rsidRDefault="007530D8" w:rsidP="007530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8A566F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Most economies report seasonally adjusted data. When seasonally adjusted data are not provided, the OECD </w:t>
                            </w:r>
                            <w:r w:rsidR="0050506B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adjusts </w:t>
                            </w:r>
                            <w:r w:rsidRPr="008A566F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national data using either TRAMO-SEATS </w:t>
                            </w:r>
                            <w:r w:rsidR="0050506B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or </w:t>
                            </w:r>
                            <w:r w:rsidRPr="008A566F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>ARIMA-X13.</w:t>
                            </w:r>
                          </w:p>
                          <w:p w14:paraId="561E5963" w14:textId="061787B4" w:rsidR="007530D8" w:rsidRPr="00DA48FF" w:rsidRDefault="007530D8" w:rsidP="007530D8">
                            <w:pPr>
                              <w:spacing w:after="120"/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</w:pPr>
                            <w:r w:rsidRPr="00DA48FF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  <w:t xml:space="preserve">For more information, see </w:t>
                            </w:r>
                            <w:hyperlink r:id="rId24" w:history="1">
                              <w:r w:rsidRPr="00DA48FF">
                                <w:rPr>
                                  <w:rStyle w:val="Hyperlink"/>
                                  <w:rFonts w:ascii="Yu Gothic" w:eastAsia="Yu Gothic" w:hAnsi="Yu Gothic" w:cstheme="minorBidi"/>
                                </w:rPr>
                                <w:t>G20 international trade news release technical note</w:t>
                              </w:r>
                            </w:hyperlink>
                            <w:r w:rsidRPr="00DA48FF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5581044" w14:textId="77777777" w:rsidR="007530D8" w:rsidRPr="00DA48FF" w:rsidRDefault="007530D8" w:rsidP="007530D8">
                            <w:pPr>
                              <w:jc w:val="both"/>
                              <w:outlineLvl w:val="0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DA48FF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</w:rPr>
                              <w:t>Access Data:</w:t>
                            </w:r>
                            <w:r w:rsidRPr="00DA48FF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E74F0B8" w14:textId="4D25E1F9" w:rsidR="007530D8" w:rsidRPr="00DA48FF" w:rsidRDefault="007530D8" w:rsidP="007530D8">
                            <w:pPr>
                              <w:jc w:val="both"/>
                              <w:outlineLvl w:val="0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</w:pPr>
                            <w:r w:rsidRPr="00DA48FF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>OECD Data</w:t>
                            </w:r>
                            <w:r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 Explorer</w:t>
                            </w:r>
                            <w:r w:rsidRPr="00DA48FF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25" w:history="1">
                              <w:r>
                                <w:rPr>
                                  <w:rStyle w:val="Hyperlink"/>
                                  <w:rFonts w:ascii="Yu Gothic" w:eastAsia="Yu Gothic" w:hAnsi="Yu Gothic" w:cstheme="minorBidi"/>
                                </w:rPr>
                                <w:t>International merchandise trade statistics</w:t>
                              </w:r>
                            </w:hyperlink>
                            <w:r w:rsidRPr="00DA48FF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26" w:history="1">
                              <w:r>
                                <w:rPr>
                                  <w:rStyle w:val="Hyperlink"/>
                                  <w:rFonts w:ascii="Yu Gothic" w:eastAsia="Yu Gothic" w:hAnsi="Yu Gothic" w:cstheme="minorBidi"/>
                                </w:rPr>
                                <w:t>Balance of payments</w:t>
                              </w:r>
                            </w:hyperlink>
                          </w:p>
                          <w:p w14:paraId="6743B1E3" w14:textId="77777777" w:rsidR="007530D8" w:rsidRPr="00DA48FF" w:rsidRDefault="007530D8" w:rsidP="007530D8">
                            <w:pPr>
                              <w:jc w:val="both"/>
                              <w:outlineLvl w:val="0"/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48FF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  <w:lang w:val="en-US"/>
                              </w:rPr>
                              <w:t>Contacts:</w:t>
                            </w:r>
                            <w:r w:rsidRPr="00DA48FF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2B0C32CC" w14:textId="4D14E4A3" w:rsidR="007530D8" w:rsidRDefault="007530D8" w:rsidP="007530D8">
                            <w:pPr>
                              <w:jc w:val="both"/>
                              <w:outlineLvl w:val="0"/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A48FF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For further information contact the OECD's </w:t>
                            </w:r>
                            <w:r w:rsidR="005E589B" w:rsidRPr="005E589B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Strategic </w:t>
                            </w:r>
                            <w:r w:rsidR="005E589B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c</w:t>
                            </w:r>
                            <w:r w:rsidR="005E589B" w:rsidRPr="005E589B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ommunications and </w:t>
                            </w:r>
                            <w:r w:rsidR="005E589B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="005E589B" w:rsidRPr="005E589B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utreach</w:t>
                            </w:r>
                            <w:r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d</w:t>
                            </w:r>
                            <w:r w:rsidRPr="00DA48FF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ivision </w:t>
                            </w:r>
                            <w:r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by phone</w:t>
                            </w:r>
                            <w:r w:rsidRPr="00DA48FF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(33) 1 45 24 97 00 or e-mail </w:t>
                            </w:r>
                            <w:hyperlink r:id="rId27" w:history="1">
                              <w:r w:rsidRPr="00DA48FF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color w:val="1F4E79" w:themeColor="accent1" w:themeShade="80"/>
                                  <w:lang w:val="en-US"/>
                                </w:rPr>
                                <w:t>news.contact@oecd.org</w:t>
                              </w:r>
                            </w:hyperlink>
                            <w:r w:rsidRPr="00DA48FF">
                              <w:rPr>
                                <w:rFonts w:ascii="Yu Gothic" w:eastAsia="Yu Gothic" w:hAnsi="Yu Gothic"/>
                                <w:sz w:val="18"/>
                                <w:szCs w:val="18"/>
                              </w:rPr>
                              <w:t xml:space="preserve">; </w:t>
                            </w:r>
                            <w:r w:rsidRPr="00DA48FF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for further information on data contact </w:t>
                            </w:r>
                            <w:r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Pr="00DA48FF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OECD’s Statistics and </w:t>
                            </w:r>
                            <w:r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DA48FF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ata </w:t>
                            </w:r>
                            <w:r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DA48FF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irectorate: </w:t>
                            </w:r>
                            <w:hyperlink r:id="rId28" w:history="1">
                              <w:r w:rsidRPr="00DA48FF">
                                <w:rPr>
                                  <w:rStyle w:val="Hyperlink"/>
                                  <w:rFonts w:ascii="Yu Gothic" w:eastAsia="Yu Gothic" w:hAnsi="Yu Gothic" w:cs="Times New Roman"/>
                                  <w:b w:val="0"/>
                                  <w:color w:val="1F4E79" w:themeColor="accent1" w:themeShade="80"/>
                                  <w:lang w:val="en-US"/>
                                </w:rPr>
                                <w:t>stat.contact@oecd.org</w:t>
                              </w:r>
                            </w:hyperlink>
                            <w:r w:rsidRPr="00DA48FF"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0E059414" w14:textId="234BFCD3" w:rsidR="007530D8" w:rsidRPr="00DA48FF" w:rsidRDefault="007530D8" w:rsidP="007530D8">
                            <w:pPr>
                              <w:spacing w:after="120"/>
                              <w:jc w:val="both"/>
                              <w:outlineLvl w:val="0"/>
                              <w:rPr>
                                <w:rFonts w:ascii="Yu Gothic" w:eastAsia="Yu Gothic" w:hAnsi="Yu Gothic"/>
                                <w:b/>
                                <w:color w:val="3E658B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48FF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  <w:lang w:val="en-US"/>
                              </w:rPr>
                              <w:t>Next release:</w:t>
                            </w:r>
                            <w:r w:rsidRPr="00DA48FF">
                              <w:rPr>
                                <w:rFonts w:ascii="Yu Gothic" w:eastAsia="Yu Gothic" w:hAnsi="Yu Gothic"/>
                              </w:rPr>
                              <w:t xml:space="preserve"> </w:t>
                            </w:r>
                            <w:hyperlink r:id="rId29" w:history="1">
                              <w:r w:rsidR="00350EA1">
                                <w:rPr>
                                  <w:rStyle w:val="Hyperlink"/>
                                  <w:rFonts w:ascii="Yu Gothic" w:eastAsia="Yu Gothic" w:hAnsi="Yu Gothic" w:cstheme="minorBidi"/>
                                  <w:szCs w:val="22"/>
                                </w:rPr>
                                <w:t>February</w:t>
                              </w:r>
                              <w:r w:rsidRPr="002D39DC">
                                <w:rPr>
                                  <w:rStyle w:val="Hyperlink"/>
                                  <w:rFonts w:ascii="Yu Gothic" w:eastAsia="Yu Gothic" w:hAnsi="Yu Gothic" w:cstheme="minorBidi"/>
                                  <w:szCs w:val="22"/>
                                </w:rPr>
                                <w:t xml:space="preserve"> 20</w:t>
                              </w:r>
                              <w:r w:rsidR="00D8283B">
                                <w:rPr>
                                  <w:rStyle w:val="Hyperlink"/>
                                  <w:rFonts w:ascii="Yu Gothic" w:eastAsia="Yu Gothic" w:hAnsi="Yu Gothic" w:cstheme="minorBidi"/>
                                  <w:szCs w:val="22"/>
                                </w:rPr>
                                <w:t>26</w:t>
                              </w:r>
                            </w:hyperlink>
                          </w:p>
                          <w:p w14:paraId="070E8030" w14:textId="77777777" w:rsidR="007530D8" w:rsidRDefault="007530D8" w:rsidP="007530D8">
                            <w:pPr>
                              <w:jc w:val="both"/>
                              <w:outlineLvl w:val="0"/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52585866" w14:textId="77777777" w:rsidR="007530D8" w:rsidRDefault="007530D8" w:rsidP="007530D8">
                            <w:pPr>
                              <w:jc w:val="both"/>
                              <w:outlineLvl w:val="0"/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2442C47" w14:textId="77777777" w:rsidR="007530D8" w:rsidRPr="00DA48FF" w:rsidRDefault="007530D8" w:rsidP="007530D8">
                            <w:pPr>
                              <w:jc w:val="both"/>
                              <w:outlineLvl w:val="0"/>
                              <w:rPr>
                                <w:rFonts w:ascii="Yu Gothic" w:eastAsia="Yu Gothic" w:hAnsi="Yu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2C6376DC" w14:textId="77777777" w:rsidR="007530D8" w:rsidRPr="00DA48FF" w:rsidRDefault="007530D8" w:rsidP="007530D8">
                            <w:pPr>
                              <w:spacing w:after="120"/>
                              <w:jc w:val="both"/>
                              <w:outlineLvl w:val="0"/>
                              <w:rPr>
                                <w:rFonts w:ascii="Yu Gothic" w:eastAsia="Yu Gothic" w:hAnsi="Yu Gothic"/>
                                <w:b/>
                                <w:color w:val="3E658B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DA48FF">
                              <w:rPr>
                                <w:rFonts w:ascii="Yu Gothic" w:eastAsia="Yu Gothic" w:hAnsi="Yu Gothic"/>
                                <w:b/>
                                <w:sz w:val="18"/>
                                <w:szCs w:val="18"/>
                                <w:lang w:val="en-US"/>
                              </w:rPr>
                              <w:t>Next release:</w:t>
                            </w:r>
                            <w:r w:rsidRPr="00DA48FF">
                              <w:rPr>
                                <w:rFonts w:ascii="Yu Gothic" w:eastAsia="Yu Gothic" w:hAnsi="Yu Gothic"/>
                              </w:rPr>
                              <w:t xml:space="preserve"> </w:t>
                            </w:r>
                            <w:hyperlink r:id="rId30" w:history="1">
                              <w:r>
                                <w:rPr>
                                  <w:rStyle w:val="Hyperlink"/>
                                  <w:rFonts w:ascii="Yu Gothic" w:eastAsia="Yu Gothic" w:hAnsi="Yu Gothic" w:cstheme="minorBidi"/>
                                  <w:szCs w:val="22"/>
                                </w:rPr>
                                <w:t>February 2024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C591E" id="Text Box 4" o:spid="_x0000_s1027" type="#_x0000_t202" style="position:absolute;margin-left:0;margin-top:22.4pt;width:522.65pt;height:454.3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" fillcolor="#e0f2ff" strokecolor="black [3213]" strokeweight="1pt">
                <v:textbox>
                  <w:txbxContent>
                    <w:p w14:paraId="2A459745" w14:textId="77777777" w:rsidR="007530D8" w:rsidRPr="00DA48FF" w:rsidRDefault="007530D8" w:rsidP="007530D8">
                      <w:pPr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</w:pPr>
                      <w:r w:rsidRPr="00DA48FF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  <w:t xml:space="preserve">Methodological information: </w:t>
                      </w:r>
                    </w:p>
                    <w:p w14:paraId="33DFA487" w14:textId="70171C9A" w:rsidR="00FF0442" w:rsidRPr="00B25312" w:rsidRDefault="00FF0442" w:rsidP="007530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40" w:after="40"/>
                        <w:jc w:val="both"/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</w:pPr>
                      <w:r w:rsidRPr="00B25312"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>Data shown in this release was last updated on the 19th of November 2025. Due to exceptional circumstances, the G20 aggregate</w:t>
                      </w:r>
                      <w:r w:rsidR="008C0F18"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>s</w:t>
                      </w:r>
                      <w:r w:rsidRPr="00B25312"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8C0F18"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>were</w:t>
                      </w:r>
                      <w:r w:rsidRPr="00B25312"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 xml:space="preserve"> not computed due to insufficient coverage of reported data.</w:t>
                      </w:r>
                    </w:p>
                    <w:p w14:paraId="4AC8EC49" w14:textId="45178F42" w:rsidR="007530D8" w:rsidRPr="00DA48FF" w:rsidRDefault="007530D8" w:rsidP="007530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40" w:after="40"/>
                        <w:jc w:val="both"/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</w:pPr>
                      <w:r w:rsidRPr="004E5A9D"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>G20 economies published in this press release:</w:t>
                      </w:r>
                      <w:r w:rsidRPr="00DA48FF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  Argentina, Australia, Brazil, Canada, China, France, Germany, India, Indonesia, Italy, Japan, Korea, Mexico, Saudi Arabia, South Africa, Türkiye, the United Kingdom, the United States and the European Union (EU 27).</w:t>
                      </w:r>
                    </w:p>
                    <w:p w14:paraId="191D8B88" w14:textId="77777777" w:rsidR="007530D8" w:rsidRPr="0090018C" w:rsidRDefault="007530D8" w:rsidP="007530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spacing w:before="40" w:after="40"/>
                        <w:jc w:val="both"/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</w:pPr>
                      <w:r w:rsidRPr="0090018C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The </w:t>
                      </w:r>
                      <w:r w:rsidRPr="004E5A9D"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>G20 aggregate</w:t>
                      </w:r>
                      <w:r w:rsidRPr="00D34BF6"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 xml:space="preserve"> includes </w:t>
                      </w:r>
                      <w:r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 xml:space="preserve">the </w:t>
                      </w:r>
                      <w:r w:rsidRPr="00D34BF6"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>Russia</w:t>
                      </w:r>
                      <w:r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>n Federation</w:t>
                      </w:r>
                      <w:r w:rsidRPr="00D34BF6">
                        <w:rPr>
                          <w:rFonts w:ascii="Yu Gothic" w:eastAsia="Yu Gothic" w:hAnsi="Yu Gothic" w:cstheme="minorHAnsi"/>
                          <w:bCs/>
                          <w:sz w:val="18"/>
                          <w:szCs w:val="18"/>
                        </w:rPr>
                        <w:t xml:space="preserve"> and does </w:t>
                      </w:r>
                      <w:r w:rsidRPr="0090018C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>not include</w:t>
                      </w:r>
                      <w:r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 </w:t>
                      </w:r>
                      <w:r w:rsidRPr="0090018C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African Union countries, except for South Africa. </w:t>
                      </w:r>
                      <w:r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>It</w:t>
                      </w:r>
                      <w:r w:rsidRPr="0090018C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is </w:t>
                      </w:r>
                      <w:r w:rsidRPr="0090018C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>derived from the seasonally adjusted data of the individual economies, converted to US dollars using period average exchange rates.</w:t>
                      </w:r>
                    </w:p>
                    <w:p w14:paraId="1D7EA02C" w14:textId="700E3D84" w:rsidR="007530D8" w:rsidRPr="008A566F" w:rsidRDefault="007530D8" w:rsidP="007530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DA48FF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In the case of international trade in services </w:t>
                      </w:r>
                      <w:r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>in Q</w:t>
                      </w:r>
                      <w:r w:rsidR="00350EA1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, </w:t>
                      </w:r>
                      <w:r w:rsidRPr="00DA48FF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>figures for the following economies are OECD preliminary estimates based on mo</w:t>
                      </w:r>
                      <w:r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nthly national data: </w:t>
                      </w:r>
                      <w:r w:rsidRPr="00331CD5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 China, France, Germany</w:t>
                      </w:r>
                      <w:r w:rsidRPr="00DB5042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India, Italy </w:t>
                      </w:r>
                      <w:r w:rsidR="007979D6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 xml:space="preserve">and </w:t>
                      </w:r>
                      <w:r w:rsidRPr="00331CD5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>the United Kingdom</w:t>
                      </w:r>
                      <w:r w:rsidRPr="00DA48FF">
                        <w:rPr>
                          <w:rFonts w:ascii="Yu Gothic" w:eastAsia="Yu Gothic" w:hAnsi="Yu Gothic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1DD38191" w14:textId="3BEFB51A" w:rsidR="007530D8" w:rsidRPr="00DA48FF" w:rsidRDefault="007530D8" w:rsidP="007530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/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8A566F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Most economies report seasonally adjusted data. When seasonally adjusted data are not provided, the OECD </w:t>
                      </w:r>
                      <w:r w:rsidR="0050506B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adjusts </w:t>
                      </w:r>
                      <w:r w:rsidRPr="008A566F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national data using either TRAMO-SEATS </w:t>
                      </w:r>
                      <w:r w:rsidR="0050506B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or </w:t>
                      </w:r>
                      <w:r w:rsidRPr="008A566F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>ARIMA-X13.</w:t>
                      </w:r>
                    </w:p>
                    <w:p w14:paraId="561E5963" w14:textId="061787B4" w:rsidR="007530D8" w:rsidRPr="00DA48FF" w:rsidRDefault="007530D8" w:rsidP="007530D8">
                      <w:pPr>
                        <w:spacing w:after="120"/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</w:pPr>
                      <w:r w:rsidRPr="00DA48FF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  <w:t xml:space="preserve">For more information, see </w:t>
                      </w:r>
                      <w:hyperlink r:id="rId31" w:history="1">
                        <w:r w:rsidRPr="00DA48FF">
                          <w:rPr>
                            <w:rStyle w:val="Hyperlink"/>
                            <w:rFonts w:ascii="Yu Gothic" w:eastAsia="Yu Gothic" w:hAnsi="Yu Gothic" w:cstheme="minorBidi"/>
                          </w:rPr>
                          <w:t>G20 international trade news release technical note</w:t>
                        </w:r>
                      </w:hyperlink>
                      <w:r w:rsidRPr="00DA48FF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>.</w:t>
                      </w:r>
                    </w:p>
                    <w:p w14:paraId="65581044" w14:textId="77777777" w:rsidR="007530D8" w:rsidRPr="00DA48FF" w:rsidRDefault="007530D8" w:rsidP="007530D8">
                      <w:pPr>
                        <w:jc w:val="both"/>
                        <w:outlineLvl w:val="0"/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DA48FF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</w:rPr>
                        <w:t>Access Data:</w:t>
                      </w:r>
                      <w:r w:rsidRPr="00DA48FF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E74F0B8" w14:textId="4D25E1F9" w:rsidR="007530D8" w:rsidRPr="00DA48FF" w:rsidRDefault="007530D8" w:rsidP="007530D8">
                      <w:pPr>
                        <w:jc w:val="both"/>
                        <w:outlineLvl w:val="0"/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</w:pPr>
                      <w:r w:rsidRPr="00DA48FF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>OECD Data</w:t>
                      </w:r>
                      <w:r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 Explorer</w:t>
                      </w:r>
                      <w:r w:rsidRPr="00DA48FF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: </w:t>
                      </w:r>
                      <w:hyperlink r:id="rId32" w:history="1">
                        <w:r>
                          <w:rPr>
                            <w:rStyle w:val="Hyperlink"/>
                            <w:rFonts w:ascii="Yu Gothic" w:eastAsia="Yu Gothic" w:hAnsi="Yu Gothic" w:cstheme="minorBidi"/>
                          </w:rPr>
                          <w:t>International merchandise trade statistics</w:t>
                        </w:r>
                      </w:hyperlink>
                      <w:r w:rsidRPr="00DA48FF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, </w:t>
                      </w:r>
                      <w:hyperlink r:id="rId33" w:history="1">
                        <w:r>
                          <w:rPr>
                            <w:rStyle w:val="Hyperlink"/>
                            <w:rFonts w:ascii="Yu Gothic" w:eastAsia="Yu Gothic" w:hAnsi="Yu Gothic" w:cstheme="minorBidi"/>
                          </w:rPr>
                          <w:t>Balance of payments</w:t>
                        </w:r>
                      </w:hyperlink>
                    </w:p>
                    <w:p w14:paraId="6743B1E3" w14:textId="77777777" w:rsidR="007530D8" w:rsidRPr="00DA48FF" w:rsidRDefault="007530D8" w:rsidP="007530D8">
                      <w:pPr>
                        <w:jc w:val="both"/>
                        <w:outlineLvl w:val="0"/>
                        <w:rPr>
                          <w:rFonts w:ascii="Yu Gothic" w:eastAsia="Yu Gothic" w:hAnsi="Yu Gothic"/>
                          <w:sz w:val="18"/>
                          <w:szCs w:val="18"/>
                          <w:lang w:val="en-US"/>
                        </w:rPr>
                      </w:pPr>
                      <w:r w:rsidRPr="00DA48FF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  <w:lang w:val="en-US"/>
                        </w:rPr>
                        <w:t>Contacts:</w:t>
                      </w:r>
                      <w:r w:rsidRPr="00DA48FF">
                        <w:rPr>
                          <w:rFonts w:ascii="Yu Gothic" w:eastAsia="Yu Gothic" w:hAnsi="Yu Gothic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2B0C32CC" w14:textId="4D14E4A3" w:rsidR="007530D8" w:rsidRDefault="007530D8" w:rsidP="007530D8">
                      <w:pPr>
                        <w:jc w:val="both"/>
                        <w:outlineLvl w:val="0"/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DA48FF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For further information contact the OECD's </w:t>
                      </w:r>
                      <w:r w:rsidR="005E589B" w:rsidRPr="005E589B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Strategic </w:t>
                      </w:r>
                      <w:r w:rsidR="005E589B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>c</w:t>
                      </w:r>
                      <w:r w:rsidR="005E589B" w:rsidRPr="005E589B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ommunications and </w:t>
                      </w:r>
                      <w:r w:rsidR="005E589B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>o</w:t>
                      </w:r>
                      <w:r w:rsidR="005E589B" w:rsidRPr="005E589B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>utreach</w:t>
                      </w:r>
                      <w:r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d</w:t>
                      </w:r>
                      <w:r w:rsidRPr="00DA48FF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ivision </w:t>
                      </w:r>
                      <w:r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>by phone</w:t>
                      </w:r>
                      <w:r w:rsidRPr="00DA48FF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(33) 1 45 24 97 00 or e-mail </w:t>
                      </w:r>
                      <w:hyperlink r:id="rId34" w:history="1">
                        <w:r w:rsidRPr="00DA48FF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color w:val="1F4E79" w:themeColor="accent1" w:themeShade="80"/>
                            <w:lang w:val="en-US"/>
                          </w:rPr>
                          <w:t>news.contact@oecd.org</w:t>
                        </w:r>
                      </w:hyperlink>
                      <w:r w:rsidRPr="00DA48FF">
                        <w:rPr>
                          <w:rFonts w:ascii="Yu Gothic" w:eastAsia="Yu Gothic" w:hAnsi="Yu Gothic"/>
                          <w:sz w:val="18"/>
                          <w:szCs w:val="18"/>
                        </w:rPr>
                        <w:t xml:space="preserve">; </w:t>
                      </w:r>
                      <w:r w:rsidRPr="00DA48FF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for further information on data contact </w:t>
                      </w:r>
                      <w:r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Pr="00DA48FF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OECD’s Statistics and </w:t>
                      </w:r>
                      <w:r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DA48FF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ata </w:t>
                      </w:r>
                      <w:r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DA48FF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irectorate: </w:t>
                      </w:r>
                      <w:hyperlink r:id="rId35" w:history="1">
                        <w:r w:rsidRPr="00DA48FF">
                          <w:rPr>
                            <w:rStyle w:val="Hyperlink"/>
                            <w:rFonts w:ascii="Yu Gothic" w:eastAsia="Yu Gothic" w:hAnsi="Yu Gothic" w:cs="Times New Roman"/>
                            <w:b w:val="0"/>
                            <w:color w:val="1F4E79" w:themeColor="accent1" w:themeShade="80"/>
                            <w:lang w:val="en-US"/>
                          </w:rPr>
                          <w:t>stat.contact@oecd.org</w:t>
                        </w:r>
                      </w:hyperlink>
                      <w:r w:rsidRPr="00DA48FF"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0E059414" w14:textId="234BFCD3" w:rsidR="007530D8" w:rsidRPr="00DA48FF" w:rsidRDefault="007530D8" w:rsidP="007530D8">
                      <w:pPr>
                        <w:spacing w:after="120"/>
                        <w:jc w:val="both"/>
                        <w:outlineLvl w:val="0"/>
                        <w:rPr>
                          <w:rFonts w:ascii="Yu Gothic" w:eastAsia="Yu Gothic" w:hAnsi="Yu Gothic"/>
                          <w:b/>
                          <w:color w:val="3E658B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DA48FF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  <w:lang w:val="en-US"/>
                        </w:rPr>
                        <w:t>Next release:</w:t>
                      </w:r>
                      <w:r w:rsidRPr="00DA48FF">
                        <w:rPr>
                          <w:rFonts w:ascii="Yu Gothic" w:eastAsia="Yu Gothic" w:hAnsi="Yu Gothic"/>
                        </w:rPr>
                        <w:t xml:space="preserve"> </w:t>
                      </w:r>
                      <w:hyperlink r:id="rId36" w:history="1">
                        <w:r w:rsidR="00350EA1">
                          <w:rPr>
                            <w:rStyle w:val="Hyperlink"/>
                            <w:rFonts w:ascii="Yu Gothic" w:eastAsia="Yu Gothic" w:hAnsi="Yu Gothic" w:cstheme="minorBidi"/>
                            <w:szCs w:val="22"/>
                          </w:rPr>
                          <w:t>February</w:t>
                        </w:r>
                        <w:r w:rsidRPr="002D39DC">
                          <w:rPr>
                            <w:rStyle w:val="Hyperlink"/>
                            <w:rFonts w:ascii="Yu Gothic" w:eastAsia="Yu Gothic" w:hAnsi="Yu Gothic" w:cstheme="minorBidi"/>
                            <w:szCs w:val="22"/>
                          </w:rPr>
                          <w:t xml:space="preserve"> 20</w:t>
                        </w:r>
                        <w:r w:rsidR="00D8283B">
                          <w:rPr>
                            <w:rStyle w:val="Hyperlink"/>
                            <w:rFonts w:ascii="Yu Gothic" w:eastAsia="Yu Gothic" w:hAnsi="Yu Gothic" w:cstheme="minorBidi"/>
                            <w:szCs w:val="22"/>
                          </w:rPr>
                          <w:t>26</w:t>
                        </w:r>
                      </w:hyperlink>
                    </w:p>
                    <w:p w14:paraId="070E8030" w14:textId="77777777" w:rsidR="007530D8" w:rsidRDefault="007530D8" w:rsidP="007530D8">
                      <w:pPr>
                        <w:jc w:val="both"/>
                        <w:outlineLvl w:val="0"/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14:paraId="52585866" w14:textId="77777777" w:rsidR="007530D8" w:rsidRDefault="007530D8" w:rsidP="007530D8">
                      <w:pPr>
                        <w:jc w:val="both"/>
                        <w:outlineLvl w:val="0"/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14:paraId="22442C47" w14:textId="77777777" w:rsidR="007530D8" w:rsidRPr="00DA48FF" w:rsidRDefault="007530D8" w:rsidP="007530D8">
                      <w:pPr>
                        <w:jc w:val="both"/>
                        <w:outlineLvl w:val="0"/>
                        <w:rPr>
                          <w:rFonts w:ascii="Yu Gothic" w:eastAsia="Yu Gothic" w:hAnsi="Yu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14:paraId="2C6376DC" w14:textId="77777777" w:rsidR="007530D8" w:rsidRPr="00DA48FF" w:rsidRDefault="007530D8" w:rsidP="007530D8">
                      <w:pPr>
                        <w:spacing w:after="120"/>
                        <w:jc w:val="both"/>
                        <w:outlineLvl w:val="0"/>
                        <w:rPr>
                          <w:rFonts w:ascii="Yu Gothic" w:eastAsia="Yu Gothic" w:hAnsi="Yu Gothic"/>
                          <w:b/>
                          <w:color w:val="3E658B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DA48FF">
                        <w:rPr>
                          <w:rFonts w:ascii="Yu Gothic" w:eastAsia="Yu Gothic" w:hAnsi="Yu Gothic"/>
                          <w:b/>
                          <w:sz w:val="18"/>
                          <w:szCs w:val="18"/>
                          <w:lang w:val="en-US"/>
                        </w:rPr>
                        <w:t>Next release:</w:t>
                      </w:r>
                      <w:r w:rsidRPr="00DA48FF">
                        <w:rPr>
                          <w:rFonts w:ascii="Yu Gothic" w:eastAsia="Yu Gothic" w:hAnsi="Yu Gothic"/>
                        </w:rPr>
                        <w:t xml:space="preserve"> </w:t>
                      </w:r>
                      <w:hyperlink r:id="rId37" w:history="1">
                        <w:r>
                          <w:rPr>
                            <w:rStyle w:val="Hyperlink"/>
                            <w:rFonts w:ascii="Yu Gothic" w:eastAsia="Yu Gothic" w:hAnsi="Yu Gothic" w:cstheme="minorBidi"/>
                            <w:szCs w:val="22"/>
                          </w:rPr>
                          <w:t>February 2024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D7AB5A" w14:textId="0257AFB5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46D55CF5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025C04DD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1F334E4E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0E4FCCC6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266F8885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1FD51FD3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4E329C65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06A6B81F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44F2202E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17C950EA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2131F06F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13E19A7C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50F03773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p w14:paraId="2A8C1DA8" w14:textId="77777777" w:rsidR="00A77E40" w:rsidRPr="00DA48FF" w:rsidRDefault="00A77E40" w:rsidP="00EB0DF7">
      <w:pPr>
        <w:rPr>
          <w:rFonts w:ascii="Yu Gothic" w:eastAsia="Yu Gothic" w:hAnsi="Yu Gothic"/>
          <w:sz w:val="16"/>
          <w:szCs w:val="16"/>
        </w:rPr>
      </w:pPr>
    </w:p>
    <w:sectPr w:rsidR="00A77E40" w:rsidRPr="00DA48FF" w:rsidSect="003F11C6">
      <w:headerReference w:type="default" r:id="rId38"/>
      <w:footerReference w:type="even" r:id="rId39"/>
      <w:footerReference w:type="default" r:id="rId40"/>
      <w:footerReference w:type="first" r:id="rId41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64B43" w14:textId="77777777" w:rsidR="00DC32DF" w:rsidRDefault="00DC32DF" w:rsidP="00B32222">
      <w:pPr>
        <w:spacing w:after="0" w:line="240" w:lineRule="auto"/>
      </w:pPr>
      <w:r>
        <w:separator/>
      </w:r>
    </w:p>
  </w:endnote>
  <w:endnote w:type="continuationSeparator" w:id="0">
    <w:p w14:paraId="7709BF2C" w14:textId="77777777" w:rsidR="00DC32DF" w:rsidRDefault="00DC32DF" w:rsidP="00B32222">
      <w:pPr>
        <w:spacing w:after="0" w:line="240" w:lineRule="auto"/>
      </w:pPr>
      <w:r>
        <w:continuationSeparator/>
      </w:r>
    </w:p>
  </w:endnote>
  <w:endnote w:type="continuationNotice" w:id="1">
    <w:p w14:paraId="7FA93D6E" w14:textId="77777777" w:rsidR="00DC32DF" w:rsidRDefault="00DC32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DF58" w14:textId="0DCBB193" w:rsidR="0025272E" w:rsidRDefault="002527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A67FAB0" wp14:editId="4213E8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5" name="Text Box 15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9074F" w14:textId="407A3372" w:rsidR="0025272E" w:rsidRPr="0025272E" w:rsidRDefault="0025272E" w:rsidP="00252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5272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7FAB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alt="Restricted Use - À usage restreint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659074F" w14:textId="407A3372" w:rsidR="0025272E" w:rsidRPr="0025272E" w:rsidRDefault="0025272E" w:rsidP="00252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5272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6A6B" w14:textId="64D795CD" w:rsidR="00FD3FF2" w:rsidRDefault="005F79C4">
    <w:pPr>
      <w:pStyle w:val="Footer"/>
      <w:jc w:val="right"/>
    </w:pPr>
    <w:r w:rsidRPr="00E61F07"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2970352C" wp14:editId="0A3B19AA">
          <wp:simplePos x="0" y="0"/>
          <wp:positionH relativeFrom="margin">
            <wp:posOffset>6172835</wp:posOffset>
          </wp:positionH>
          <wp:positionV relativeFrom="paragraph">
            <wp:posOffset>146050</wp:posOffset>
          </wp:positionV>
          <wp:extent cx="495300" cy="285115"/>
          <wp:effectExtent l="0" t="0" r="0" b="635"/>
          <wp:wrapNone/>
          <wp:docPr id="224515634" name="Picture 224515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597356" name="Picture 4315973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8" b="1158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72E">
      <w:rPr>
        <w:noProof/>
        <w:lang w:eastAsia="en-GB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CDB13B8" wp14:editId="614AB62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7" name="Text Box 17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11059" w14:textId="31ECFF46" w:rsidR="0025272E" w:rsidRPr="0025272E" w:rsidRDefault="0025272E" w:rsidP="00252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5272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B13B8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alt="Restricted Use - À usage restreint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5511059" w14:textId="31ECFF46" w:rsidR="0025272E" w:rsidRPr="0025272E" w:rsidRDefault="0025272E" w:rsidP="00252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5272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C16CA7" w14:textId="7698D87C" w:rsidR="00FD3FF2" w:rsidRPr="00870105" w:rsidRDefault="00985C61" w:rsidP="00870105">
    <w:pPr>
      <w:pStyle w:val="Footer"/>
      <w:ind w:left="9360"/>
      <w:jc w:val="center"/>
      <w:rPr>
        <w:rFonts w:ascii="Yu Gothic" w:eastAsia="Yu Gothic" w:hAnsi="Yu Gothic"/>
      </w:rPr>
    </w:pPr>
    <w:sdt>
      <w:sdtPr>
        <w:id w:val="-799993691"/>
        <w:docPartObj>
          <w:docPartGallery w:val="Page Numbers (Bottom of Page)"/>
          <w:docPartUnique/>
        </w:docPartObj>
      </w:sdtPr>
      <w:sdtEndPr>
        <w:rPr>
          <w:rFonts w:ascii="Yu Gothic" w:eastAsia="Yu Gothic" w:hAnsi="Yu Gothic"/>
          <w:noProof/>
        </w:rPr>
      </w:sdtEndPr>
      <w:sdtContent>
        <w:r w:rsidR="00FD3FF2" w:rsidRPr="00870105">
          <w:rPr>
            <w:rFonts w:ascii="Yu Gothic" w:eastAsia="Yu Gothic" w:hAnsi="Yu Gothic"/>
          </w:rPr>
          <w:fldChar w:fldCharType="begin"/>
        </w:r>
        <w:r w:rsidR="00FD3FF2" w:rsidRPr="00870105">
          <w:rPr>
            <w:rFonts w:ascii="Yu Gothic" w:eastAsia="Yu Gothic" w:hAnsi="Yu Gothic"/>
          </w:rPr>
          <w:instrText xml:space="preserve"> PAGE   \* MERGEFORMAT </w:instrText>
        </w:r>
        <w:r w:rsidR="00FD3FF2" w:rsidRPr="00870105">
          <w:rPr>
            <w:rFonts w:ascii="Yu Gothic" w:eastAsia="Yu Gothic" w:hAnsi="Yu Gothic"/>
          </w:rPr>
          <w:fldChar w:fldCharType="separate"/>
        </w:r>
        <w:r w:rsidR="00993A0B">
          <w:rPr>
            <w:rFonts w:ascii="Yu Gothic" w:eastAsia="Yu Gothic" w:hAnsi="Yu Gothic"/>
            <w:noProof/>
          </w:rPr>
          <w:t>1</w:t>
        </w:r>
        <w:r w:rsidR="00FD3FF2" w:rsidRPr="00870105">
          <w:rPr>
            <w:rFonts w:ascii="Yu Gothic" w:eastAsia="Yu Gothic" w:hAnsi="Yu Gothic"/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B3D8" w14:textId="0CCE0484" w:rsidR="0025272E" w:rsidRDefault="002527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68FE370" wp14:editId="492A47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2B84E" w14:textId="05656E78" w:rsidR="0025272E" w:rsidRPr="0025272E" w:rsidRDefault="0025272E" w:rsidP="00252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5272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FE37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Restricted Use - À usage restreint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A02B84E" w14:textId="05656E78" w:rsidR="0025272E" w:rsidRPr="0025272E" w:rsidRDefault="0025272E" w:rsidP="00252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5272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1C7D" w14:textId="347E09BB" w:rsidR="0025272E" w:rsidRDefault="002527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248290B" wp14:editId="412123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9" name="Text Box 19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07F06" w14:textId="6995F260" w:rsidR="0025272E" w:rsidRPr="0025272E" w:rsidRDefault="0025272E" w:rsidP="00252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5272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8290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1" type="#_x0000_t202" alt="Restricted Use - À usage restreint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1807F06" w14:textId="6995F260" w:rsidR="0025272E" w:rsidRPr="0025272E" w:rsidRDefault="0025272E" w:rsidP="00252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5272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A5F3" w14:textId="66712B2E" w:rsidR="00FD3FF2" w:rsidRDefault="005F79C4" w:rsidP="00870105">
    <w:pPr>
      <w:pStyle w:val="Footer"/>
      <w:ind w:left="9360"/>
      <w:jc w:val="center"/>
      <w:rPr>
        <w:noProof/>
        <w:lang w:eastAsia="en-GB"/>
      </w:rPr>
    </w:pPr>
    <w:r w:rsidRPr="00E61F07"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7D8166EF" wp14:editId="234A52E3">
          <wp:simplePos x="0" y="0"/>
          <wp:positionH relativeFrom="margin">
            <wp:posOffset>6176645</wp:posOffset>
          </wp:positionH>
          <wp:positionV relativeFrom="paragraph">
            <wp:posOffset>146050</wp:posOffset>
          </wp:positionV>
          <wp:extent cx="495300" cy="285115"/>
          <wp:effectExtent l="0" t="0" r="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8" b="1158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272E">
      <w:rPr>
        <w:noProof/>
        <w:lang w:eastAsia="en-GB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412E394" wp14:editId="3205CB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20" name="Text Box 20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38030D" w14:textId="20D9CD63" w:rsidR="0025272E" w:rsidRPr="0025272E" w:rsidRDefault="0025272E" w:rsidP="00252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5272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2E39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Restricted Use - À usage restreint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538030D" w14:textId="20D9CD63" w:rsidR="0025272E" w:rsidRPr="0025272E" w:rsidRDefault="0025272E" w:rsidP="00252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5272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113C02" w14:textId="4A1D0134" w:rsidR="00FD3FF2" w:rsidRPr="00870105" w:rsidRDefault="00FD3FF2" w:rsidP="00870105">
    <w:pPr>
      <w:pStyle w:val="Footer"/>
      <w:ind w:left="9360"/>
      <w:jc w:val="center"/>
      <w:rPr>
        <w:rFonts w:ascii="Yu Gothic" w:eastAsia="Yu Gothic" w:hAnsi="Yu Gothic"/>
        <w:noProof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C260C5" wp14:editId="27075BCE">
          <wp:simplePos x="0" y="0"/>
          <wp:positionH relativeFrom="margin">
            <wp:posOffset>0</wp:posOffset>
          </wp:positionH>
          <wp:positionV relativeFrom="paragraph">
            <wp:posOffset>81307</wp:posOffset>
          </wp:positionV>
          <wp:extent cx="635267" cy="154343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ECD_10c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35267" cy="15434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id w:val="-879710765"/>
        <w:docPartObj>
          <w:docPartGallery w:val="Page Numbers (Bottom of Page)"/>
          <w:docPartUnique/>
        </w:docPartObj>
      </w:sdtPr>
      <w:sdtEndPr>
        <w:rPr>
          <w:rFonts w:ascii="Yu Gothic" w:eastAsia="Yu Gothic" w:hAnsi="Yu Gothic"/>
          <w:noProof/>
        </w:rPr>
      </w:sdtEndPr>
      <w:sdtContent>
        <w:r w:rsidRPr="00870105">
          <w:rPr>
            <w:rFonts w:ascii="Yu Gothic" w:eastAsia="Yu Gothic" w:hAnsi="Yu Gothic"/>
          </w:rPr>
          <w:fldChar w:fldCharType="begin"/>
        </w:r>
        <w:r w:rsidRPr="00870105">
          <w:rPr>
            <w:rFonts w:ascii="Yu Gothic" w:eastAsia="Yu Gothic" w:hAnsi="Yu Gothic"/>
          </w:rPr>
          <w:instrText xml:space="preserve"> PAGE   \* MERGEFORMAT </w:instrText>
        </w:r>
        <w:r w:rsidRPr="00870105">
          <w:rPr>
            <w:rFonts w:ascii="Yu Gothic" w:eastAsia="Yu Gothic" w:hAnsi="Yu Gothic"/>
          </w:rPr>
          <w:fldChar w:fldCharType="separate"/>
        </w:r>
        <w:r w:rsidR="00993A0B">
          <w:rPr>
            <w:rFonts w:ascii="Yu Gothic" w:eastAsia="Yu Gothic" w:hAnsi="Yu Gothic"/>
            <w:noProof/>
          </w:rPr>
          <w:t>7</w:t>
        </w:r>
        <w:r w:rsidRPr="00870105">
          <w:rPr>
            <w:rFonts w:ascii="Yu Gothic" w:eastAsia="Yu Gothic" w:hAnsi="Yu Gothic"/>
            <w:noProof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3D2C" w14:textId="591A0E5A" w:rsidR="0025272E" w:rsidRDefault="0025272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7A56BB6" wp14:editId="5CCEC50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8" name="Text Box 18" descr="Restricted Use - À usage restrei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D6F00D" w14:textId="21C3D6E0" w:rsidR="0025272E" w:rsidRPr="0025272E" w:rsidRDefault="0025272E" w:rsidP="002527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25272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 Use - À usage restreint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A56BB6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alt="Restricted Use - À usage restreint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5D6F00D" w14:textId="21C3D6E0" w:rsidR="0025272E" w:rsidRPr="0025272E" w:rsidRDefault="0025272E" w:rsidP="0025272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25272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 Use - À usage restreint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50BF" w14:textId="77777777" w:rsidR="00DC32DF" w:rsidRDefault="00DC32DF" w:rsidP="00B32222">
      <w:pPr>
        <w:spacing w:after="0" w:line="240" w:lineRule="auto"/>
      </w:pPr>
      <w:r>
        <w:separator/>
      </w:r>
    </w:p>
  </w:footnote>
  <w:footnote w:type="continuationSeparator" w:id="0">
    <w:p w14:paraId="3F959BD9" w14:textId="77777777" w:rsidR="00DC32DF" w:rsidRDefault="00DC32DF" w:rsidP="00B32222">
      <w:pPr>
        <w:spacing w:after="0" w:line="240" w:lineRule="auto"/>
      </w:pPr>
      <w:r>
        <w:continuationSeparator/>
      </w:r>
    </w:p>
  </w:footnote>
  <w:footnote w:type="continuationNotice" w:id="1">
    <w:p w14:paraId="39732891" w14:textId="77777777" w:rsidR="00DC32DF" w:rsidRDefault="00DC32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143E" w14:textId="70642A50" w:rsidR="00FD3FF2" w:rsidRDefault="005F79C4">
    <w:pPr>
      <w:pStyle w:val="Header"/>
    </w:pPr>
    <w:r>
      <w:rPr>
        <w:noProof/>
      </w:rPr>
      <w:drawing>
        <wp:anchor distT="0" distB="0" distL="114300" distR="114300" simplePos="0" relativeHeight="251658249" behindDoc="0" locked="0" layoutInCell="1" allowOverlap="1" wp14:anchorId="4DB82F4E" wp14:editId="184746DF">
          <wp:simplePos x="0" y="0"/>
          <wp:positionH relativeFrom="column">
            <wp:posOffset>-484303</wp:posOffset>
          </wp:positionH>
          <wp:positionV relativeFrom="paragraph">
            <wp:posOffset>-461416</wp:posOffset>
          </wp:positionV>
          <wp:extent cx="7587615" cy="1579245"/>
          <wp:effectExtent l="0" t="0" r="0" b="1905"/>
          <wp:wrapSquare wrapText="bothSides"/>
          <wp:docPr id="428962344" name="Picture 1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366673" name="Picture 1" descr="A blue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57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EDB0F" w14:textId="77777777" w:rsidR="00FD3FF2" w:rsidRDefault="00FD3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75B"/>
    <w:multiLevelType w:val="hybridMultilevel"/>
    <w:tmpl w:val="3056D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15D1"/>
    <w:multiLevelType w:val="hybridMultilevel"/>
    <w:tmpl w:val="32E0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737F"/>
    <w:multiLevelType w:val="hybridMultilevel"/>
    <w:tmpl w:val="23468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D6AC0"/>
    <w:multiLevelType w:val="hybridMultilevel"/>
    <w:tmpl w:val="6E121F76"/>
    <w:lvl w:ilvl="0" w:tplc="58A4F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14:shadow w14:blurRad="50800" w14:dist="50800" w14:dir="5400000" w14:sx="0" w14:sy="0" w14:kx="0" w14:ky="0" w14:algn="ctr">
          <w14:schemeClr w14:val="accent1"/>
        </w14:shadow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21852"/>
    <w:multiLevelType w:val="hybridMultilevel"/>
    <w:tmpl w:val="7A8CE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53504B"/>
    <w:multiLevelType w:val="hybridMultilevel"/>
    <w:tmpl w:val="09A8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5615F"/>
    <w:multiLevelType w:val="hybridMultilevel"/>
    <w:tmpl w:val="974C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26959">
    <w:abstractNumId w:val="3"/>
  </w:num>
  <w:num w:numId="2" w16cid:durableId="262687978">
    <w:abstractNumId w:val="4"/>
  </w:num>
  <w:num w:numId="3" w16cid:durableId="747729440">
    <w:abstractNumId w:val="6"/>
  </w:num>
  <w:num w:numId="4" w16cid:durableId="1431968108">
    <w:abstractNumId w:val="1"/>
  </w:num>
  <w:num w:numId="5" w16cid:durableId="747192287">
    <w:abstractNumId w:val="2"/>
  </w:num>
  <w:num w:numId="6" w16cid:durableId="229773472">
    <w:abstractNumId w:val="5"/>
  </w:num>
  <w:num w:numId="7" w16cid:durableId="95867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ECDDocumentId" w:val="8AD3A3718388800A13374FC74DB2B72BB7AC610C48B8550700F0DB0D9FAB478A"/>
  </w:docVars>
  <w:rsids>
    <w:rsidRoot w:val="00B32222"/>
    <w:rsid w:val="000010BC"/>
    <w:rsid w:val="00001A8F"/>
    <w:rsid w:val="0000302B"/>
    <w:rsid w:val="0000380B"/>
    <w:rsid w:val="00004463"/>
    <w:rsid w:val="00004F0F"/>
    <w:rsid w:val="0000527A"/>
    <w:rsid w:val="00005E29"/>
    <w:rsid w:val="0000668B"/>
    <w:rsid w:val="000075BE"/>
    <w:rsid w:val="00007740"/>
    <w:rsid w:val="00007850"/>
    <w:rsid w:val="000103B7"/>
    <w:rsid w:val="00010944"/>
    <w:rsid w:val="00010FA0"/>
    <w:rsid w:val="0001101E"/>
    <w:rsid w:val="000115DA"/>
    <w:rsid w:val="000124DD"/>
    <w:rsid w:val="00012E05"/>
    <w:rsid w:val="000145A7"/>
    <w:rsid w:val="00015124"/>
    <w:rsid w:val="00015360"/>
    <w:rsid w:val="000153A3"/>
    <w:rsid w:val="00016AC0"/>
    <w:rsid w:val="00017955"/>
    <w:rsid w:val="00017DF4"/>
    <w:rsid w:val="000209EA"/>
    <w:rsid w:val="00020D8A"/>
    <w:rsid w:val="0002166F"/>
    <w:rsid w:val="00022503"/>
    <w:rsid w:val="00022A46"/>
    <w:rsid w:val="00023235"/>
    <w:rsid w:val="00027412"/>
    <w:rsid w:val="00027F4C"/>
    <w:rsid w:val="00030093"/>
    <w:rsid w:val="00030549"/>
    <w:rsid w:val="000311B0"/>
    <w:rsid w:val="00032A83"/>
    <w:rsid w:val="00033BD7"/>
    <w:rsid w:val="00033D3A"/>
    <w:rsid w:val="000344EA"/>
    <w:rsid w:val="00035772"/>
    <w:rsid w:val="00035CF7"/>
    <w:rsid w:val="0003621C"/>
    <w:rsid w:val="0003646D"/>
    <w:rsid w:val="0003705E"/>
    <w:rsid w:val="0003725D"/>
    <w:rsid w:val="000374B3"/>
    <w:rsid w:val="00037D75"/>
    <w:rsid w:val="0004008E"/>
    <w:rsid w:val="00040CF6"/>
    <w:rsid w:val="00040D38"/>
    <w:rsid w:val="00041A20"/>
    <w:rsid w:val="00041BDC"/>
    <w:rsid w:val="000434FD"/>
    <w:rsid w:val="000435B7"/>
    <w:rsid w:val="000435F1"/>
    <w:rsid w:val="00043D12"/>
    <w:rsid w:val="00044AFA"/>
    <w:rsid w:val="00044E9F"/>
    <w:rsid w:val="00045415"/>
    <w:rsid w:val="00045964"/>
    <w:rsid w:val="00046C16"/>
    <w:rsid w:val="00047454"/>
    <w:rsid w:val="00047948"/>
    <w:rsid w:val="00050F91"/>
    <w:rsid w:val="0005107B"/>
    <w:rsid w:val="00052882"/>
    <w:rsid w:val="00053D59"/>
    <w:rsid w:val="0005496A"/>
    <w:rsid w:val="00054E54"/>
    <w:rsid w:val="00055666"/>
    <w:rsid w:val="0005700A"/>
    <w:rsid w:val="0005703E"/>
    <w:rsid w:val="00057C1D"/>
    <w:rsid w:val="00061DCF"/>
    <w:rsid w:val="000621D0"/>
    <w:rsid w:val="00062E9D"/>
    <w:rsid w:val="000642C1"/>
    <w:rsid w:val="000663CA"/>
    <w:rsid w:val="00067BA9"/>
    <w:rsid w:val="00067EF6"/>
    <w:rsid w:val="0007037F"/>
    <w:rsid w:val="00071382"/>
    <w:rsid w:val="000713D6"/>
    <w:rsid w:val="00072766"/>
    <w:rsid w:val="0007305E"/>
    <w:rsid w:val="000743BF"/>
    <w:rsid w:val="00076709"/>
    <w:rsid w:val="000769FB"/>
    <w:rsid w:val="000770B2"/>
    <w:rsid w:val="000770C3"/>
    <w:rsid w:val="000777C0"/>
    <w:rsid w:val="00077C45"/>
    <w:rsid w:val="000801E2"/>
    <w:rsid w:val="00080B72"/>
    <w:rsid w:val="00080EE7"/>
    <w:rsid w:val="00081563"/>
    <w:rsid w:val="0008195E"/>
    <w:rsid w:val="00081B2F"/>
    <w:rsid w:val="00081C2F"/>
    <w:rsid w:val="0008242A"/>
    <w:rsid w:val="000838AA"/>
    <w:rsid w:val="00084149"/>
    <w:rsid w:val="0008446C"/>
    <w:rsid w:val="000849AF"/>
    <w:rsid w:val="000856A1"/>
    <w:rsid w:val="00085EB2"/>
    <w:rsid w:val="0008723A"/>
    <w:rsid w:val="00090BF2"/>
    <w:rsid w:val="00091C76"/>
    <w:rsid w:val="00091F93"/>
    <w:rsid w:val="0009284D"/>
    <w:rsid w:val="000929E7"/>
    <w:rsid w:val="00093196"/>
    <w:rsid w:val="00093E81"/>
    <w:rsid w:val="00095C77"/>
    <w:rsid w:val="00095F51"/>
    <w:rsid w:val="00095FA4"/>
    <w:rsid w:val="00096337"/>
    <w:rsid w:val="00096B54"/>
    <w:rsid w:val="000A1A2F"/>
    <w:rsid w:val="000A22BD"/>
    <w:rsid w:val="000A3D0A"/>
    <w:rsid w:val="000A45D0"/>
    <w:rsid w:val="000A4709"/>
    <w:rsid w:val="000A4F5F"/>
    <w:rsid w:val="000A566D"/>
    <w:rsid w:val="000A6213"/>
    <w:rsid w:val="000A6D1A"/>
    <w:rsid w:val="000B0568"/>
    <w:rsid w:val="000B0697"/>
    <w:rsid w:val="000B0CCD"/>
    <w:rsid w:val="000B37BC"/>
    <w:rsid w:val="000B4053"/>
    <w:rsid w:val="000B45E0"/>
    <w:rsid w:val="000B4A95"/>
    <w:rsid w:val="000B5000"/>
    <w:rsid w:val="000B59F4"/>
    <w:rsid w:val="000B5B7C"/>
    <w:rsid w:val="000B6443"/>
    <w:rsid w:val="000B69E0"/>
    <w:rsid w:val="000B6CB9"/>
    <w:rsid w:val="000B74E5"/>
    <w:rsid w:val="000C0387"/>
    <w:rsid w:val="000C1D72"/>
    <w:rsid w:val="000C3A02"/>
    <w:rsid w:val="000C3D54"/>
    <w:rsid w:val="000C4BBB"/>
    <w:rsid w:val="000C4C1E"/>
    <w:rsid w:val="000C4F40"/>
    <w:rsid w:val="000C5767"/>
    <w:rsid w:val="000C5C4B"/>
    <w:rsid w:val="000C79AC"/>
    <w:rsid w:val="000C7DD4"/>
    <w:rsid w:val="000D0946"/>
    <w:rsid w:val="000D1BDB"/>
    <w:rsid w:val="000D22AD"/>
    <w:rsid w:val="000D285B"/>
    <w:rsid w:val="000D4384"/>
    <w:rsid w:val="000D4924"/>
    <w:rsid w:val="000D4BCF"/>
    <w:rsid w:val="000D52FE"/>
    <w:rsid w:val="000D7686"/>
    <w:rsid w:val="000D785D"/>
    <w:rsid w:val="000E030E"/>
    <w:rsid w:val="000E0540"/>
    <w:rsid w:val="000E11B1"/>
    <w:rsid w:val="000E277B"/>
    <w:rsid w:val="000E2EB9"/>
    <w:rsid w:val="000E4784"/>
    <w:rsid w:val="000E494A"/>
    <w:rsid w:val="000E4FD4"/>
    <w:rsid w:val="000E55FF"/>
    <w:rsid w:val="000F1712"/>
    <w:rsid w:val="000F1F02"/>
    <w:rsid w:val="000F230D"/>
    <w:rsid w:val="000F2EDA"/>
    <w:rsid w:val="000F3615"/>
    <w:rsid w:val="000F541A"/>
    <w:rsid w:val="000F5F2F"/>
    <w:rsid w:val="000F6436"/>
    <w:rsid w:val="000F6771"/>
    <w:rsid w:val="000F6778"/>
    <w:rsid w:val="000F6951"/>
    <w:rsid w:val="000F7123"/>
    <w:rsid w:val="00100318"/>
    <w:rsid w:val="0010067E"/>
    <w:rsid w:val="0010114E"/>
    <w:rsid w:val="001026A6"/>
    <w:rsid w:val="00103191"/>
    <w:rsid w:val="0010326F"/>
    <w:rsid w:val="001045B4"/>
    <w:rsid w:val="00104858"/>
    <w:rsid w:val="00104F81"/>
    <w:rsid w:val="00106576"/>
    <w:rsid w:val="00106933"/>
    <w:rsid w:val="00106AEA"/>
    <w:rsid w:val="00107D61"/>
    <w:rsid w:val="001139B2"/>
    <w:rsid w:val="00113BE7"/>
    <w:rsid w:val="00114397"/>
    <w:rsid w:val="001148F7"/>
    <w:rsid w:val="00114FF5"/>
    <w:rsid w:val="001156A9"/>
    <w:rsid w:val="00115BA7"/>
    <w:rsid w:val="00116686"/>
    <w:rsid w:val="0011720C"/>
    <w:rsid w:val="0011771A"/>
    <w:rsid w:val="00120CA5"/>
    <w:rsid w:val="0012129B"/>
    <w:rsid w:val="00121F6E"/>
    <w:rsid w:val="001226E0"/>
    <w:rsid w:val="00122A74"/>
    <w:rsid w:val="00123022"/>
    <w:rsid w:val="001231F1"/>
    <w:rsid w:val="0012323D"/>
    <w:rsid w:val="00123CA0"/>
    <w:rsid w:val="001246BC"/>
    <w:rsid w:val="00124E22"/>
    <w:rsid w:val="00125757"/>
    <w:rsid w:val="00125796"/>
    <w:rsid w:val="00126E15"/>
    <w:rsid w:val="001270C7"/>
    <w:rsid w:val="001275DD"/>
    <w:rsid w:val="00127C6E"/>
    <w:rsid w:val="001308E9"/>
    <w:rsid w:val="00131120"/>
    <w:rsid w:val="00131354"/>
    <w:rsid w:val="00132F6A"/>
    <w:rsid w:val="00134118"/>
    <w:rsid w:val="00135B61"/>
    <w:rsid w:val="00137DFA"/>
    <w:rsid w:val="0014020E"/>
    <w:rsid w:val="001404F1"/>
    <w:rsid w:val="0014078E"/>
    <w:rsid w:val="00140D04"/>
    <w:rsid w:val="00140F43"/>
    <w:rsid w:val="00141B2D"/>
    <w:rsid w:val="001422C5"/>
    <w:rsid w:val="00142E48"/>
    <w:rsid w:val="00143267"/>
    <w:rsid w:val="0014433D"/>
    <w:rsid w:val="00144B02"/>
    <w:rsid w:val="00145700"/>
    <w:rsid w:val="001461EF"/>
    <w:rsid w:val="00146267"/>
    <w:rsid w:val="001465BF"/>
    <w:rsid w:val="001473E6"/>
    <w:rsid w:val="0015010A"/>
    <w:rsid w:val="00150A24"/>
    <w:rsid w:val="00150EB3"/>
    <w:rsid w:val="00150FAF"/>
    <w:rsid w:val="0015282C"/>
    <w:rsid w:val="00152B5B"/>
    <w:rsid w:val="00152B8D"/>
    <w:rsid w:val="001534B5"/>
    <w:rsid w:val="001534C0"/>
    <w:rsid w:val="0015355F"/>
    <w:rsid w:val="00153A64"/>
    <w:rsid w:val="001548EE"/>
    <w:rsid w:val="00154DF3"/>
    <w:rsid w:val="0015544B"/>
    <w:rsid w:val="00155481"/>
    <w:rsid w:val="00155663"/>
    <w:rsid w:val="00155D64"/>
    <w:rsid w:val="00155EA4"/>
    <w:rsid w:val="00157406"/>
    <w:rsid w:val="0015762B"/>
    <w:rsid w:val="001600E6"/>
    <w:rsid w:val="001602C5"/>
    <w:rsid w:val="00160665"/>
    <w:rsid w:val="0016196A"/>
    <w:rsid w:val="001621E1"/>
    <w:rsid w:val="001627EA"/>
    <w:rsid w:val="00165F0D"/>
    <w:rsid w:val="0017065A"/>
    <w:rsid w:val="00171853"/>
    <w:rsid w:val="0017331C"/>
    <w:rsid w:val="0017514B"/>
    <w:rsid w:val="001764BB"/>
    <w:rsid w:val="00180303"/>
    <w:rsid w:val="00180788"/>
    <w:rsid w:val="001814C9"/>
    <w:rsid w:val="00181F99"/>
    <w:rsid w:val="00182FB4"/>
    <w:rsid w:val="001842BF"/>
    <w:rsid w:val="00185513"/>
    <w:rsid w:val="00185DC0"/>
    <w:rsid w:val="00185F30"/>
    <w:rsid w:val="00187E59"/>
    <w:rsid w:val="001904A9"/>
    <w:rsid w:val="00190E02"/>
    <w:rsid w:val="00191BF4"/>
    <w:rsid w:val="001925EB"/>
    <w:rsid w:val="00193277"/>
    <w:rsid w:val="00194632"/>
    <w:rsid w:val="00196B60"/>
    <w:rsid w:val="0019725C"/>
    <w:rsid w:val="00197E80"/>
    <w:rsid w:val="001A0626"/>
    <w:rsid w:val="001A13D6"/>
    <w:rsid w:val="001A221E"/>
    <w:rsid w:val="001A331B"/>
    <w:rsid w:val="001A40F9"/>
    <w:rsid w:val="001A42C9"/>
    <w:rsid w:val="001A4D49"/>
    <w:rsid w:val="001A508F"/>
    <w:rsid w:val="001A5170"/>
    <w:rsid w:val="001A52A7"/>
    <w:rsid w:val="001A637F"/>
    <w:rsid w:val="001A7172"/>
    <w:rsid w:val="001A74BD"/>
    <w:rsid w:val="001B0D29"/>
    <w:rsid w:val="001B0D6A"/>
    <w:rsid w:val="001B14E4"/>
    <w:rsid w:val="001B198D"/>
    <w:rsid w:val="001B4DFE"/>
    <w:rsid w:val="001B5FBE"/>
    <w:rsid w:val="001B69B9"/>
    <w:rsid w:val="001B7895"/>
    <w:rsid w:val="001B7C8C"/>
    <w:rsid w:val="001C1B01"/>
    <w:rsid w:val="001C1BC6"/>
    <w:rsid w:val="001C3E01"/>
    <w:rsid w:val="001C3F6E"/>
    <w:rsid w:val="001C431E"/>
    <w:rsid w:val="001C5214"/>
    <w:rsid w:val="001C5C64"/>
    <w:rsid w:val="001C626C"/>
    <w:rsid w:val="001C7D04"/>
    <w:rsid w:val="001C7D94"/>
    <w:rsid w:val="001D0737"/>
    <w:rsid w:val="001D0D28"/>
    <w:rsid w:val="001D11CC"/>
    <w:rsid w:val="001D15B5"/>
    <w:rsid w:val="001D1911"/>
    <w:rsid w:val="001D2753"/>
    <w:rsid w:val="001D2AAB"/>
    <w:rsid w:val="001D3160"/>
    <w:rsid w:val="001D3593"/>
    <w:rsid w:val="001D3FC2"/>
    <w:rsid w:val="001D4298"/>
    <w:rsid w:val="001D42C3"/>
    <w:rsid w:val="001D5761"/>
    <w:rsid w:val="001D5785"/>
    <w:rsid w:val="001D699A"/>
    <w:rsid w:val="001E0298"/>
    <w:rsid w:val="001E05D0"/>
    <w:rsid w:val="001E0FE5"/>
    <w:rsid w:val="001E1497"/>
    <w:rsid w:val="001E218C"/>
    <w:rsid w:val="001E2D24"/>
    <w:rsid w:val="001E3EDE"/>
    <w:rsid w:val="001E6392"/>
    <w:rsid w:val="001E6AEC"/>
    <w:rsid w:val="001E6E96"/>
    <w:rsid w:val="001E7270"/>
    <w:rsid w:val="001F10FB"/>
    <w:rsid w:val="001F1803"/>
    <w:rsid w:val="001F1ED0"/>
    <w:rsid w:val="001F2341"/>
    <w:rsid w:val="001F2A27"/>
    <w:rsid w:val="001F4B12"/>
    <w:rsid w:val="001F5DE5"/>
    <w:rsid w:val="001F6509"/>
    <w:rsid w:val="001F6B0E"/>
    <w:rsid w:val="00202011"/>
    <w:rsid w:val="0020401D"/>
    <w:rsid w:val="00204369"/>
    <w:rsid w:val="00204ACD"/>
    <w:rsid w:val="00207166"/>
    <w:rsid w:val="0020788D"/>
    <w:rsid w:val="002101CA"/>
    <w:rsid w:val="002106D4"/>
    <w:rsid w:val="0021121E"/>
    <w:rsid w:val="0021189A"/>
    <w:rsid w:val="00211E85"/>
    <w:rsid w:val="002130A3"/>
    <w:rsid w:val="0021323A"/>
    <w:rsid w:val="00213B09"/>
    <w:rsid w:val="00215BEA"/>
    <w:rsid w:val="00216267"/>
    <w:rsid w:val="00216873"/>
    <w:rsid w:val="00216DE4"/>
    <w:rsid w:val="002177DB"/>
    <w:rsid w:val="00217E82"/>
    <w:rsid w:val="002200DE"/>
    <w:rsid w:val="002208A1"/>
    <w:rsid w:val="00220DCC"/>
    <w:rsid w:val="00220FF7"/>
    <w:rsid w:val="002218B8"/>
    <w:rsid w:val="00222C47"/>
    <w:rsid w:val="00223E35"/>
    <w:rsid w:val="00224065"/>
    <w:rsid w:val="00224A61"/>
    <w:rsid w:val="002251AA"/>
    <w:rsid w:val="00225794"/>
    <w:rsid w:val="00225B31"/>
    <w:rsid w:val="00226108"/>
    <w:rsid w:val="00226FA4"/>
    <w:rsid w:val="0022714B"/>
    <w:rsid w:val="00230155"/>
    <w:rsid w:val="002302A8"/>
    <w:rsid w:val="002309B4"/>
    <w:rsid w:val="00230D6C"/>
    <w:rsid w:val="00231B38"/>
    <w:rsid w:val="00231DE1"/>
    <w:rsid w:val="00232728"/>
    <w:rsid w:val="00233BE7"/>
    <w:rsid w:val="00233EAB"/>
    <w:rsid w:val="00234173"/>
    <w:rsid w:val="00237C54"/>
    <w:rsid w:val="00241043"/>
    <w:rsid w:val="00241C7A"/>
    <w:rsid w:val="00243507"/>
    <w:rsid w:val="0024457E"/>
    <w:rsid w:val="00245DA8"/>
    <w:rsid w:val="00245F66"/>
    <w:rsid w:val="00246AA4"/>
    <w:rsid w:val="00246C3D"/>
    <w:rsid w:val="00247480"/>
    <w:rsid w:val="00247FD0"/>
    <w:rsid w:val="00251064"/>
    <w:rsid w:val="00251ABE"/>
    <w:rsid w:val="00252409"/>
    <w:rsid w:val="002524E5"/>
    <w:rsid w:val="0025265D"/>
    <w:rsid w:val="0025272E"/>
    <w:rsid w:val="002527E0"/>
    <w:rsid w:val="00252E9F"/>
    <w:rsid w:val="002534C4"/>
    <w:rsid w:val="0025385A"/>
    <w:rsid w:val="00253EBD"/>
    <w:rsid w:val="00254504"/>
    <w:rsid w:val="0025525C"/>
    <w:rsid w:val="00256366"/>
    <w:rsid w:val="00256DC5"/>
    <w:rsid w:val="00256E43"/>
    <w:rsid w:val="00257608"/>
    <w:rsid w:val="00257F9C"/>
    <w:rsid w:val="00260E76"/>
    <w:rsid w:val="0026135B"/>
    <w:rsid w:val="00263E3B"/>
    <w:rsid w:val="0026423C"/>
    <w:rsid w:val="00264772"/>
    <w:rsid w:val="00266B2B"/>
    <w:rsid w:val="00267D9E"/>
    <w:rsid w:val="00270964"/>
    <w:rsid w:val="002710F3"/>
    <w:rsid w:val="002712AA"/>
    <w:rsid w:val="002714A8"/>
    <w:rsid w:val="00271A61"/>
    <w:rsid w:val="002724FC"/>
    <w:rsid w:val="0027297E"/>
    <w:rsid w:val="00272F9F"/>
    <w:rsid w:val="00272FF7"/>
    <w:rsid w:val="00273CC7"/>
    <w:rsid w:val="002749D8"/>
    <w:rsid w:val="00275231"/>
    <w:rsid w:val="00275902"/>
    <w:rsid w:val="00275FF1"/>
    <w:rsid w:val="002763C8"/>
    <w:rsid w:val="00276796"/>
    <w:rsid w:val="00280188"/>
    <w:rsid w:val="002806F8"/>
    <w:rsid w:val="00280735"/>
    <w:rsid w:val="00282FCD"/>
    <w:rsid w:val="00283D18"/>
    <w:rsid w:val="0028409F"/>
    <w:rsid w:val="0028655C"/>
    <w:rsid w:val="002902C1"/>
    <w:rsid w:val="00290407"/>
    <w:rsid w:val="00293683"/>
    <w:rsid w:val="00293BEE"/>
    <w:rsid w:val="002944B3"/>
    <w:rsid w:val="00296014"/>
    <w:rsid w:val="002961CC"/>
    <w:rsid w:val="002971D7"/>
    <w:rsid w:val="002971EF"/>
    <w:rsid w:val="00297419"/>
    <w:rsid w:val="002974C5"/>
    <w:rsid w:val="00297BC4"/>
    <w:rsid w:val="00297FE7"/>
    <w:rsid w:val="002A0DBC"/>
    <w:rsid w:val="002A0EEC"/>
    <w:rsid w:val="002A12E3"/>
    <w:rsid w:val="002A1338"/>
    <w:rsid w:val="002A1538"/>
    <w:rsid w:val="002A18E1"/>
    <w:rsid w:val="002A354E"/>
    <w:rsid w:val="002A35DD"/>
    <w:rsid w:val="002A4EB0"/>
    <w:rsid w:val="002A5492"/>
    <w:rsid w:val="002A72BF"/>
    <w:rsid w:val="002A796A"/>
    <w:rsid w:val="002B222D"/>
    <w:rsid w:val="002B3867"/>
    <w:rsid w:val="002B4053"/>
    <w:rsid w:val="002B413F"/>
    <w:rsid w:val="002B56A6"/>
    <w:rsid w:val="002B64E1"/>
    <w:rsid w:val="002B698A"/>
    <w:rsid w:val="002B69E7"/>
    <w:rsid w:val="002B6D88"/>
    <w:rsid w:val="002C07FA"/>
    <w:rsid w:val="002C1D60"/>
    <w:rsid w:val="002C2DF0"/>
    <w:rsid w:val="002C334D"/>
    <w:rsid w:val="002C66EB"/>
    <w:rsid w:val="002C6B01"/>
    <w:rsid w:val="002C6BC8"/>
    <w:rsid w:val="002D02A7"/>
    <w:rsid w:val="002D0350"/>
    <w:rsid w:val="002D047A"/>
    <w:rsid w:val="002D0C2A"/>
    <w:rsid w:val="002D1702"/>
    <w:rsid w:val="002D206E"/>
    <w:rsid w:val="002D26C1"/>
    <w:rsid w:val="002D39DC"/>
    <w:rsid w:val="002D3B05"/>
    <w:rsid w:val="002D3E77"/>
    <w:rsid w:val="002D4179"/>
    <w:rsid w:val="002D57E1"/>
    <w:rsid w:val="002D63A0"/>
    <w:rsid w:val="002D65EA"/>
    <w:rsid w:val="002D6825"/>
    <w:rsid w:val="002D685E"/>
    <w:rsid w:val="002D78F3"/>
    <w:rsid w:val="002D7CAD"/>
    <w:rsid w:val="002E0CF2"/>
    <w:rsid w:val="002E0FEB"/>
    <w:rsid w:val="002E1867"/>
    <w:rsid w:val="002E3954"/>
    <w:rsid w:val="002E3D0B"/>
    <w:rsid w:val="002E4482"/>
    <w:rsid w:val="002E6888"/>
    <w:rsid w:val="002E6B63"/>
    <w:rsid w:val="002E7CE3"/>
    <w:rsid w:val="002F0188"/>
    <w:rsid w:val="002F0BB8"/>
    <w:rsid w:val="002F29C3"/>
    <w:rsid w:val="002F2A91"/>
    <w:rsid w:val="002F36EB"/>
    <w:rsid w:val="002F37E9"/>
    <w:rsid w:val="002F3856"/>
    <w:rsid w:val="002F39EE"/>
    <w:rsid w:val="002F3BAC"/>
    <w:rsid w:val="002F3D11"/>
    <w:rsid w:val="002F3EBE"/>
    <w:rsid w:val="002F464C"/>
    <w:rsid w:val="002F496F"/>
    <w:rsid w:val="002F64C5"/>
    <w:rsid w:val="003027C0"/>
    <w:rsid w:val="003039D5"/>
    <w:rsid w:val="00303C4D"/>
    <w:rsid w:val="00304CCA"/>
    <w:rsid w:val="00305864"/>
    <w:rsid w:val="00305B5F"/>
    <w:rsid w:val="0030630B"/>
    <w:rsid w:val="00307D29"/>
    <w:rsid w:val="00307DBC"/>
    <w:rsid w:val="00310D83"/>
    <w:rsid w:val="00311BE6"/>
    <w:rsid w:val="003124D1"/>
    <w:rsid w:val="00312569"/>
    <w:rsid w:val="003125E3"/>
    <w:rsid w:val="00313063"/>
    <w:rsid w:val="00314A0D"/>
    <w:rsid w:val="00315199"/>
    <w:rsid w:val="0031526C"/>
    <w:rsid w:val="00315C80"/>
    <w:rsid w:val="00315DBB"/>
    <w:rsid w:val="003160B3"/>
    <w:rsid w:val="0031621C"/>
    <w:rsid w:val="003162FC"/>
    <w:rsid w:val="0031683B"/>
    <w:rsid w:val="00320EC9"/>
    <w:rsid w:val="00321A70"/>
    <w:rsid w:val="00321DBC"/>
    <w:rsid w:val="00324144"/>
    <w:rsid w:val="00324479"/>
    <w:rsid w:val="00324957"/>
    <w:rsid w:val="00324C19"/>
    <w:rsid w:val="0032540D"/>
    <w:rsid w:val="003267E3"/>
    <w:rsid w:val="003277DD"/>
    <w:rsid w:val="0033012B"/>
    <w:rsid w:val="003305C7"/>
    <w:rsid w:val="0033149D"/>
    <w:rsid w:val="003317BE"/>
    <w:rsid w:val="00331CD5"/>
    <w:rsid w:val="00332BBF"/>
    <w:rsid w:val="00332BE4"/>
    <w:rsid w:val="0033399E"/>
    <w:rsid w:val="003342E1"/>
    <w:rsid w:val="0033460F"/>
    <w:rsid w:val="00334EDF"/>
    <w:rsid w:val="003350F3"/>
    <w:rsid w:val="003359B3"/>
    <w:rsid w:val="00335CAE"/>
    <w:rsid w:val="00336E68"/>
    <w:rsid w:val="00337E77"/>
    <w:rsid w:val="003413E8"/>
    <w:rsid w:val="00342419"/>
    <w:rsid w:val="003430CE"/>
    <w:rsid w:val="003434EC"/>
    <w:rsid w:val="003444D2"/>
    <w:rsid w:val="003448B9"/>
    <w:rsid w:val="00344D3B"/>
    <w:rsid w:val="00345756"/>
    <w:rsid w:val="003463B7"/>
    <w:rsid w:val="003468A0"/>
    <w:rsid w:val="00350A45"/>
    <w:rsid w:val="00350EA1"/>
    <w:rsid w:val="00351706"/>
    <w:rsid w:val="00351FA2"/>
    <w:rsid w:val="00352DDD"/>
    <w:rsid w:val="0035318F"/>
    <w:rsid w:val="003533BD"/>
    <w:rsid w:val="003538C4"/>
    <w:rsid w:val="003540E5"/>
    <w:rsid w:val="00354DDA"/>
    <w:rsid w:val="00355533"/>
    <w:rsid w:val="00355E6C"/>
    <w:rsid w:val="00355F43"/>
    <w:rsid w:val="003566EA"/>
    <w:rsid w:val="003567B5"/>
    <w:rsid w:val="003567D8"/>
    <w:rsid w:val="00356F92"/>
    <w:rsid w:val="003571B0"/>
    <w:rsid w:val="003574D7"/>
    <w:rsid w:val="003577A8"/>
    <w:rsid w:val="00357A69"/>
    <w:rsid w:val="00361944"/>
    <w:rsid w:val="00365A64"/>
    <w:rsid w:val="0036664B"/>
    <w:rsid w:val="00366ACA"/>
    <w:rsid w:val="003700E1"/>
    <w:rsid w:val="003702CA"/>
    <w:rsid w:val="00370793"/>
    <w:rsid w:val="00370C13"/>
    <w:rsid w:val="00372E59"/>
    <w:rsid w:val="0037502F"/>
    <w:rsid w:val="0037649C"/>
    <w:rsid w:val="00377073"/>
    <w:rsid w:val="00377F15"/>
    <w:rsid w:val="0038005E"/>
    <w:rsid w:val="003801DE"/>
    <w:rsid w:val="00382AF0"/>
    <w:rsid w:val="00384DB9"/>
    <w:rsid w:val="00384F7D"/>
    <w:rsid w:val="003853E0"/>
    <w:rsid w:val="003856C5"/>
    <w:rsid w:val="003865EF"/>
    <w:rsid w:val="0038661E"/>
    <w:rsid w:val="003869CB"/>
    <w:rsid w:val="00387432"/>
    <w:rsid w:val="00387B81"/>
    <w:rsid w:val="0039050C"/>
    <w:rsid w:val="00390CB1"/>
    <w:rsid w:val="00391202"/>
    <w:rsid w:val="00393627"/>
    <w:rsid w:val="0039444F"/>
    <w:rsid w:val="00394690"/>
    <w:rsid w:val="00394F27"/>
    <w:rsid w:val="00394F30"/>
    <w:rsid w:val="00394FD2"/>
    <w:rsid w:val="00395E02"/>
    <w:rsid w:val="00396F21"/>
    <w:rsid w:val="0039719D"/>
    <w:rsid w:val="003A0086"/>
    <w:rsid w:val="003A04D8"/>
    <w:rsid w:val="003A0C9B"/>
    <w:rsid w:val="003A0EFC"/>
    <w:rsid w:val="003A240F"/>
    <w:rsid w:val="003A3755"/>
    <w:rsid w:val="003A3FE4"/>
    <w:rsid w:val="003A5BE2"/>
    <w:rsid w:val="003A60BB"/>
    <w:rsid w:val="003A7615"/>
    <w:rsid w:val="003A7AF3"/>
    <w:rsid w:val="003A7E4A"/>
    <w:rsid w:val="003B050A"/>
    <w:rsid w:val="003B070C"/>
    <w:rsid w:val="003B07B7"/>
    <w:rsid w:val="003B1388"/>
    <w:rsid w:val="003B1A92"/>
    <w:rsid w:val="003B1EF6"/>
    <w:rsid w:val="003B35E1"/>
    <w:rsid w:val="003B4108"/>
    <w:rsid w:val="003B4B72"/>
    <w:rsid w:val="003C07DC"/>
    <w:rsid w:val="003C1496"/>
    <w:rsid w:val="003C1AE7"/>
    <w:rsid w:val="003C2BAC"/>
    <w:rsid w:val="003C2F94"/>
    <w:rsid w:val="003C37D6"/>
    <w:rsid w:val="003C50DC"/>
    <w:rsid w:val="003C6A00"/>
    <w:rsid w:val="003C6E85"/>
    <w:rsid w:val="003C7357"/>
    <w:rsid w:val="003C7B1D"/>
    <w:rsid w:val="003D085F"/>
    <w:rsid w:val="003D11FE"/>
    <w:rsid w:val="003D2F6D"/>
    <w:rsid w:val="003D4E8F"/>
    <w:rsid w:val="003D6A71"/>
    <w:rsid w:val="003D6B98"/>
    <w:rsid w:val="003D6EE2"/>
    <w:rsid w:val="003D7DCA"/>
    <w:rsid w:val="003E06B1"/>
    <w:rsid w:val="003E2311"/>
    <w:rsid w:val="003E55B3"/>
    <w:rsid w:val="003F11A0"/>
    <w:rsid w:val="003F11C6"/>
    <w:rsid w:val="003F15FF"/>
    <w:rsid w:val="003F2B72"/>
    <w:rsid w:val="003F346A"/>
    <w:rsid w:val="003F39C2"/>
    <w:rsid w:val="003F3E59"/>
    <w:rsid w:val="003F3EF8"/>
    <w:rsid w:val="003F48AA"/>
    <w:rsid w:val="003F5316"/>
    <w:rsid w:val="003F6B79"/>
    <w:rsid w:val="003F761F"/>
    <w:rsid w:val="00400039"/>
    <w:rsid w:val="004000D3"/>
    <w:rsid w:val="00400ACD"/>
    <w:rsid w:val="00401EB6"/>
    <w:rsid w:val="0040258E"/>
    <w:rsid w:val="004029A0"/>
    <w:rsid w:val="00404800"/>
    <w:rsid w:val="00405FB0"/>
    <w:rsid w:val="004062D8"/>
    <w:rsid w:val="004062E9"/>
    <w:rsid w:val="0040647F"/>
    <w:rsid w:val="00406512"/>
    <w:rsid w:val="004067B7"/>
    <w:rsid w:val="0040710C"/>
    <w:rsid w:val="00407746"/>
    <w:rsid w:val="00407BE4"/>
    <w:rsid w:val="0041026D"/>
    <w:rsid w:val="004108DC"/>
    <w:rsid w:val="00410D24"/>
    <w:rsid w:val="004117B5"/>
    <w:rsid w:val="00411AC4"/>
    <w:rsid w:val="00411D97"/>
    <w:rsid w:val="004128B0"/>
    <w:rsid w:val="004131F1"/>
    <w:rsid w:val="0041415A"/>
    <w:rsid w:val="00414344"/>
    <w:rsid w:val="004149D9"/>
    <w:rsid w:val="00415DF6"/>
    <w:rsid w:val="00416419"/>
    <w:rsid w:val="00416766"/>
    <w:rsid w:val="00416989"/>
    <w:rsid w:val="00416A1A"/>
    <w:rsid w:val="00416CE0"/>
    <w:rsid w:val="00416D92"/>
    <w:rsid w:val="00416DA8"/>
    <w:rsid w:val="00416F5C"/>
    <w:rsid w:val="00417916"/>
    <w:rsid w:val="00420863"/>
    <w:rsid w:val="00421940"/>
    <w:rsid w:val="00423E45"/>
    <w:rsid w:val="00424157"/>
    <w:rsid w:val="00424913"/>
    <w:rsid w:val="00424F05"/>
    <w:rsid w:val="00425670"/>
    <w:rsid w:val="00425FB1"/>
    <w:rsid w:val="0042622C"/>
    <w:rsid w:val="00426BB6"/>
    <w:rsid w:val="00426E6F"/>
    <w:rsid w:val="00427560"/>
    <w:rsid w:val="00427C22"/>
    <w:rsid w:val="0043105E"/>
    <w:rsid w:val="004315F7"/>
    <w:rsid w:val="00431E95"/>
    <w:rsid w:val="00431EDC"/>
    <w:rsid w:val="00432231"/>
    <w:rsid w:val="00432352"/>
    <w:rsid w:val="0043268F"/>
    <w:rsid w:val="00432E9B"/>
    <w:rsid w:val="00432F08"/>
    <w:rsid w:val="00433293"/>
    <w:rsid w:val="00434172"/>
    <w:rsid w:val="004350FD"/>
    <w:rsid w:val="0043523A"/>
    <w:rsid w:val="004373D8"/>
    <w:rsid w:val="00437BF3"/>
    <w:rsid w:val="00437D7D"/>
    <w:rsid w:val="00440248"/>
    <w:rsid w:val="00442E9E"/>
    <w:rsid w:val="00443E6A"/>
    <w:rsid w:val="00444168"/>
    <w:rsid w:val="00445E95"/>
    <w:rsid w:val="004466C3"/>
    <w:rsid w:val="0044682D"/>
    <w:rsid w:val="004469D9"/>
    <w:rsid w:val="0044733E"/>
    <w:rsid w:val="00447BBF"/>
    <w:rsid w:val="0045010A"/>
    <w:rsid w:val="004502D2"/>
    <w:rsid w:val="004513E7"/>
    <w:rsid w:val="00451CE1"/>
    <w:rsid w:val="00453F09"/>
    <w:rsid w:val="00454933"/>
    <w:rsid w:val="004551FF"/>
    <w:rsid w:val="0045616B"/>
    <w:rsid w:val="0045633E"/>
    <w:rsid w:val="004564C5"/>
    <w:rsid w:val="00456A9F"/>
    <w:rsid w:val="004608BC"/>
    <w:rsid w:val="00463325"/>
    <w:rsid w:val="00463A0B"/>
    <w:rsid w:val="00463C57"/>
    <w:rsid w:val="004656D4"/>
    <w:rsid w:val="00466161"/>
    <w:rsid w:val="0046773F"/>
    <w:rsid w:val="00470A35"/>
    <w:rsid w:val="00470FCE"/>
    <w:rsid w:val="0047142D"/>
    <w:rsid w:val="0047183F"/>
    <w:rsid w:val="00472B39"/>
    <w:rsid w:val="004731B8"/>
    <w:rsid w:val="00473D31"/>
    <w:rsid w:val="00474830"/>
    <w:rsid w:val="00474FFE"/>
    <w:rsid w:val="00475A47"/>
    <w:rsid w:val="00475C89"/>
    <w:rsid w:val="00475D6B"/>
    <w:rsid w:val="004812C3"/>
    <w:rsid w:val="00481872"/>
    <w:rsid w:val="0048187E"/>
    <w:rsid w:val="00481BA6"/>
    <w:rsid w:val="00482214"/>
    <w:rsid w:val="00482DBE"/>
    <w:rsid w:val="0048317C"/>
    <w:rsid w:val="00486539"/>
    <w:rsid w:val="0048693F"/>
    <w:rsid w:val="004874FE"/>
    <w:rsid w:val="0049046F"/>
    <w:rsid w:val="00491163"/>
    <w:rsid w:val="004914C8"/>
    <w:rsid w:val="004934FC"/>
    <w:rsid w:val="0049416A"/>
    <w:rsid w:val="00494E17"/>
    <w:rsid w:val="00496592"/>
    <w:rsid w:val="00496D26"/>
    <w:rsid w:val="004976CF"/>
    <w:rsid w:val="004A1139"/>
    <w:rsid w:val="004A256B"/>
    <w:rsid w:val="004A48CF"/>
    <w:rsid w:val="004A60EC"/>
    <w:rsid w:val="004A62D4"/>
    <w:rsid w:val="004A63DE"/>
    <w:rsid w:val="004A6C73"/>
    <w:rsid w:val="004B0014"/>
    <w:rsid w:val="004B076A"/>
    <w:rsid w:val="004B10EA"/>
    <w:rsid w:val="004B1C09"/>
    <w:rsid w:val="004B2A57"/>
    <w:rsid w:val="004B3171"/>
    <w:rsid w:val="004B32E3"/>
    <w:rsid w:val="004B3857"/>
    <w:rsid w:val="004B4A9D"/>
    <w:rsid w:val="004B4C09"/>
    <w:rsid w:val="004B5177"/>
    <w:rsid w:val="004B5A0D"/>
    <w:rsid w:val="004B6538"/>
    <w:rsid w:val="004B66F5"/>
    <w:rsid w:val="004B78D5"/>
    <w:rsid w:val="004B7C47"/>
    <w:rsid w:val="004C0957"/>
    <w:rsid w:val="004C2DA2"/>
    <w:rsid w:val="004C2E1D"/>
    <w:rsid w:val="004C41F2"/>
    <w:rsid w:val="004C4212"/>
    <w:rsid w:val="004C65F6"/>
    <w:rsid w:val="004C6963"/>
    <w:rsid w:val="004C7C16"/>
    <w:rsid w:val="004D259F"/>
    <w:rsid w:val="004D33A5"/>
    <w:rsid w:val="004D3D42"/>
    <w:rsid w:val="004D42FF"/>
    <w:rsid w:val="004D443F"/>
    <w:rsid w:val="004D5820"/>
    <w:rsid w:val="004D5A1D"/>
    <w:rsid w:val="004D63F9"/>
    <w:rsid w:val="004D6541"/>
    <w:rsid w:val="004D670B"/>
    <w:rsid w:val="004D7985"/>
    <w:rsid w:val="004E0E7D"/>
    <w:rsid w:val="004E1E64"/>
    <w:rsid w:val="004E2CBF"/>
    <w:rsid w:val="004E2DAD"/>
    <w:rsid w:val="004E2DBD"/>
    <w:rsid w:val="004E3305"/>
    <w:rsid w:val="004E3C3A"/>
    <w:rsid w:val="004E5A9D"/>
    <w:rsid w:val="004E6516"/>
    <w:rsid w:val="004E6803"/>
    <w:rsid w:val="004E757F"/>
    <w:rsid w:val="004E7739"/>
    <w:rsid w:val="004E77CF"/>
    <w:rsid w:val="004F06F4"/>
    <w:rsid w:val="004F0B59"/>
    <w:rsid w:val="004F0D3F"/>
    <w:rsid w:val="004F1790"/>
    <w:rsid w:val="004F21DF"/>
    <w:rsid w:val="004F2890"/>
    <w:rsid w:val="004F41A6"/>
    <w:rsid w:val="004F44E2"/>
    <w:rsid w:val="004F4758"/>
    <w:rsid w:val="004F50DA"/>
    <w:rsid w:val="004F52DB"/>
    <w:rsid w:val="004F5CB5"/>
    <w:rsid w:val="005004C5"/>
    <w:rsid w:val="00500CE1"/>
    <w:rsid w:val="00500F73"/>
    <w:rsid w:val="005020F9"/>
    <w:rsid w:val="00503C6C"/>
    <w:rsid w:val="00504247"/>
    <w:rsid w:val="00504353"/>
    <w:rsid w:val="0050506B"/>
    <w:rsid w:val="00506D4A"/>
    <w:rsid w:val="005076E6"/>
    <w:rsid w:val="005078DF"/>
    <w:rsid w:val="00507C33"/>
    <w:rsid w:val="005112D6"/>
    <w:rsid w:val="00512839"/>
    <w:rsid w:val="005128D4"/>
    <w:rsid w:val="005132BC"/>
    <w:rsid w:val="00513F49"/>
    <w:rsid w:val="00514563"/>
    <w:rsid w:val="00514874"/>
    <w:rsid w:val="00514BCD"/>
    <w:rsid w:val="00514CCF"/>
    <w:rsid w:val="005153E4"/>
    <w:rsid w:val="00517E5E"/>
    <w:rsid w:val="00520452"/>
    <w:rsid w:val="00521678"/>
    <w:rsid w:val="00521746"/>
    <w:rsid w:val="00521FED"/>
    <w:rsid w:val="005227C3"/>
    <w:rsid w:val="00522D11"/>
    <w:rsid w:val="00523C82"/>
    <w:rsid w:val="00525510"/>
    <w:rsid w:val="00526956"/>
    <w:rsid w:val="005276CF"/>
    <w:rsid w:val="00527A8D"/>
    <w:rsid w:val="00527B49"/>
    <w:rsid w:val="00531447"/>
    <w:rsid w:val="00532A0C"/>
    <w:rsid w:val="0053323C"/>
    <w:rsid w:val="00533763"/>
    <w:rsid w:val="00533CB1"/>
    <w:rsid w:val="00534380"/>
    <w:rsid w:val="00534F96"/>
    <w:rsid w:val="0053553D"/>
    <w:rsid w:val="0053561A"/>
    <w:rsid w:val="00535F9A"/>
    <w:rsid w:val="00536A0A"/>
    <w:rsid w:val="0053768E"/>
    <w:rsid w:val="005377EB"/>
    <w:rsid w:val="00542B7E"/>
    <w:rsid w:val="00542C30"/>
    <w:rsid w:val="00543663"/>
    <w:rsid w:val="00543941"/>
    <w:rsid w:val="00543A91"/>
    <w:rsid w:val="00545ABF"/>
    <w:rsid w:val="005465FF"/>
    <w:rsid w:val="005472C5"/>
    <w:rsid w:val="005476F2"/>
    <w:rsid w:val="00550C15"/>
    <w:rsid w:val="00550F15"/>
    <w:rsid w:val="00551641"/>
    <w:rsid w:val="00551E2F"/>
    <w:rsid w:val="005532E6"/>
    <w:rsid w:val="00553B5E"/>
    <w:rsid w:val="005550CA"/>
    <w:rsid w:val="00555544"/>
    <w:rsid w:val="00555F2A"/>
    <w:rsid w:val="00556D4A"/>
    <w:rsid w:val="00557986"/>
    <w:rsid w:val="00557B1C"/>
    <w:rsid w:val="00557B79"/>
    <w:rsid w:val="00557FD8"/>
    <w:rsid w:val="005637B1"/>
    <w:rsid w:val="00563862"/>
    <w:rsid w:val="00563BEF"/>
    <w:rsid w:val="005644BA"/>
    <w:rsid w:val="00564DF3"/>
    <w:rsid w:val="0056570B"/>
    <w:rsid w:val="0056586F"/>
    <w:rsid w:val="00565CF2"/>
    <w:rsid w:val="00565D27"/>
    <w:rsid w:val="00566689"/>
    <w:rsid w:val="005675B5"/>
    <w:rsid w:val="00567758"/>
    <w:rsid w:val="00567D48"/>
    <w:rsid w:val="0057062C"/>
    <w:rsid w:val="005712C6"/>
    <w:rsid w:val="005715BB"/>
    <w:rsid w:val="0057257F"/>
    <w:rsid w:val="0057356F"/>
    <w:rsid w:val="00573AA5"/>
    <w:rsid w:val="00573D55"/>
    <w:rsid w:val="0057511E"/>
    <w:rsid w:val="005757DB"/>
    <w:rsid w:val="0057787E"/>
    <w:rsid w:val="0058019A"/>
    <w:rsid w:val="0058041F"/>
    <w:rsid w:val="0058062F"/>
    <w:rsid w:val="00580919"/>
    <w:rsid w:val="00580A81"/>
    <w:rsid w:val="00580C5B"/>
    <w:rsid w:val="00580D72"/>
    <w:rsid w:val="0058111A"/>
    <w:rsid w:val="005829CE"/>
    <w:rsid w:val="005848FB"/>
    <w:rsid w:val="00584F4A"/>
    <w:rsid w:val="00585F8D"/>
    <w:rsid w:val="00586373"/>
    <w:rsid w:val="00587381"/>
    <w:rsid w:val="00587D08"/>
    <w:rsid w:val="005903DA"/>
    <w:rsid w:val="005910A0"/>
    <w:rsid w:val="0059115E"/>
    <w:rsid w:val="00591214"/>
    <w:rsid w:val="00591235"/>
    <w:rsid w:val="005917B9"/>
    <w:rsid w:val="00591813"/>
    <w:rsid w:val="00591964"/>
    <w:rsid w:val="00592788"/>
    <w:rsid w:val="005927A2"/>
    <w:rsid w:val="005929DF"/>
    <w:rsid w:val="00592B9C"/>
    <w:rsid w:val="00592F8C"/>
    <w:rsid w:val="0059547A"/>
    <w:rsid w:val="005971FA"/>
    <w:rsid w:val="005973C5"/>
    <w:rsid w:val="00597AFC"/>
    <w:rsid w:val="00597CCC"/>
    <w:rsid w:val="005A0048"/>
    <w:rsid w:val="005A016B"/>
    <w:rsid w:val="005A2FCE"/>
    <w:rsid w:val="005A40D9"/>
    <w:rsid w:val="005A51CA"/>
    <w:rsid w:val="005A5855"/>
    <w:rsid w:val="005A65E6"/>
    <w:rsid w:val="005A662D"/>
    <w:rsid w:val="005B0012"/>
    <w:rsid w:val="005B0CE7"/>
    <w:rsid w:val="005B1005"/>
    <w:rsid w:val="005B2E41"/>
    <w:rsid w:val="005B2EF5"/>
    <w:rsid w:val="005B3D79"/>
    <w:rsid w:val="005B4FAB"/>
    <w:rsid w:val="005B56EF"/>
    <w:rsid w:val="005B5EF3"/>
    <w:rsid w:val="005B657D"/>
    <w:rsid w:val="005B6C18"/>
    <w:rsid w:val="005B6F4C"/>
    <w:rsid w:val="005B7F25"/>
    <w:rsid w:val="005B7F4C"/>
    <w:rsid w:val="005C211A"/>
    <w:rsid w:val="005C274D"/>
    <w:rsid w:val="005C2EA4"/>
    <w:rsid w:val="005C3CD7"/>
    <w:rsid w:val="005C3F5B"/>
    <w:rsid w:val="005C3FAC"/>
    <w:rsid w:val="005C4D79"/>
    <w:rsid w:val="005C4FA3"/>
    <w:rsid w:val="005C56DA"/>
    <w:rsid w:val="005C5F0D"/>
    <w:rsid w:val="005C70F5"/>
    <w:rsid w:val="005C796D"/>
    <w:rsid w:val="005D01DF"/>
    <w:rsid w:val="005D0AC2"/>
    <w:rsid w:val="005D0C99"/>
    <w:rsid w:val="005D1D12"/>
    <w:rsid w:val="005D396C"/>
    <w:rsid w:val="005D3BD0"/>
    <w:rsid w:val="005D4250"/>
    <w:rsid w:val="005D5085"/>
    <w:rsid w:val="005D7BA5"/>
    <w:rsid w:val="005E060F"/>
    <w:rsid w:val="005E2632"/>
    <w:rsid w:val="005E27D9"/>
    <w:rsid w:val="005E2F32"/>
    <w:rsid w:val="005E3260"/>
    <w:rsid w:val="005E473A"/>
    <w:rsid w:val="005E49BA"/>
    <w:rsid w:val="005E5084"/>
    <w:rsid w:val="005E56B3"/>
    <w:rsid w:val="005E589B"/>
    <w:rsid w:val="005E5B32"/>
    <w:rsid w:val="005E5B83"/>
    <w:rsid w:val="005E5F15"/>
    <w:rsid w:val="005E70EE"/>
    <w:rsid w:val="005E752B"/>
    <w:rsid w:val="005E7F34"/>
    <w:rsid w:val="005F03D0"/>
    <w:rsid w:val="005F0404"/>
    <w:rsid w:val="005F0670"/>
    <w:rsid w:val="005F2255"/>
    <w:rsid w:val="005F2B7D"/>
    <w:rsid w:val="005F32DA"/>
    <w:rsid w:val="005F337F"/>
    <w:rsid w:val="005F45C7"/>
    <w:rsid w:val="005F49B7"/>
    <w:rsid w:val="005F4C20"/>
    <w:rsid w:val="005F4C5A"/>
    <w:rsid w:val="005F600F"/>
    <w:rsid w:val="005F602E"/>
    <w:rsid w:val="005F717E"/>
    <w:rsid w:val="005F79C4"/>
    <w:rsid w:val="006000A3"/>
    <w:rsid w:val="00601505"/>
    <w:rsid w:val="006020E7"/>
    <w:rsid w:val="0060243E"/>
    <w:rsid w:val="0060292B"/>
    <w:rsid w:val="00602B48"/>
    <w:rsid w:val="0060379A"/>
    <w:rsid w:val="00603821"/>
    <w:rsid w:val="00603B64"/>
    <w:rsid w:val="00605332"/>
    <w:rsid w:val="00606C21"/>
    <w:rsid w:val="00607CC9"/>
    <w:rsid w:val="00607D13"/>
    <w:rsid w:val="00610BB3"/>
    <w:rsid w:val="00610F06"/>
    <w:rsid w:val="00611320"/>
    <w:rsid w:val="00611D5D"/>
    <w:rsid w:val="00611DB9"/>
    <w:rsid w:val="00612510"/>
    <w:rsid w:val="006125F8"/>
    <w:rsid w:val="00612C55"/>
    <w:rsid w:val="00613B6D"/>
    <w:rsid w:val="006155ED"/>
    <w:rsid w:val="0061679A"/>
    <w:rsid w:val="0061681F"/>
    <w:rsid w:val="00616FAB"/>
    <w:rsid w:val="00617039"/>
    <w:rsid w:val="00620488"/>
    <w:rsid w:val="006204F4"/>
    <w:rsid w:val="0062101F"/>
    <w:rsid w:val="00623ED1"/>
    <w:rsid w:val="00624AB6"/>
    <w:rsid w:val="00626074"/>
    <w:rsid w:val="006262C8"/>
    <w:rsid w:val="00626E6F"/>
    <w:rsid w:val="00630C3D"/>
    <w:rsid w:val="006314AC"/>
    <w:rsid w:val="00632E2F"/>
    <w:rsid w:val="006332D4"/>
    <w:rsid w:val="00635938"/>
    <w:rsid w:val="00635DDF"/>
    <w:rsid w:val="0063629D"/>
    <w:rsid w:val="006367C8"/>
    <w:rsid w:val="00636A07"/>
    <w:rsid w:val="00637CE1"/>
    <w:rsid w:val="00643E8B"/>
    <w:rsid w:val="00644149"/>
    <w:rsid w:val="00644496"/>
    <w:rsid w:val="00644B1C"/>
    <w:rsid w:val="00646371"/>
    <w:rsid w:val="00647B2B"/>
    <w:rsid w:val="0065023E"/>
    <w:rsid w:val="00650DAE"/>
    <w:rsid w:val="00652773"/>
    <w:rsid w:val="006534A3"/>
    <w:rsid w:val="006535BA"/>
    <w:rsid w:val="006540C2"/>
    <w:rsid w:val="00654651"/>
    <w:rsid w:val="00655435"/>
    <w:rsid w:val="006554FF"/>
    <w:rsid w:val="00655E1F"/>
    <w:rsid w:val="006566B0"/>
    <w:rsid w:val="00656C52"/>
    <w:rsid w:val="0066026F"/>
    <w:rsid w:val="0066045B"/>
    <w:rsid w:val="00660A08"/>
    <w:rsid w:val="00660B4C"/>
    <w:rsid w:val="00660C65"/>
    <w:rsid w:val="00660FBD"/>
    <w:rsid w:val="00661DDF"/>
    <w:rsid w:val="00662350"/>
    <w:rsid w:val="006635B4"/>
    <w:rsid w:val="00663B2F"/>
    <w:rsid w:val="00663EDD"/>
    <w:rsid w:val="006647FE"/>
    <w:rsid w:val="00665332"/>
    <w:rsid w:val="00666548"/>
    <w:rsid w:val="00667394"/>
    <w:rsid w:val="00667EFB"/>
    <w:rsid w:val="00667FBC"/>
    <w:rsid w:val="006720FC"/>
    <w:rsid w:val="00672639"/>
    <w:rsid w:val="00672ADB"/>
    <w:rsid w:val="0067379D"/>
    <w:rsid w:val="0067402A"/>
    <w:rsid w:val="00674ECB"/>
    <w:rsid w:val="00675F1D"/>
    <w:rsid w:val="006777F1"/>
    <w:rsid w:val="00677D18"/>
    <w:rsid w:val="0068016B"/>
    <w:rsid w:val="006806B2"/>
    <w:rsid w:val="00680760"/>
    <w:rsid w:val="006811BE"/>
    <w:rsid w:val="00681BD8"/>
    <w:rsid w:val="006831C6"/>
    <w:rsid w:val="0068365F"/>
    <w:rsid w:val="00683EED"/>
    <w:rsid w:val="00684700"/>
    <w:rsid w:val="0068526C"/>
    <w:rsid w:val="006854B0"/>
    <w:rsid w:val="00685EED"/>
    <w:rsid w:val="00686C5A"/>
    <w:rsid w:val="00686C77"/>
    <w:rsid w:val="006877B1"/>
    <w:rsid w:val="00687AD2"/>
    <w:rsid w:val="00691DAE"/>
    <w:rsid w:val="00692AC8"/>
    <w:rsid w:val="00693514"/>
    <w:rsid w:val="0069436C"/>
    <w:rsid w:val="00694A88"/>
    <w:rsid w:val="00695EBE"/>
    <w:rsid w:val="0069752F"/>
    <w:rsid w:val="00697AAA"/>
    <w:rsid w:val="00697BDD"/>
    <w:rsid w:val="006A0684"/>
    <w:rsid w:val="006A09FA"/>
    <w:rsid w:val="006A1496"/>
    <w:rsid w:val="006A14D2"/>
    <w:rsid w:val="006A34D7"/>
    <w:rsid w:val="006A3C03"/>
    <w:rsid w:val="006A3F59"/>
    <w:rsid w:val="006A42D3"/>
    <w:rsid w:val="006A444D"/>
    <w:rsid w:val="006A55B2"/>
    <w:rsid w:val="006A59C2"/>
    <w:rsid w:val="006A620A"/>
    <w:rsid w:val="006A6768"/>
    <w:rsid w:val="006A6C13"/>
    <w:rsid w:val="006A6F09"/>
    <w:rsid w:val="006A752E"/>
    <w:rsid w:val="006A79A5"/>
    <w:rsid w:val="006A79D4"/>
    <w:rsid w:val="006B035F"/>
    <w:rsid w:val="006B0735"/>
    <w:rsid w:val="006B09A9"/>
    <w:rsid w:val="006B0B21"/>
    <w:rsid w:val="006B1C25"/>
    <w:rsid w:val="006B25C8"/>
    <w:rsid w:val="006B3115"/>
    <w:rsid w:val="006B32E1"/>
    <w:rsid w:val="006B36A1"/>
    <w:rsid w:val="006B5104"/>
    <w:rsid w:val="006B53B5"/>
    <w:rsid w:val="006B5E3F"/>
    <w:rsid w:val="006B66B4"/>
    <w:rsid w:val="006B6CA2"/>
    <w:rsid w:val="006B7527"/>
    <w:rsid w:val="006B7869"/>
    <w:rsid w:val="006C0779"/>
    <w:rsid w:val="006C1287"/>
    <w:rsid w:val="006C2373"/>
    <w:rsid w:val="006C26AC"/>
    <w:rsid w:val="006C32B8"/>
    <w:rsid w:val="006C4D5E"/>
    <w:rsid w:val="006C5A2A"/>
    <w:rsid w:val="006C691D"/>
    <w:rsid w:val="006C6BAE"/>
    <w:rsid w:val="006C6D05"/>
    <w:rsid w:val="006C6E87"/>
    <w:rsid w:val="006C71B0"/>
    <w:rsid w:val="006C7AA8"/>
    <w:rsid w:val="006C7FB5"/>
    <w:rsid w:val="006D09DF"/>
    <w:rsid w:val="006D0FB6"/>
    <w:rsid w:val="006D2DD2"/>
    <w:rsid w:val="006D34B9"/>
    <w:rsid w:val="006D3F63"/>
    <w:rsid w:val="006D4676"/>
    <w:rsid w:val="006D4D12"/>
    <w:rsid w:val="006D5381"/>
    <w:rsid w:val="006D7C38"/>
    <w:rsid w:val="006E0537"/>
    <w:rsid w:val="006E06E1"/>
    <w:rsid w:val="006E07EB"/>
    <w:rsid w:val="006E0848"/>
    <w:rsid w:val="006E16DB"/>
    <w:rsid w:val="006E27C4"/>
    <w:rsid w:val="006E2DDF"/>
    <w:rsid w:val="006E34E6"/>
    <w:rsid w:val="006E4382"/>
    <w:rsid w:val="006E5653"/>
    <w:rsid w:val="006E5715"/>
    <w:rsid w:val="006E79B7"/>
    <w:rsid w:val="006F04A3"/>
    <w:rsid w:val="006F04C5"/>
    <w:rsid w:val="006F04E4"/>
    <w:rsid w:val="006F144E"/>
    <w:rsid w:val="006F2F82"/>
    <w:rsid w:val="006F5D35"/>
    <w:rsid w:val="006F5F6B"/>
    <w:rsid w:val="006F69C5"/>
    <w:rsid w:val="006F6C76"/>
    <w:rsid w:val="006F7CE6"/>
    <w:rsid w:val="006F7E0C"/>
    <w:rsid w:val="00700962"/>
    <w:rsid w:val="00703461"/>
    <w:rsid w:val="007037C4"/>
    <w:rsid w:val="00703DD4"/>
    <w:rsid w:val="0070583B"/>
    <w:rsid w:val="00705962"/>
    <w:rsid w:val="007059B0"/>
    <w:rsid w:val="00705A7C"/>
    <w:rsid w:val="00706011"/>
    <w:rsid w:val="00706249"/>
    <w:rsid w:val="007069BA"/>
    <w:rsid w:val="00707566"/>
    <w:rsid w:val="007078EA"/>
    <w:rsid w:val="00707CB3"/>
    <w:rsid w:val="00711605"/>
    <w:rsid w:val="007118F3"/>
    <w:rsid w:val="00711F4D"/>
    <w:rsid w:val="00713489"/>
    <w:rsid w:val="007136BB"/>
    <w:rsid w:val="00714300"/>
    <w:rsid w:val="00714F19"/>
    <w:rsid w:val="00715D03"/>
    <w:rsid w:val="0071677B"/>
    <w:rsid w:val="00716CCF"/>
    <w:rsid w:val="00716D18"/>
    <w:rsid w:val="00717C22"/>
    <w:rsid w:val="0072061E"/>
    <w:rsid w:val="00720693"/>
    <w:rsid w:val="00720964"/>
    <w:rsid w:val="0072099F"/>
    <w:rsid w:val="00720A7F"/>
    <w:rsid w:val="007237FD"/>
    <w:rsid w:val="007239ED"/>
    <w:rsid w:val="00723FDB"/>
    <w:rsid w:val="00724EB9"/>
    <w:rsid w:val="007264E6"/>
    <w:rsid w:val="007277A4"/>
    <w:rsid w:val="00727FA2"/>
    <w:rsid w:val="00730B20"/>
    <w:rsid w:val="00730CF5"/>
    <w:rsid w:val="00730F74"/>
    <w:rsid w:val="0073154C"/>
    <w:rsid w:val="0073177A"/>
    <w:rsid w:val="00732285"/>
    <w:rsid w:val="00732B7A"/>
    <w:rsid w:val="00734CDF"/>
    <w:rsid w:val="00734D28"/>
    <w:rsid w:val="007356C9"/>
    <w:rsid w:val="00736124"/>
    <w:rsid w:val="0073773C"/>
    <w:rsid w:val="007378DC"/>
    <w:rsid w:val="0074031B"/>
    <w:rsid w:val="007427DC"/>
    <w:rsid w:val="007428D5"/>
    <w:rsid w:val="00742B43"/>
    <w:rsid w:val="00744250"/>
    <w:rsid w:val="0074439B"/>
    <w:rsid w:val="00745B00"/>
    <w:rsid w:val="0074640A"/>
    <w:rsid w:val="00746E0B"/>
    <w:rsid w:val="007474C2"/>
    <w:rsid w:val="00747611"/>
    <w:rsid w:val="007501EC"/>
    <w:rsid w:val="00751B2D"/>
    <w:rsid w:val="00751E84"/>
    <w:rsid w:val="00752F21"/>
    <w:rsid w:val="007530D8"/>
    <w:rsid w:val="00754059"/>
    <w:rsid w:val="007548C8"/>
    <w:rsid w:val="00754B87"/>
    <w:rsid w:val="00756873"/>
    <w:rsid w:val="007607CE"/>
    <w:rsid w:val="00762334"/>
    <w:rsid w:val="007634C5"/>
    <w:rsid w:val="007644A6"/>
    <w:rsid w:val="007644D8"/>
    <w:rsid w:val="0076501C"/>
    <w:rsid w:val="0076716D"/>
    <w:rsid w:val="0076723A"/>
    <w:rsid w:val="00770597"/>
    <w:rsid w:val="00770A1F"/>
    <w:rsid w:val="00770B07"/>
    <w:rsid w:val="007720BB"/>
    <w:rsid w:val="00772180"/>
    <w:rsid w:val="0077236A"/>
    <w:rsid w:val="0077307D"/>
    <w:rsid w:val="00773FF6"/>
    <w:rsid w:val="00776A48"/>
    <w:rsid w:val="007806C0"/>
    <w:rsid w:val="00780913"/>
    <w:rsid w:val="00781023"/>
    <w:rsid w:val="0078155D"/>
    <w:rsid w:val="00781714"/>
    <w:rsid w:val="0078487A"/>
    <w:rsid w:val="00784898"/>
    <w:rsid w:val="007862A4"/>
    <w:rsid w:val="007906A9"/>
    <w:rsid w:val="0079128F"/>
    <w:rsid w:val="00792D95"/>
    <w:rsid w:val="0079340E"/>
    <w:rsid w:val="0079386B"/>
    <w:rsid w:val="00793D87"/>
    <w:rsid w:val="00796203"/>
    <w:rsid w:val="00796237"/>
    <w:rsid w:val="007964CE"/>
    <w:rsid w:val="00797720"/>
    <w:rsid w:val="007979D6"/>
    <w:rsid w:val="007A081D"/>
    <w:rsid w:val="007A09EE"/>
    <w:rsid w:val="007A1307"/>
    <w:rsid w:val="007A198D"/>
    <w:rsid w:val="007A2A4E"/>
    <w:rsid w:val="007A3796"/>
    <w:rsid w:val="007A7BE0"/>
    <w:rsid w:val="007B0C6F"/>
    <w:rsid w:val="007B2814"/>
    <w:rsid w:val="007B39DC"/>
    <w:rsid w:val="007B3AA0"/>
    <w:rsid w:val="007B405F"/>
    <w:rsid w:val="007B4069"/>
    <w:rsid w:val="007B66A5"/>
    <w:rsid w:val="007B67ED"/>
    <w:rsid w:val="007B6A86"/>
    <w:rsid w:val="007B78E9"/>
    <w:rsid w:val="007C1E81"/>
    <w:rsid w:val="007C2AC5"/>
    <w:rsid w:val="007C2C03"/>
    <w:rsid w:val="007C3DFD"/>
    <w:rsid w:val="007C40A7"/>
    <w:rsid w:val="007C42EA"/>
    <w:rsid w:val="007C4B1C"/>
    <w:rsid w:val="007C5230"/>
    <w:rsid w:val="007C6DC1"/>
    <w:rsid w:val="007D0725"/>
    <w:rsid w:val="007D26D7"/>
    <w:rsid w:val="007D2D4B"/>
    <w:rsid w:val="007D2F7D"/>
    <w:rsid w:val="007D3491"/>
    <w:rsid w:val="007D3779"/>
    <w:rsid w:val="007D3A79"/>
    <w:rsid w:val="007D47C4"/>
    <w:rsid w:val="007D4B28"/>
    <w:rsid w:val="007D5DCE"/>
    <w:rsid w:val="007D73F3"/>
    <w:rsid w:val="007E1699"/>
    <w:rsid w:val="007E2DB3"/>
    <w:rsid w:val="007E3DC3"/>
    <w:rsid w:val="007E4848"/>
    <w:rsid w:val="007E4ECA"/>
    <w:rsid w:val="007E575D"/>
    <w:rsid w:val="007E59AB"/>
    <w:rsid w:val="007E5B49"/>
    <w:rsid w:val="007E5CB5"/>
    <w:rsid w:val="007E6AC7"/>
    <w:rsid w:val="007E6FE3"/>
    <w:rsid w:val="007E720B"/>
    <w:rsid w:val="007E74C1"/>
    <w:rsid w:val="007F026F"/>
    <w:rsid w:val="007F0D8B"/>
    <w:rsid w:val="007F0F1F"/>
    <w:rsid w:val="007F0FCF"/>
    <w:rsid w:val="007F17C5"/>
    <w:rsid w:val="007F1808"/>
    <w:rsid w:val="007F1F0B"/>
    <w:rsid w:val="007F6FC0"/>
    <w:rsid w:val="007F7967"/>
    <w:rsid w:val="007F7B2F"/>
    <w:rsid w:val="0080030A"/>
    <w:rsid w:val="0080282B"/>
    <w:rsid w:val="00802BC0"/>
    <w:rsid w:val="00802DB1"/>
    <w:rsid w:val="00802E1D"/>
    <w:rsid w:val="00803D19"/>
    <w:rsid w:val="00804086"/>
    <w:rsid w:val="00804E21"/>
    <w:rsid w:val="00805363"/>
    <w:rsid w:val="0080594B"/>
    <w:rsid w:val="00805E34"/>
    <w:rsid w:val="00806030"/>
    <w:rsid w:val="0080654B"/>
    <w:rsid w:val="00806A8F"/>
    <w:rsid w:val="00807374"/>
    <w:rsid w:val="00807579"/>
    <w:rsid w:val="00810959"/>
    <w:rsid w:val="008113C6"/>
    <w:rsid w:val="00811532"/>
    <w:rsid w:val="008119CA"/>
    <w:rsid w:val="00811D84"/>
    <w:rsid w:val="0081235F"/>
    <w:rsid w:val="00814E65"/>
    <w:rsid w:val="00817A13"/>
    <w:rsid w:val="00817A85"/>
    <w:rsid w:val="008209C6"/>
    <w:rsid w:val="0082120B"/>
    <w:rsid w:val="008227DE"/>
    <w:rsid w:val="008234F6"/>
    <w:rsid w:val="008239A1"/>
    <w:rsid w:val="008248C0"/>
    <w:rsid w:val="0082493C"/>
    <w:rsid w:val="00824DDC"/>
    <w:rsid w:val="008255B7"/>
    <w:rsid w:val="008258DD"/>
    <w:rsid w:val="008265CE"/>
    <w:rsid w:val="00826AA3"/>
    <w:rsid w:val="00826CF3"/>
    <w:rsid w:val="0082760D"/>
    <w:rsid w:val="00831651"/>
    <w:rsid w:val="00831BF7"/>
    <w:rsid w:val="00832187"/>
    <w:rsid w:val="00832627"/>
    <w:rsid w:val="008330A4"/>
    <w:rsid w:val="00834D04"/>
    <w:rsid w:val="008357A6"/>
    <w:rsid w:val="008359E3"/>
    <w:rsid w:val="0083621B"/>
    <w:rsid w:val="00836348"/>
    <w:rsid w:val="00836488"/>
    <w:rsid w:val="00836B28"/>
    <w:rsid w:val="00836BD6"/>
    <w:rsid w:val="008406D5"/>
    <w:rsid w:val="00840E6F"/>
    <w:rsid w:val="00841489"/>
    <w:rsid w:val="00844CEB"/>
    <w:rsid w:val="008450C8"/>
    <w:rsid w:val="008456F8"/>
    <w:rsid w:val="0084617C"/>
    <w:rsid w:val="008475A3"/>
    <w:rsid w:val="00847A87"/>
    <w:rsid w:val="00847BFC"/>
    <w:rsid w:val="00850475"/>
    <w:rsid w:val="0085078E"/>
    <w:rsid w:val="00850A46"/>
    <w:rsid w:val="00850E19"/>
    <w:rsid w:val="008513EC"/>
    <w:rsid w:val="0085188C"/>
    <w:rsid w:val="00853124"/>
    <w:rsid w:val="008534E0"/>
    <w:rsid w:val="00853BBA"/>
    <w:rsid w:val="00855114"/>
    <w:rsid w:val="00856A86"/>
    <w:rsid w:val="00857264"/>
    <w:rsid w:val="008607CC"/>
    <w:rsid w:val="00860A81"/>
    <w:rsid w:val="008634CF"/>
    <w:rsid w:val="00863504"/>
    <w:rsid w:val="00863A9D"/>
    <w:rsid w:val="008642DB"/>
    <w:rsid w:val="00865153"/>
    <w:rsid w:val="00865532"/>
    <w:rsid w:val="00866629"/>
    <w:rsid w:val="00867AD4"/>
    <w:rsid w:val="00870105"/>
    <w:rsid w:val="00870ECE"/>
    <w:rsid w:val="008717D1"/>
    <w:rsid w:val="00873FF2"/>
    <w:rsid w:val="00874E3A"/>
    <w:rsid w:val="00876C8C"/>
    <w:rsid w:val="0087725F"/>
    <w:rsid w:val="00877962"/>
    <w:rsid w:val="00877B10"/>
    <w:rsid w:val="00880C41"/>
    <w:rsid w:val="00881E9D"/>
    <w:rsid w:val="00884547"/>
    <w:rsid w:val="0088473E"/>
    <w:rsid w:val="00884E41"/>
    <w:rsid w:val="00884FD2"/>
    <w:rsid w:val="008852E1"/>
    <w:rsid w:val="00885679"/>
    <w:rsid w:val="00885D8D"/>
    <w:rsid w:val="0088763A"/>
    <w:rsid w:val="00887E3A"/>
    <w:rsid w:val="008916AC"/>
    <w:rsid w:val="00891D56"/>
    <w:rsid w:val="00892714"/>
    <w:rsid w:val="00893695"/>
    <w:rsid w:val="008940E9"/>
    <w:rsid w:val="0089488B"/>
    <w:rsid w:val="0089595F"/>
    <w:rsid w:val="00895EB0"/>
    <w:rsid w:val="00896624"/>
    <w:rsid w:val="008976A0"/>
    <w:rsid w:val="0089778C"/>
    <w:rsid w:val="008A0F0B"/>
    <w:rsid w:val="008A17A9"/>
    <w:rsid w:val="008A186F"/>
    <w:rsid w:val="008A1A25"/>
    <w:rsid w:val="008A1A57"/>
    <w:rsid w:val="008A1D0A"/>
    <w:rsid w:val="008A1D3C"/>
    <w:rsid w:val="008A1ECC"/>
    <w:rsid w:val="008A241D"/>
    <w:rsid w:val="008A27AF"/>
    <w:rsid w:val="008A2BB6"/>
    <w:rsid w:val="008A4CF0"/>
    <w:rsid w:val="008A7D8A"/>
    <w:rsid w:val="008B0B09"/>
    <w:rsid w:val="008B1F78"/>
    <w:rsid w:val="008B23AA"/>
    <w:rsid w:val="008B258F"/>
    <w:rsid w:val="008B3B5B"/>
    <w:rsid w:val="008B42E3"/>
    <w:rsid w:val="008B53C4"/>
    <w:rsid w:val="008B5644"/>
    <w:rsid w:val="008B5E5C"/>
    <w:rsid w:val="008B6471"/>
    <w:rsid w:val="008B7150"/>
    <w:rsid w:val="008B77D1"/>
    <w:rsid w:val="008B77D9"/>
    <w:rsid w:val="008B7BEF"/>
    <w:rsid w:val="008C05CE"/>
    <w:rsid w:val="008C0F18"/>
    <w:rsid w:val="008C105A"/>
    <w:rsid w:val="008C11D8"/>
    <w:rsid w:val="008C1D31"/>
    <w:rsid w:val="008C1E47"/>
    <w:rsid w:val="008C280C"/>
    <w:rsid w:val="008C4914"/>
    <w:rsid w:val="008C4A83"/>
    <w:rsid w:val="008C4BCB"/>
    <w:rsid w:val="008C6475"/>
    <w:rsid w:val="008C682F"/>
    <w:rsid w:val="008C71F9"/>
    <w:rsid w:val="008C7B20"/>
    <w:rsid w:val="008C7C0D"/>
    <w:rsid w:val="008C7D7D"/>
    <w:rsid w:val="008D04F7"/>
    <w:rsid w:val="008D167D"/>
    <w:rsid w:val="008D18E6"/>
    <w:rsid w:val="008D2E84"/>
    <w:rsid w:val="008D2FFF"/>
    <w:rsid w:val="008D3035"/>
    <w:rsid w:val="008D3242"/>
    <w:rsid w:val="008D3654"/>
    <w:rsid w:val="008D3703"/>
    <w:rsid w:val="008D3C02"/>
    <w:rsid w:val="008D3CE6"/>
    <w:rsid w:val="008D4D22"/>
    <w:rsid w:val="008D4E31"/>
    <w:rsid w:val="008D686F"/>
    <w:rsid w:val="008D7162"/>
    <w:rsid w:val="008D7AF8"/>
    <w:rsid w:val="008E13DA"/>
    <w:rsid w:val="008E2691"/>
    <w:rsid w:val="008E270D"/>
    <w:rsid w:val="008E49E3"/>
    <w:rsid w:val="008E518A"/>
    <w:rsid w:val="008E593F"/>
    <w:rsid w:val="008E68C9"/>
    <w:rsid w:val="008E68FA"/>
    <w:rsid w:val="008E79AA"/>
    <w:rsid w:val="008E7B07"/>
    <w:rsid w:val="008F0F9D"/>
    <w:rsid w:val="008F2C8D"/>
    <w:rsid w:val="008F4EC4"/>
    <w:rsid w:val="008F5590"/>
    <w:rsid w:val="008F58D4"/>
    <w:rsid w:val="008F6A9D"/>
    <w:rsid w:val="0090018C"/>
    <w:rsid w:val="009005DE"/>
    <w:rsid w:val="00900D09"/>
    <w:rsid w:val="00901502"/>
    <w:rsid w:val="0090193B"/>
    <w:rsid w:val="00901ADA"/>
    <w:rsid w:val="00901FD9"/>
    <w:rsid w:val="0090205F"/>
    <w:rsid w:val="00902EF3"/>
    <w:rsid w:val="00902FC2"/>
    <w:rsid w:val="00903636"/>
    <w:rsid w:val="00903AD0"/>
    <w:rsid w:val="00905122"/>
    <w:rsid w:val="00905177"/>
    <w:rsid w:val="00905215"/>
    <w:rsid w:val="00905D49"/>
    <w:rsid w:val="00905DC3"/>
    <w:rsid w:val="00905EE4"/>
    <w:rsid w:val="009060BF"/>
    <w:rsid w:val="00907183"/>
    <w:rsid w:val="00910C5D"/>
    <w:rsid w:val="009113DD"/>
    <w:rsid w:val="009121DF"/>
    <w:rsid w:val="00912DA8"/>
    <w:rsid w:val="009136DA"/>
    <w:rsid w:val="009149DC"/>
    <w:rsid w:val="00915047"/>
    <w:rsid w:val="00915622"/>
    <w:rsid w:val="00916A6E"/>
    <w:rsid w:val="00916D17"/>
    <w:rsid w:val="009170A8"/>
    <w:rsid w:val="00917F40"/>
    <w:rsid w:val="00917F68"/>
    <w:rsid w:val="0092008C"/>
    <w:rsid w:val="00920CB6"/>
    <w:rsid w:val="009214D9"/>
    <w:rsid w:val="009219A0"/>
    <w:rsid w:val="00921B08"/>
    <w:rsid w:val="00921C43"/>
    <w:rsid w:val="00921DB7"/>
    <w:rsid w:val="0092267D"/>
    <w:rsid w:val="00923066"/>
    <w:rsid w:val="00923249"/>
    <w:rsid w:val="00923766"/>
    <w:rsid w:val="009239AA"/>
    <w:rsid w:val="00924124"/>
    <w:rsid w:val="00924275"/>
    <w:rsid w:val="00924CE7"/>
    <w:rsid w:val="009264B3"/>
    <w:rsid w:val="009300C4"/>
    <w:rsid w:val="0093074F"/>
    <w:rsid w:val="009307D3"/>
    <w:rsid w:val="009312A3"/>
    <w:rsid w:val="00932128"/>
    <w:rsid w:val="0093230C"/>
    <w:rsid w:val="00932613"/>
    <w:rsid w:val="0093285A"/>
    <w:rsid w:val="00932B15"/>
    <w:rsid w:val="00933D19"/>
    <w:rsid w:val="0093407F"/>
    <w:rsid w:val="00935701"/>
    <w:rsid w:val="00935EF3"/>
    <w:rsid w:val="00937018"/>
    <w:rsid w:val="00941D7F"/>
    <w:rsid w:val="00942346"/>
    <w:rsid w:val="009432B9"/>
    <w:rsid w:val="009433F6"/>
    <w:rsid w:val="00944FA5"/>
    <w:rsid w:val="009450A0"/>
    <w:rsid w:val="00946264"/>
    <w:rsid w:val="00946505"/>
    <w:rsid w:val="00946A13"/>
    <w:rsid w:val="00946BE0"/>
    <w:rsid w:val="00947BEB"/>
    <w:rsid w:val="00950452"/>
    <w:rsid w:val="00951818"/>
    <w:rsid w:val="00951E24"/>
    <w:rsid w:val="00952789"/>
    <w:rsid w:val="00952C31"/>
    <w:rsid w:val="00952E7F"/>
    <w:rsid w:val="00953696"/>
    <w:rsid w:val="009541C5"/>
    <w:rsid w:val="00955CB7"/>
    <w:rsid w:val="00955EB5"/>
    <w:rsid w:val="00956424"/>
    <w:rsid w:val="00956611"/>
    <w:rsid w:val="00956F69"/>
    <w:rsid w:val="00957210"/>
    <w:rsid w:val="00957A21"/>
    <w:rsid w:val="00960CA3"/>
    <w:rsid w:val="00961350"/>
    <w:rsid w:val="00962213"/>
    <w:rsid w:val="00963032"/>
    <w:rsid w:val="009631BF"/>
    <w:rsid w:val="00963CAD"/>
    <w:rsid w:val="00964318"/>
    <w:rsid w:val="00964FCB"/>
    <w:rsid w:val="009652C4"/>
    <w:rsid w:val="009663B9"/>
    <w:rsid w:val="009666AC"/>
    <w:rsid w:val="009669D0"/>
    <w:rsid w:val="00967F48"/>
    <w:rsid w:val="00970EA7"/>
    <w:rsid w:val="00971380"/>
    <w:rsid w:val="0097186A"/>
    <w:rsid w:val="00974B75"/>
    <w:rsid w:val="00975084"/>
    <w:rsid w:val="00975413"/>
    <w:rsid w:val="009764DD"/>
    <w:rsid w:val="00976B3D"/>
    <w:rsid w:val="00976D96"/>
    <w:rsid w:val="0097756C"/>
    <w:rsid w:val="0097775E"/>
    <w:rsid w:val="009778EA"/>
    <w:rsid w:val="00980FAB"/>
    <w:rsid w:val="0098229D"/>
    <w:rsid w:val="009823FA"/>
    <w:rsid w:val="00982D1D"/>
    <w:rsid w:val="009836E0"/>
    <w:rsid w:val="00984497"/>
    <w:rsid w:val="00985328"/>
    <w:rsid w:val="00985AE0"/>
    <w:rsid w:val="00985C61"/>
    <w:rsid w:val="00987FC3"/>
    <w:rsid w:val="0099037F"/>
    <w:rsid w:val="00990DC5"/>
    <w:rsid w:val="00990EBF"/>
    <w:rsid w:val="00992D66"/>
    <w:rsid w:val="00992FD0"/>
    <w:rsid w:val="009932B3"/>
    <w:rsid w:val="009937E6"/>
    <w:rsid w:val="009938CA"/>
    <w:rsid w:val="00993A0B"/>
    <w:rsid w:val="00993ECC"/>
    <w:rsid w:val="009946BB"/>
    <w:rsid w:val="00995711"/>
    <w:rsid w:val="00995876"/>
    <w:rsid w:val="00996AC5"/>
    <w:rsid w:val="00997154"/>
    <w:rsid w:val="00997A9E"/>
    <w:rsid w:val="009A01CD"/>
    <w:rsid w:val="009A0AF5"/>
    <w:rsid w:val="009A1875"/>
    <w:rsid w:val="009A21E8"/>
    <w:rsid w:val="009A2273"/>
    <w:rsid w:val="009A2BC4"/>
    <w:rsid w:val="009A3607"/>
    <w:rsid w:val="009A4107"/>
    <w:rsid w:val="009A60F0"/>
    <w:rsid w:val="009A6AF3"/>
    <w:rsid w:val="009A7698"/>
    <w:rsid w:val="009B29E0"/>
    <w:rsid w:val="009B2B38"/>
    <w:rsid w:val="009B2D88"/>
    <w:rsid w:val="009B2DCA"/>
    <w:rsid w:val="009B2FC4"/>
    <w:rsid w:val="009B4A58"/>
    <w:rsid w:val="009B592F"/>
    <w:rsid w:val="009B6038"/>
    <w:rsid w:val="009B655C"/>
    <w:rsid w:val="009B791F"/>
    <w:rsid w:val="009B7991"/>
    <w:rsid w:val="009C14FE"/>
    <w:rsid w:val="009C222C"/>
    <w:rsid w:val="009C3E63"/>
    <w:rsid w:val="009C4200"/>
    <w:rsid w:val="009C4A51"/>
    <w:rsid w:val="009C65AF"/>
    <w:rsid w:val="009C668C"/>
    <w:rsid w:val="009D0043"/>
    <w:rsid w:val="009D03F4"/>
    <w:rsid w:val="009D1979"/>
    <w:rsid w:val="009D21B5"/>
    <w:rsid w:val="009D2F4F"/>
    <w:rsid w:val="009D4502"/>
    <w:rsid w:val="009D54C2"/>
    <w:rsid w:val="009D79EF"/>
    <w:rsid w:val="009D7CFE"/>
    <w:rsid w:val="009E0B6C"/>
    <w:rsid w:val="009E1322"/>
    <w:rsid w:val="009E1B2F"/>
    <w:rsid w:val="009E1EED"/>
    <w:rsid w:val="009E2C29"/>
    <w:rsid w:val="009E312D"/>
    <w:rsid w:val="009E3573"/>
    <w:rsid w:val="009E368B"/>
    <w:rsid w:val="009E3AAF"/>
    <w:rsid w:val="009E4035"/>
    <w:rsid w:val="009E474E"/>
    <w:rsid w:val="009E793B"/>
    <w:rsid w:val="009E7D75"/>
    <w:rsid w:val="009F01EA"/>
    <w:rsid w:val="009F2501"/>
    <w:rsid w:val="009F2A3F"/>
    <w:rsid w:val="009F3927"/>
    <w:rsid w:val="009F473B"/>
    <w:rsid w:val="009F47CC"/>
    <w:rsid w:val="009F65BA"/>
    <w:rsid w:val="009F6BAE"/>
    <w:rsid w:val="009F73F1"/>
    <w:rsid w:val="009F75AE"/>
    <w:rsid w:val="00A0278E"/>
    <w:rsid w:val="00A02877"/>
    <w:rsid w:val="00A03D02"/>
    <w:rsid w:val="00A03E96"/>
    <w:rsid w:val="00A03FD0"/>
    <w:rsid w:val="00A040AF"/>
    <w:rsid w:val="00A05E81"/>
    <w:rsid w:val="00A0688E"/>
    <w:rsid w:val="00A06CB9"/>
    <w:rsid w:val="00A075A4"/>
    <w:rsid w:val="00A07C11"/>
    <w:rsid w:val="00A07DFA"/>
    <w:rsid w:val="00A105DF"/>
    <w:rsid w:val="00A10858"/>
    <w:rsid w:val="00A10941"/>
    <w:rsid w:val="00A11661"/>
    <w:rsid w:val="00A145CD"/>
    <w:rsid w:val="00A1482E"/>
    <w:rsid w:val="00A14DE7"/>
    <w:rsid w:val="00A15E3D"/>
    <w:rsid w:val="00A1668B"/>
    <w:rsid w:val="00A1729C"/>
    <w:rsid w:val="00A20C81"/>
    <w:rsid w:val="00A21241"/>
    <w:rsid w:val="00A215C3"/>
    <w:rsid w:val="00A21C66"/>
    <w:rsid w:val="00A2235E"/>
    <w:rsid w:val="00A22938"/>
    <w:rsid w:val="00A25CF2"/>
    <w:rsid w:val="00A261B4"/>
    <w:rsid w:val="00A269FD"/>
    <w:rsid w:val="00A2717A"/>
    <w:rsid w:val="00A27985"/>
    <w:rsid w:val="00A3048E"/>
    <w:rsid w:val="00A309A6"/>
    <w:rsid w:val="00A30E39"/>
    <w:rsid w:val="00A31526"/>
    <w:rsid w:val="00A33079"/>
    <w:rsid w:val="00A33189"/>
    <w:rsid w:val="00A331AA"/>
    <w:rsid w:val="00A3377E"/>
    <w:rsid w:val="00A34318"/>
    <w:rsid w:val="00A3456E"/>
    <w:rsid w:val="00A35D02"/>
    <w:rsid w:val="00A368B3"/>
    <w:rsid w:val="00A36C40"/>
    <w:rsid w:val="00A40492"/>
    <w:rsid w:val="00A4199F"/>
    <w:rsid w:val="00A41A2D"/>
    <w:rsid w:val="00A44FC6"/>
    <w:rsid w:val="00A45369"/>
    <w:rsid w:val="00A45BD6"/>
    <w:rsid w:val="00A45C9C"/>
    <w:rsid w:val="00A47C93"/>
    <w:rsid w:val="00A507A7"/>
    <w:rsid w:val="00A50CC6"/>
    <w:rsid w:val="00A51485"/>
    <w:rsid w:val="00A5193C"/>
    <w:rsid w:val="00A51B70"/>
    <w:rsid w:val="00A51D12"/>
    <w:rsid w:val="00A51EB6"/>
    <w:rsid w:val="00A52519"/>
    <w:rsid w:val="00A52852"/>
    <w:rsid w:val="00A52ABD"/>
    <w:rsid w:val="00A53AF9"/>
    <w:rsid w:val="00A54039"/>
    <w:rsid w:val="00A54065"/>
    <w:rsid w:val="00A54B70"/>
    <w:rsid w:val="00A54FE8"/>
    <w:rsid w:val="00A550AB"/>
    <w:rsid w:val="00A550DE"/>
    <w:rsid w:val="00A56380"/>
    <w:rsid w:val="00A563A2"/>
    <w:rsid w:val="00A564F9"/>
    <w:rsid w:val="00A5662F"/>
    <w:rsid w:val="00A5707F"/>
    <w:rsid w:val="00A5744C"/>
    <w:rsid w:val="00A578DB"/>
    <w:rsid w:val="00A601C4"/>
    <w:rsid w:val="00A60C2F"/>
    <w:rsid w:val="00A60ECB"/>
    <w:rsid w:val="00A60EEC"/>
    <w:rsid w:val="00A62389"/>
    <w:rsid w:val="00A62FDB"/>
    <w:rsid w:val="00A6356C"/>
    <w:rsid w:val="00A6432B"/>
    <w:rsid w:val="00A644BE"/>
    <w:rsid w:val="00A64892"/>
    <w:rsid w:val="00A64BFC"/>
    <w:rsid w:val="00A67AC0"/>
    <w:rsid w:val="00A70623"/>
    <w:rsid w:val="00A70911"/>
    <w:rsid w:val="00A7091A"/>
    <w:rsid w:val="00A70A52"/>
    <w:rsid w:val="00A7109A"/>
    <w:rsid w:val="00A73204"/>
    <w:rsid w:val="00A73D0A"/>
    <w:rsid w:val="00A75A6F"/>
    <w:rsid w:val="00A75FCD"/>
    <w:rsid w:val="00A77E40"/>
    <w:rsid w:val="00A80319"/>
    <w:rsid w:val="00A80545"/>
    <w:rsid w:val="00A80BF0"/>
    <w:rsid w:val="00A810BA"/>
    <w:rsid w:val="00A812F9"/>
    <w:rsid w:val="00A81E12"/>
    <w:rsid w:val="00A8268F"/>
    <w:rsid w:val="00A82BCD"/>
    <w:rsid w:val="00A83D30"/>
    <w:rsid w:val="00A84A3C"/>
    <w:rsid w:val="00A84AE5"/>
    <w:rsid w:val="00A85C4B"/>
    <w:rsid w:val="00A86C19"/>
    <w:rsid w:val="00A86F7A"/>
    <w:rsid w:val="00A86FA2"/>
    <w:rsid w:val="00A90122"/>
    <w:rsid w:val="00A90782"/>
    <w:rsid w:val="00A916DB"/>
    <w:rsid w:val="00A91A24"/>
    <w:rsid w:val="00A92164"/>
    <w:rsid w:val="00A924A3"/>
    <w:rsid w:val="00A92D22"/>
    <w:rsid w:val="00A94463"/>
    <w:rsid w:val="00A9448E"/>
    <w:rsid w:val="00A95919"/>
    <w:rsid w:val="00A95C1F"/>
    <w:rsid w:val="00A95DE4"/>
    <w:rsid w:val="00A97399"/>
    <w:rsid w:val="00AA04E3"/>
    <w:rsid w:val="00AA1073"/>
    <w:rsid w:val="00AA11E1"/>
    <w:rsid w:val="00AA1406"/>
    <w:rsid w:val="00AA2120"/>
    <w:rsid w:val="00AA3495"/>
    <w:rsid w:val="00AA35B5"/>
    <w:rsid w:val="00AA3974"/>
    <w:rsid w:val="00AA3E33"/>
    <w:rsid w:val="00AA4ADC"/>
    <w:rsid w:val="00AA6446"/>
    <w:rsid w:val="00AA6B7E"/>
    <w:rsid w:val="00AA751C"/>
    <w:rsid w:val="00AB038A"/>
    <w:rsid w:val="00AB0689"/>
    <w:rsid w:val="00AB0C3A"/>
    <w:rsid w:val="00AB0D24"/>
    <w:rsid w:val="00AB0D96"/>
    <w:rsid w:val="00AB1952"/>
    <w:rsid w:val="00AB2E1E"/>
    <w:rsid w:val="00AB31B0"/>
    <w:rsid w:val="00AB35AB"/>
    <w:rsid w:val="00AB3DFA"/>
    <w:rsid w:val="00AB3E17"/>
    <w:rsid w:val="00AB3E5E"/>
    <w:rsid w:val="00AB4584"/>
    <w:rsid w:val="00AB4DB8"/>
    <w:rsid w:val="00AB52FD"/>
    <w:rsid w:val="00AB5A0C"/>
    <w:rsid w:val="00AB5E33"/>
    <w:rsid w:val="00AB7339"/>
    <w:rsid w:val="00AB76EE"/>
    <w:rsid w:val="00AB777A"/>
    <w:rsid w:val="00AC1886"/>
    <w:rsid w:val="00AC28C3"/>
    <w:rsid w:val="00AC466A"/>
    <w:rsid w:val="00AC5B67"/>
    <w:rsid w:val="00AC5D75"/>
    <w:rsid w:val="00AC5E45"/>
    <w:rsid w:val="00AC6B88"/>
    <w:rsid w:val="00AC6DAB"/>
    <w:rsid w:val="00AC729F"/>
    <w:rsid w:val="00AC752D"/>
    <w:rsid w:val="00AC75FB"/>
    <w:rsid w:val="00AD00EF"/>
    <w:rsid w:val="00AD090C"/>
    <w:rsid w:val="00AD14B9"/>
    <w:rsid w:val="00AD25C8"/>
    <w:rsid w:val="00AD2881"/>
    <w:rsid w:val="00AD39B9"/>
    <w:rsid w:val="00AD42E5"/>
    <w:rsid w:val="00AD4681"/>
    <w:rsid w:val="00AD4C91"/>
    <w:rsid w:val="00AD527D"/>
    <w:rsid w:val="00AD594E"/>
    <w:rsid w:val="00AD5B5D"/>
    <w:rsid w:val="00AD6773"/>
    <w:rsid w:val="00AD6D12"/>
    <w:rsid w:val="00AD74A6"/>
    <w:rsid w:val="00AE04B8"/>
    <w:rsid w:val="00AE256E"/>
    <w:rsid w:val="00AE2894"/>
    <w:rsid w:val="00AE35E5"/>
    <w:rsid w:val="00AE3CA4"/>
    <w:rsid w:val="00AE5D8D"/>
    <w:rsid w:val="00AE5E9E"/>
    <w:rsid w:val="00AE66E2"/>
    <w:rsid w:val="00AE68A7"/>
    <w:rsid w:val="00AE6FAE"/>
    <w:rsid w:val="00AE73F7"/>
    <w:rsid w:val="00AF0736"/>
    <w:rsid w:val="00AF206E"/>
    <w:rsid w:val="00AF273F"/>
    <w:rsid w:val="00AF4414"/>
    <w:rsid w:val="00AF588F"/>
    <w:rsid w:val="00AF6084"/>
    <w:rsid w:val="00AF622C"/>
    <w:rsid w:val="00AF7737"/>
    <w:rsid w:val="00B0033B"/>
    <w:rsid w:val="00B00A33"/>
    <w:rsid w:val="00B039E8"/>
    <w:rsid w:val="00B03F08"/>
    <w:rsid w:val="00B059A4"/>
    <w:rsid w:val="00B05D7F"/>
    <w:rsid w:val="00B07688"/>
    <w:rsid w:val="00B1175E"/>
    <w:rsid w:val="00B12335"/>
    <w:rsid w:val="00B13E40"/>
    <w:rsid w:val="00B1456C"/>
    <w:rsid w:val="00B14FC6"/>
    <w:rsid w:val="00B1513A"/>
    <w:rsid w:val="00B15A79"/>
    <w:rsid w:val="00B160C1"/>
    <w:rsid w:val="00B16762"/>
    <w:rsid w:val="00B17EB4"/>
    <w:rsid w:val="00B20B51"/>
    <w:rsid w:val="00B223B8"/>
    <w:rsid w:val="00B24066"/>
    <w:rsid w:val="00B25312"/>
    <w:rsid w:val="00B27228"/>
    <w:rsid w:val="00B276E8"/>
    <w:rsid w:val="00B27B02"/>
    <w:rsid w:val="00B31024"/>
    <w:rsid w:val="00B310EF"/>
    <w:rsid w:val="00B311E8"/>
    <w:rsid w:val="00B32222"/>
    <w:rsid w:val="00B33073"/>
    <w:rsid w:val="00B33084"/>
    <w:rsid w:val="00B332D0"/>
    <w:rsid w:val="00B33E5A"/>
    <w:rsid w:val="00B34629"/>
    <w:rsid w:val="00B3545D"/>
    <w:rsid w:val="00B3666C"/>
    <w:rsid w:val="00B36EB1"/>
    <w:rsid w:val="00B40093"/>
    <w:rsid w:val="00B40231"/>
    <w:rsid w:val="00B40500"/>
    <w:rsid w:val="00B40AC1"/>
    <w:rsid w:val="00B41187"/>
    <w:rsid w:val="00B4118F"/>
    <w:rsid w:val="00B423D5"/>
    <w:rsid w:val="00B42471"/>
    <w:rsid w:val="00B4269A"/>
    <w:rsid w:val="00B42AA6"/>
    <w:rsid w:val="00B42E11"/>
    <w:rsid w:val="00B44D1C"/>
    <w:rsid w:val="00B454C2"/>
    <w:rsid w:val="00B457CF"/>
    <w:rsid w:val="00B45CCF"/>
    <w:rsid w:val="00B468F2"/>
    <w:rsid w:val="00B46DE9"/>
    <w:rsid w:val="00B47081"/>
    <w:rsid w:val="00B470C2"/>
    <w:rsid w:val="00B47F87"/>
    <w:rsid w:val="00B52209"/>
    <w:rsid w:val="00B52395"/>
    <w:rsid w:val="00B53C1F"/>
    <w:rsid w:val="00B550DE"/>
    <w:rsid w:val="00B5514C"/>
    <w:rsid w:val="00B55466"/>
    <w:rsid w:val="00B557DE"/>
    <w:rsid w:val="00B57500"/>
    <w:rsid w:val="00B578B5"/>
    <w:rsid w:val="00B60052"/>
    <w:rsid w:val="00B609A6"/>
    <w:rsid w:val="00B609D3"/>
    <w:rsid w:val="00B60AE8"/>
    <w:rsid w:val="00B61C55"/>
    <w:rsid w:val="00B61D0F"/>
    <w:rsid w:val="00B621B4"/>
    <w:rsid w:val="00B62827"/>
    <w:rsid w:val="00B62AF4"/>
    <w:rsid w:val="00B63D0D"/>
    <w:rsid w:val="00B655CE"/>
    <w:rsid w:val="00B65789"/>
    <w:rsid w:val="00B658B1"/>
    <w:rsid w:val="00B65AD8"/>
    <w:rsid w:val="00B660EC"/>
    <w:rsid w:val="00B6782E"/>
    <w:rsid w:val="00B67C0C"/>
    <w:rsid w:val="00B7110D"/>
    <w:rsid w:val="00B71DE0"/>
    <w:rsid w:val="00B725F6"/>
    <w:rsid w:val="00B72A4C"/>
    <w:rsid w:val="00B72F0B"/>
    <w:rsid w:val="00B75164"/>
    <w:rsid w:val="00B756B0"/>
    <w:rsid w:val="00B76DB3"/>
    <w:rsid w:val="00B77243"/>
    <w:rsid w:val="00B77C1F"/>
    <w:rsid w:val="00B77E96"/>
    <w:rsid w:val="00B80C22"/>
    <w:rsid w:val="00B816D0"/>
    <w:rsid w:val="00B836E7"/>
    <w:rsid w:val="00B838D2"/>
    <w:rsid w:val="00B84382"/>
    <w:rsid w:val="00B84DDF"/>
    <w:rsid w:val="00B84F7A"/>
    <w:rsid w:val="00B8578B"/>
    <w:rsid w:val="00B85E19"/>
    <w:rsid w:val="00B85F9F"/>
    <w:rsid w:val="00B86281"/>
    <w:rsid w:val="00B86798"/>
    <w:rsid w:val="00B8709A"/>
    <w:rsid w:val="00B872C4"/>
    <w:rsid w:val="00B876DA"/>
    <w:rsid w:val="00B9059A"/>
    <w:rsid w:val="00B9082A"/>
    <w:rsid w:val="00B90A1A"/>
    <w:rsid w:val="00B922B2"/>
    <w:rsid w:val="00B931C8"/>
    <w:rsid w:val="00B94F3D"/>
    <w:rsid w:val="00B950D1"/>
    <w:rsid w:val="00B975E2"/>
    <w:rsid w:val="00BA07C6"/>
    <w:rsid w:val="00BA0951"/>
    <w:rsid w:val="00BA0E8B"/>
    <w:rsid w:val="00BA103E"/>
    <w:rsid w:val="00BA2114"/>
    <w:rsid w:val="00BA21A2"/>
    <w:rsid w:val="00BA31DE"/>
    <w:rsid w:val="00BA4CB2"/>
    <w:rsid w:val="00BA53A0"/>
    <w:rsid w:val="00BA59AC"/>
    <w:rsid w:val="00BA5AC2"/>
    <w:rsid w:val="00BA5C49"/>
    <w:rsid w:val="00BA5C97"/>
    <w:rsid w:val="00BA6594"/>
    <w:rsid w:val="00BA67A2"/>
    <w:rsid w:val="00BA7146"/>
    <w:rsid w:val="00BA721C"/>
    <w:rsid w:val="00BB004E"/>
    <w:rsid w:val="00BB0B63"/>
    <w:rsid w:val="00BB15F4"/>
    <w:rsid w:val="00BB1C75"/>
    <w:rsid w:val="00BB1CEB"/>
    <w:rsid w:val="00BB3844"/>
    <w:rsid w:val="00BB399E"/>
    <w:rsid w:val="00BB4A36"/>
    <w:rsid w:val="00BB4C93"/>
    <w:rsid w:val="00BB4E6E"/>
    <w:rsid w:val="00BB4E8C"/>
    <w:rsid w:val="00BB4EB6"/>
    <w:rsid w:val="00BB51F2"/>
    <w:rsid w:val="00BB57EE"/>
    <w:rsid w:val="00BC0620"/>
    <w:rsid w:val="00BC0B95"/>
    <w:rsid w:val="00BC181A"/>
    <w:rsid w:val="00BC1BB1"/>
    <w:rsid w:val="00BC1D8B"/>
    <w:rsid w:val="00BC23DE"/>
    <w:rsid w:val="00BC26DD"/>
    <w:rsid w:val="00BC3106"/>
    <w:rsid w:val="00BC5B5C"/>
    <w:rsid w:val="00BC6C23"/>
    <w:rsid w:val="00BC7D56"/>
    <w:rsid w:val="00BD00CC"/>
    <w:rsid w:val="00BD25A3"/>
    <w:rsid w:val="00BD3072"/>
    <w:rsid w:val="00BD34AE"/>
    <w:rsid w:val="00BD40B0"/>
    <w:rsid w:val="00BD4FD2"/>
    <w:rsid w:val="00BD51C3"/>
    <w:rsid w:val="00BD6004"/>
    <w:rsid w:val="00BD6191"/>
    <w:rsid w:val="00BD62A9"/>
    <w:rsid w:val="00BD6E86"/>
    <w:rsid w:val="00BD7486"/>
    <w:rsid w:val="00BD786E"/>
    <w:rsid w:val="00BD78CE"/>
    <w:rsid w:val="00BD7BA5"/>
    <w:rsid w:val="00BE30FF"/>
    <w:rsid w:val="00BE34E2"/>
    <w:rsid w:val="00BE3D50"/>
    <w:rsid w:val="00BE4596"/>
    <w:rsid w:val="00BE4C60"/>
    <w:rsid w:val="00BE68DD"/>
    <w:rsid w:val="00BE6DE0"/>
    <w:rsid w:val="00BE7055"/>
    <w:rsid w:val="00BE72D4"/>
    <w:rsid w:val="00BE742C"/>
    <w:rsid w:val="00BE7683"/>
    <w:rsid w:val="00BF0888"/>
    <w:rsid w:val="00BF153D"/>
    <w:rsid w:val="00BF1993"/>
    <w:rsid w:val="00BF1C40"/>
    <w:rsid w:val="00BF212E"/>
    <w:rsid w:val="00BF3048"/>
    <w:rsid w:val="00BF369F"/>
    <w:rsid w:val="00BF7387"/>
    <w:rsid w:val="00BF772F"/>
    <w:rsid w:val="00BF790A"/>
    <w:rsid w:val="00BF7B1D"/>
    <w:rsid w:val="00BF7F99"/>
    <w:rsid w:val="00C000E5"/>
    <w:rsid w:val="00C0065D"/>
    <w:rsid w:val="00C01902"/>
    <w:rsid w:val="00C0212B"/>
    <w:rsid w:val="00C0259D"/>
    <w:rsid w:val="00C041B6"/>
    <w:rsid w:val="00C05AC8"/>
    <w:rsid w:val="00C05FCB"/>
    <w:rsid w:val="00C074A3"/>
    <w:rsid w:val="00C10046"/>
    <w:rsid w:val="00C10DCF"/>
    <w:rsid w:val="00C113FA"/>
    <w:rsid w:val="00C13223"/>
    <w:rsid w:val="00C135BB"/>
    <w:rsid w:val="00C1438E"/>
    <w:rsid w:val="00C14459"/>
    <w:rsid w:val="00C14514"/>
    <w:rsid w:val="00C14E3D"/>
    <w:rsid w:val="00C15097"/>
    <w:rsid w:val="00C15C78"/>
    <w:rsid w:val="00C15EFE"/>
    <w:rsid w:val="00C1636B"/>
    <w:rsid w:val="00C165D3"/>
    <w:rsid w:val="00C2044E"/>
    <w:rsid w:val="00C204E0"/>
    <w:rsid w:val="00C228E2"/>
    <w:rsid w:val="00C24079"/>
    <w:rsid w:val="00C24BFF"/>
    <w:rsid w:val="00C267F0"/>
    <w:rsid w:val="00C27BDF"/>
    <w:rsid w:val="00C300A5"/>
    <w:rsid w:val="00C30AFF"/>
    <w:rsid w:val="00C31243"/>
    <w:rsid w:val="00C321BC"/>
    <w:rsid w:val="00C32F0C"/>
    <w:rsid w:val="00C338D0"/>
    <w:rsid w:val="00C33E62"/>
    <w:rsid w:val="00C341B3"/>
    <w:rsid w:val="00C3625C"/>
    <w:rsid w:val="00C40103"/>
    <w:rsid w:val="00C40A01"/>
    <w:rsid w:val="00C40FAF"/>
    <w:rsid w:val="00C40FD3"/>
    <w:rsid w:val="00C416F3"/>
    <w:rsid w:val="00C41810"/>
    <w:rsid w:val="00C4197A"/>
    <w:rsid w:val="00C41C3A"/>
    <w:rsid w:val="00C41EA2"/>
    <w:rsid w:val="00C42658"/>
    <w:rsid w:val="00C42DC0"/>
    <w:rsid w:val="00C431B1"/>
    <w:rsid w:val="00C43229"/>
    <w:rsid w:val="00C43A01"/>
    <w:rsid w:val="00C43E1A"/>
    <w:rsid w:val="00C44D5B"/>
    <w:rsid w:val="00C457EF"/>
    <w:rsid w:val="00C47444"/>
    <w:rsid w:val="00C4755D"/>
    <w:rsid w:val="00C476C1"/>
    <w:rsid w:val="00C51BD9"/>
    <w:rsid w:val="00C529B3"/>
    <w:rsid w:val="00C52C32"/>
    <w:rsid w:val="00C53AAD"/>
    <w:rsid w:val="00C53AFD"/>
    <w:rsid w:val="00C53FCF"/>
    <w:rsid w:val="00C53FDD"/>
    <w:rsid w:val="00C54262"/>
    <w:rsid w:val="00C55495"/>
    <w:rsid w:val="00C57AC9"/>
    <w:rsid w:val="00C614EC"/>
    <w:rsid w:val="00C62883"/>
    <w:rsid w:val="00C63426"/>
    <w:rsid w:val="00C648C0"/>
    <w:rsid w:val="00C6777E"/>
    <w:rsid w:val="00C67827"/>
    <w:rsid w:val="00C70E7E"/>
    <w:rsid w:val="00C721DB"/>
    <w:rsid w:val="00C7273B"/>
    <w:rsid w:val="00C7301A"/>
    <w:rsid w:val="00C7394C"/>
    <w:rsid w:val="00C73970"/>
    <w:rsid w:val="00C75169"/>
    <w:rsid w:val="00C75908"/>
    <w:rsid w:val="00C75D03"/>
    <w:rsid w:val="00C7626F"/>
    <w:rsid w:val="00C7694C"/>
    <w:rsid w:val="00C7704A"/>
    <w:rsid w:val="00C7745C"/>
    <w:rsid w:val="00C803C6"/>
    <w:rsid w:val="00C80D0D"/>
    <w:rsid w:val="00C813FA"/>
    <w:rsid w:val="00C81436"/>
    <w:rsid w:val="00C81E82"/>
    <w:rsid w:val="00C8210E"/>
    <w:rsid w:val="00C831AA"/>
    <w:rsid w:val="00C83C92"/>
    <w:rsid w:val="00C83D6C"/>
    <w:rsid w:val="00C855B4"/>
    <w:rsid w:val="00C86755"/>
    <w:rsid w:val="00C87C98"/>
    <w:rsid w:val="00C91B51"/>
    <w:rsid w:val="00C92E7F"/>
    <w:rsid w:val="00C93475"/>
    <w:rsid w:val="00C936CE"/>
    <w:rsid w:val="00C948FC"/>
    <w:rsid w:val="00C9561C"/>
    <w:rsid w:val="00C956F5"/>
    <w:rsid w:val="00C95847"/>
    <w:rsid w:val="00C97A0E"/>
    <w:rsid w:val="00CA0898"/>
    <w:rsid w:val="00CA0CB5"/>
    <w:rsid w:val="00CA20B8"/>
    <w:rsid w:val="00CA402D"/>
    <w:rsid w:val="00CA45C2"/>
    <w:rsid w:val="00CA5340"/>
    <w:rsid w:val="00CA5BEB"/>
    <w:rsid w:val="00CA7364"/>
    <w:rsid w:val="00CB0123"/>
    <w:rsid w:val="00CB0124"/>
    <w:rsid w:val="00CB02E9"/>
    <w:rsid w:val="00CB0479"/>
    <w:rsid w:val="00CB074B"/>
    <w:rsid w:val="00CB1022"/>
    <w:rsid w:val="00CB142F"/>
    <w:rsid w:val="00CB143A"/>
    <w:rsid w:val="00CB18CE"/>
    <w:rsid w:val="00CB1B2A"/>
    <w:rsid w:val="00CB1CD5"/>
    <w:rsid w:val="00CB44F2"/>
    <w:rsid w:val="00CB4729"/>
    <w:rsid w:val="00CB493B"/>
    <w:rsid w:val="00CB4C6D"/>
    <w:rsid w:val="00CB59A9"/>
    <w:rsid w:val="00CB6B3C"/>
    <w:rsid w:val="00CB6C5F"/>
    <w:rsid w:val="00CB7607"/>
    <w:rsid w:val="00CB7FE8"/>
    <w:rsid w:val="00CC0091"/>
    <w:rsid w:val="00CC035E"/>
    <w:rsid w:val="00CC0D8E"/>
    <w:rsid w:val="00CC129E"/>
    <w:rsid w:val="00CC13DC"/>
    <w:rsid w:val="00CC3D56"/>
    <w:rsid w:val="00CC3F1A"/>
    <w:rsid w:val="00CC4440"/>
    <w:rsid w:val="00CC5C14"/>
    <w:rsid w:val="00CC630E"/>
    <w:rsid w:val="00CC63FE"/>
    <w:rsid w:val="00CC645C"/>
    <w:rsid w:val="00CC665C"/>
    <w:rsid w:val="00CC71E6"/>
    <w:rsid w:val="00CC722A"/>
    <w:rsid w:val="00CC7AF4"/>
    <w:rsid w:val="00CD066E"/>
    <w:rsid w:val="00CD0BEC"/>
    <w:rsid w:val="00CD3405"/>
    <w:rsid w:val="00CD3623"/>
    <w:rsid w:val="00CD36F7"/>
    <w:rsid w:val="00CD5194"/>
    <w:rsid w:val="00CD53C7"/>
    <w:rsid w:val="00CD587B"/>
    <w:rsid w:val="00CD5C0A"/>
    <w:rsid w:val="00CD6434"/>
    <w:rsid w:val="00CD6970"/>
    <w:rsid w:val="00CD7318"/>
    <w:rsid w:val="00CE0063"/>
    <w:rsid w:val="00CE0FEA"/>
    <w:rsid w:val="00CE1987"/>
    <w:rsid w:val="00CE22F0"/>
    <w:rsid w:val="00CE2828"/>
    <w:rsid w:val="00CE3C2A"/>
    <w:rsid w:val="00CE57BE"/>
    <w:rsid w:val="00CE6253"/>
    <w:rsid w:val="00CE6635"/>
    <w:rsid w:val="00CE6896"/>
    <w:rsid w:val="00CE6ACB"/>
    <w:rsid w:val="00CF0B8E"/>
    <w:rsid w:val="00CF1449"/>
    <w:rsid w:val="00CF26E3"/>
    <w:rsid w:val="00CF3D60"/>
    <w:rsid w:val="00CF4865"/>
    <w:rsid w:val="00CF57CC"/>
    <w:rsid w:val="00CF6327"/>
    <w:rsid w:val="00CF63A1"/>
    <w:rsid w:val="00CF66D6"/>
    <w:rsid w:val="00CF69E6"/>
    <w:rsid w:val="00CF7434"/>
    <w:rsid w:val="00D00CCA"/>
    <w:rsid w:val="00D014D7"/>
    <w:rsid w:val="00D0152F"/>
    <w:rsid w:val="00D01648"/>
    <w:rsid w:val="00D01A4F"/>
    <w:rsid w:val="00D0203F"/>
    <w:rsid w:val="00D028A3"/>
    <w:rsid w:val="00D03DEC"/>
    <w:rsid w:val="00D059E4"/>
    <w:rsid w:val="00D06579"/>
    <w:rsid w:val="00D06A8D"/>
    <w:rsid w:val="00D0713B"/>
    <w:rsid w:val="00D10877"/>
    <w:rsid w:val="00D11095"/>
    <w:rsid w:val="00D116FD"/>
    <w:rsid w:val="00D12649"/>
    <w:rsid w:val="00D13438"/>
    <w:rsid w:val="00D1422F"/>
    <w:rsid w:val="00D1423D"/>
    <w:rsid w:val="00D146B1"/>
    <w:rsid w:val="00D159D7"/>
    <w:rsid w:val="00D17527"/>
    <w:rsid w:val="00D17AB1"/>
    <w:rsid w:val="00D208C6"/>
    <w:rsid w:val="00D21C20"/>
    <w:rsid w:val="00D21F0F"/>
    <w:rsid w:val="00D2267A"/>
    <w:rsid w:val="00D22B73"/>
    <w:rsid w:val="00D2394A"/>
    <w:rsid w:val="00D240F9"/>
    <w:rsid w:val="00D24298"/>
    <w:rsid w:val="00D262C8"/>
    <w:rsid w:val="00D26409"/>
    <w:rsid w:val="00D2734F"/>
    <w:rsid w:val="00D27756"/>
    <w:rsid w:val="00D27BFF"/>
    <w:rsid w:val="00D30394"/>
    <w:rsid w:val="00D310E8"/>
    <w:rsid w:val="00D3110F"/>
    <w:rsid w:val="00D31515"/>
    <w:rsid w:val="00D31B6F"/>
    <w:rsid w:val="00D32326"/>
    <w:rsid w:val="00D326C7"/>
    <w:rsid w:val="00D32EAF"/>
    <w:rsid w:val="00D332F9"/>
    <w:rsid w:val="00D33F77"/>
    <w:rsid w:val="00D349BC"/>
    <w:rsid w:val="00D34BF6"/>
    <w:rsid w:val="00D3507C"/>
    <w:rsid w:val="00D3666B"/>
    <w:rsid w:val="00D36B79"/>
    <w:rsid w:val="00D3716E"/>
    <w:rsid w:val="00D4012E"/>
    <w:rsid w:val="00D40B01"/>
    <w:rsid w:val="00D411E7"/>
    <w:rsid w:val="00D41FCA"/>
    <w:rsid w:val="00D42974"/>
    <w:rsid w:val="00D43E45"/>
    <w:rsid w:val="00D4422C"/>
    <w:rsid w:val="00D45129"/>
    <w:rsid w:val="00D462E2"/>
    <w:rsid w:val="00D46305"/>
    <w:rsid w:val="00D4645F"/>
    <w:rsid w:val="00D46A5E"/>
    <w:rsid w:val="00D47069"/>
    <w:rsid w:val="00D5008D"/>
    <w:rsid w:val="00D51D12"/>
    <w:rsid w:val="00D52505"/>
    <w:rsid w:val="00D52C81"/>
    <w:rsid w:val="00D547C8"/>
    <w:rsid w:val="00D556AF"/>
    <w:rsid w:val="00D5685E"/>
    <w:rsid w:val="00D56B34"/>
    <w:rsid w:val="00D576E0"/>
    <w:rsid w:val="00D60D0F"/>
    <w:rsid w:val="00D61975"/>
    <w:rsid w:val="00D62127"/>
    <w:rsid w:val="00D62A2F"/>
    <w:rsid w:val="00D63FA3"/>
    <w:rsid w:val="00D63FCD"/>
    <w:rsid w:val="00D645F3"/>
    <w:rsid w:val="00D6468C"/>
    <w:rsid w:val="00D673DB"/>
    <w:rsid w:val="00D72578"/>
    <w:rsid w:val="00D727B6"/>
    <w:rsid w:val="00D72941"/>
    <w:rsid w:val="00D72AF3"/>
    <w:rsid w:val="00D73837"/>
    <w:rsid w:val="00D75D24"/>
    <w:rsid w:val="00D76801"/>
    <w:rsid w:val="00D80477"/>
    <w:rsid w:val="00D820E8"/>
    <w:rsid w:val="00D8283B"/>
    <w:rsid w:val="00D83958"/>
    <w:rsid w:val="00D869A6"/>
    <w:rsid w:val="00D869A7"/>
    <w:rsid w:val="00D87CA2"/>
    <w:rsid w:val="00D9010F"/>
    <w:rsid w:val="00D912C5"/>
    <w:rsid w:val="00D91708"/>
    <w:rsid w:val="00D934C1"/>
    <w:rsid w:val="00D940CF"/>
    <w:rsid w:val="00D941A5"/>
    <w:rsid w:val="00D943C2"/>
    <w:rsid w:val="00D9464C"/>
    <w:rsid w:val="00D953DD"/>
    <w:rsid w:val="00D95906"/>
    <w:rsid w:val="00D9764E"/>
    <w:rsid w:val="00DA09A5"/>
    <w:rsid w:val="00DA11E5"/>
    <w:rsid w:val="00DA13A6"/>
    <w:rsid w:val="00DA1EB4"/>
    <w:rsid w:val="00DA2984"/>
    <w:rsid w:val="00DA3D46"/>
    <w:rsid w:val="00DA3FB7"/>
    <w:rsid w:val="00DA48FF"/>
    <w:rsid w:val="00DA4DC9"/>
    <w:rsid w:val="00DA5E2C"/>
    <w:rsid w:val="00DA5E72"/>
    <w:rsid w:val="00DA5FE5"/>
    <w:rsid w:val="00DA6554"/>
    <w:rsid w:val="00DB0701"/>
    <w:rsid w:val="00DB07B6"/>
    <w:rsid w:val="00DB0F4C"/>
    <w:rsid w:val="00DB1001"/>
    <w:rsid w:val="00DB112A"/>
    <w:rsid w:val="00DB1EA9"/>
    <w:rsid w:val="00DB219B"/>
    <w:rsid w:val="00DB2AF6"/>
    <w:rsid w:val="00DB2D10"/>
    <w:rsid w:val="00DB3AC6"/>
    <w:rsid w:val="00DB42CB"/>
    <w:rsid w:val="00DB5042"/>
    <w:rsid w:val="00DB5FD3"/>
    <w:rsid w:val="00DB70C9"/>
    <w:rsid w:val="00DC19F0"/>
    <w:rsid w:val="00DC1FE6"/>
    <w:rsid w:val="00DC20CF"/>
    <w:rsid w:val="00DC20EA"/>
    <w:rsid w:val="00DC226F"/>
    <w:rsid w:val="00DC29B9"/>
    <w:rsid w:val="00DC3223"/>
    <w:rsid w:val="00DC32DF"/>
    <w:rsid w:val="00DC3E51"/>
    <w:rsid w:val="00DC40ED"/>
    <w:rsid w:val="00DC45A7"/>
    <w:rsid w:val="00DC5C5F"/>
    <w:rsid w:val="00DC602E"/>
    <w:rsid w:val="00DC6886"/>
    <w:rsid w:val="00DC74AE"/>
    <w:rsid w:val="00DD07F4"/>
    <w:rsid w:val="00DD161B"/>
    <w:rsid w:val="00DD1687"/>
    <w:rsid w:val="00DD2350"/>
    <w:rsid w:val="00DD244D"/>
    <w:rsid w:val="00DD2B21"/>
    <w:rsid w:val="00DD2CA3"/>
    <w:rsid w:val="00DD31D2"/>
    <w:rsid w:val="00DD3F62"/>
    <w:rsid w:val="00DD40C6"/>
    <w:rsid w:val="00DD40CB"/>
    <w:rsid w:val="00DD60F6"/>
    <w:rsid w:val="00DD6244"/>
    <w:rsid w:val="00DD6714"/>
    <w:rsid w:val="00DD79D4"/>
    <w:rsid w:val="00DE1C89"/>
    <w:rsid w:val="00DE26FE"/>
    <w:rsid w:val="00DE2A1E"/>
    <w:rsid w:val="00DE2EEA"/>
    <w:rsid w:val="00DE305E"/>
    <w:rsid w:val="00DE355E"/>
    <w:rsid w:val="00DE4772"/>
    <w:rsid w:val="00DE49CE"/>
    <w:rsid w:val="00DE55E6"/>
    <w:rsid w:val="00DE68BF"/>
    <w:rsid w:val="00DE6CDB"/>
    <w:rsid w:val="00DE6E8F"/>
    <w:rsid w:val="00DE6EAC"/>
    <w:rsid w:val="00DE7506"/>
    <w:rsid w:val="00DF02AF"/>
    <w:rsid w:val="00DF1662"/>
    <w:rsid w:val="00DF1B56"/>
    <w:rsid w:val="00DF28D1"/>
    <w:rsid w:val="00DF2F1B"/>
    <w:rsid w:val="00DF354E"/>
    <w:rsid w:val="00DF39B8"/>
    <w:rsid w:val="00DF40F5"/>
    <w:rsid w:val="00DF4B4A"/>
    <w:rsid w:val="00DF4F9C"/>
    <w:rsid w:val="00DF536F"/>
    <w:rsid w:val="00DF5F61"/>
    <w:rsid w:val="00DF663F"/>
    <w:rsid w:val="00DF67E7"/>
    <w:rsid w:val="00DF689C"/>
    <w:rsid w:val="00DF6AD9"/>
    <w:rsid w:val="00DF7221"/>
    <w:rsid w:val="00DF7603"/>
    <w:rsid w:val="00DF7820"/>
    <w:rsid w:val="00DF787B"/>
    <w:rsid w:val="00DF7B0A"/>
    <w:rsid w:val="00E00B20"/>
    <w:rsid w:val="00E01384"/>
    <w:rsid w:val="00E0140B"/>
    <w:rsid w:val="00E01560"/>
    <w:rsid w:val="00E01C5B"/>
    <w:rsid w:val="00E02EFB"/>
    <w:rsid w:val="00E03D84"/>
    <w:rsid w:val="00E03DF7"/>
    <w:rsid w:val="00E03FC9"/>
    <w:rsid w:val="00E042A4"/>
    <w:rsid w:val="00E0509C"/>
    <w:rsid w:val="00E111D2"/>
    <w:rsid w:val="00E12B80"/>
    <w:rsid w:val="00E12F26"/>
    <w:rsid w:val="00E1312F"/>
    <w:rsid w:val="00E1327E"/>
    <w:rsid w:val="00E1382D"/>
    <w:rsid w:val="00E13DCA"/>
    <w:rsid w:val="00E13ED5"/>
    <w:rsid w:val="00E1453E"/>
    <w:rsid w:val="00E14685"/>
    <w:rsid w:val="00E148AA"/>
    <w:rsid w:val="00E14A30"/>
    <w:rsid w:val="00E15299"/>
    <w:rsid w:val="00E16132"/>
    <w:rsid w:val="00E16589"/>
    <w:rsid w:val="00E16B3E"/>
    <w:rsid w:val="00E17D13"/>
    <w:rsid w:val="00E20EE1"/>
    <w:rsid w:val="00E21527"/>
    <w:rsid w:val="00E21C3A"/>
    <w:rsid w:val="00E221BB"/>
    <w:rsid w:val="00E22343"/>
    <w:rsid w:val="00E224A7"/>
    <w:rsid w:val="00E2283B"/>
    <w:rsid w:val="00E236A7"/>
    <w:rsid w:val="00E2377D"/>
    <w:rsid w:val="00E237F0"/>
    <w:rsid w:val="00E23FD8"/>
    <w:rsid w:val="00E253FB"/>
    <w:rsid w:val="00E25747"/>
    <w:rsid w:val="00E25E16"/>
    <w:rsid w:val="00E262BD"/>
    <w:rsid w:val="00E264C7"/>
    <w:rsid w:val="00E278FD"/>
    <w:rsid w:val="00E27B35"/>
    <w:rsid w:val="00E306C5"/>
    <w:rsid w:val="00E30A9C"/>
    <w:rsid w:val="00E30BE1"/>
    <w:rsid w:val="00E30C7C"/>
    <w:rsid w:val="00E30E67"/>
    <w:rsid w:val="00E310FB"/>
    <w:rsid w:val="00E313A8"/>
    <w:rsid w:val="00E32223"/>
    <w:rsid w:val="00E323AF"/>
    <w:rsid w:val="00E3266B"/>
    <w:rsid w:val="00E339A7"/>
    <w:rsid w:val="00E339E6"/>
    <w:rsid w:val="00E33C7F"/>
    <w:rsid w:val="00E340C1"/>
    <w:rsid w:val="00E34F3E"/>
    <w:rsid w:val="00E3584C"/>
    <w:rsid w:val="00E3589F"/>
    <w:rsid w:val="00E35CB7"/>
    <w:rsid w:val="00E36319"/>
    <w:rsid w:val="00E36448"/>
    <w:rsid w:val="00E367DC"/>
    <w:rsid w:val="00E372C5"/>
    <w:rsid w:val="00E40484"/>
    <w:rsid w:val="00E41072"/>
    <w:rsid w:val="00E4140D"/>
    <w:rsid w:val="00E42353"/>
    <w:rsid w:val="00E430BC"/>
    <w:rsid w:val="00E43A28"/>
    <w:rsid w:val="00E441B2"/>
    <w:rsid w:val="00E457C6"/>
    <w:rsid w:val="00E45D24"/>
    <w:rsid w:val="00E46504"/>
    <w:rsid w:val="00E46684"/>
    <w:rsid w:val="00E46E43"/>
    <w:rsid w:val="00E50B60"/>
    <w:rsid w:val="00E52E7E"/>
    <w:rsid w:val="00E5391D"/>
    <w:rsid w:val="00E53965"/>
    <w:rsid w:val="00E54809"/>
    <w:rsid w:val="00E55474"/>
    <w:rsid w:val="00E55992"/>
    <w:rsid w:val="00E559BC"/>
    <w:rsid w:val="00E55D48"/>
    <w:rsid w:val="00E56A12"/>
    <w:rsid w:val="00E56D45"/>
    <w:rsid w:val="00E575A3"/>
    <w:rsid w:val="00E57F19"/>
    <w:rsid w:val="00E60525"/>
    <w:rsid w:val="00E60616"/>
    <w:rsid w:val="00E60A70"/>
    <w:rsid w:val="00E6141D"/>
    <w:rsid w:val="00E6157E"/>
    <w:rsid w:val="00E61F07"/>
    <w:rsid w:val="00E6303F"/>
    <w:rsid w:val="00E63A2B"/>
    <w:rsid w:val="00E64FA9"/>
    <w:rsid w:val="00E66744"/>
    <w:rsid w:val="00E70FA0"/>
    <w:rsid w:val="00E718C7"/>
    <w:rsid w:val="00E71E3A"/>
    <w:rsid w:val="00E724F3"/>
    <w:rsid w:val="00E72D8B"/>
    <w:rsid w:val="00E749C4"/>
    <w:rsid w:val="00E7606A"/>
    <w:rsid w:val="00E76879"/>
    <w:rsid w:val="00E769D9"/>
    <w:rsid w:val="00E777F6"/>
    <w:rsid w:val="00E80475"/>
    <w:rsid w:val="00E80ED7"/>
    <w:rsid w:val="00E81292"/>
    <w:rsid w:val="00E817A1"/>
    <w:rsid w:val="00E8384D"/>
    <w:rsid w:val="00E83B97"/>
    <w:rsid w:val="00E83EE0"/>
    <w:rsid w:val="00E840CD"/>
    <w:rsid w:val="00E84462"/>
    <w:rsid w:val="00E85405"/>
    <w:rsid w:val="00E85ACE"/>
    <w:rsid w:val="00E85C64"/>
    <w:rsid w:val="00E871B5"/>
    <w:rsid w:val="00E90C3A"/>
    <w:rsid w:val="00E91D02"/>
    <w:rsid w:val="00E9265F"/>
    <w:rsid w:val="00E9288D"/>
    <w:rsid w:val="00E92987"/>
    <w:rsid w:val="00E92C20"/>
    <w:rsid w:val="00E92EB1"/>
    <w:rsid w:val="00E93EF0"/>
    <w:rsid w:val="00E94755"/>
    <w:rsid w:val="00E94F07"/>
    <w:rsid w:val="00E95465"/>
    <w:rsid w:val="00E97854"/>
    <w:rsid w:val="00EA0D37"/>
    <w:rsid w:val="00EA189B"/>
    <w:rsid w:val="00EA25BE"/>
    <w:rsid w:val="00EA3EC8"/>
    <w:rsid w:val="00EA53A4"/>
    <w:rsid w:val="00EA5C19"/>
    <w:rsid w:val="00EA5D4F"/>
    <w:rsid w:val="00EA6291"/>
    <w:rsid w:val="00EA6676"/>
    <w:rsid w:val="00EA7F0E"/>
    <w:rsid w:val="00EB0245"/>
    <w:rsid w:val="00EB03D3"/>
    <w:rsid w:val="00EB0A5B"/>
    <w:rsid w:val="00EB0CA8"/>
    <w:rsid w:val="00EB0DF7"/>
    <w:rsid w:val="00EB1C9D"/>
    <w:rsid w:val="00EB1EFB"/>
    <w:rsid w:val="00EB378C"/>
    <w:rsid w:val="00EB4178"/>
    <w:rsid w:val="00EB4774"/>
    <w:rsid w:val="00EB532B"/>
    <w:rsid w:val="00EB59A9"/>
    <w:rsid w:val="00EB6D42"/>
    <w:rsid w:val="00EB7908"/>
    <w:rsid w:val="00EB7DCB"/>
    <w:rsid w:val="00EC01BE"/>
    <w:rsid w:val="00EC080E"/>
    <w:rsid w:val="00EC08EE"/>
    <w:rsid w:val="00EC0CFA"/>
    <w:rsid w:val="00EC10A6"/>
    <w:rsid w:val="00EC122C"/>
    <w:rsid w:val="00EC255D"/>
    <w:rsid w:val="00EC2730"/>
    <w:rsid w:val="00EC39F2"/>
    <w:rsid w:val="00EC4217"/>
    <w:rsid w:val="00EC4A10"/>
    <w:rsid w:val="00EC4D87"/>
    <w:rsid w:val="00EC5001"/>
    <w:rsid w:val="00EC7755"/>
    <w:rsid w:val="00EC77D7"/>
    <w:rsid w:val="00EC786B"/>
    <w:rsid w:val="00ED05C1"/>
    <w:rsid w:val="00ED1655"/>
    <w:rsid w:val="00ED273E"/>
    <w:rsid w:val="00ED277F"/>
    <w:rsid w:val="00ED3023"/>
    <w:rsid w:val="00ED365F"/>
    <w:rsid w:val="00ED3A80"/>
    <w:rsid w:val="00ED3D7C"/>
    <w:rsid w:val="00ED3E50"/>
    <w:rsid w:val="00ED40F2"/>
    <w:rsid w:val="00ED41D6"/>
    <w:rsid w:val="00ED4643"/>
    <w:rsid w:val="00ED4834"/>
    <w:rsid w:val="00ED566B"/>
    <w:rsid w:val="00ED5B24"/>
    <w:rsid w:val="00ED6198"/>
    <w:rsid w:val="00ED6F41"/>
    <w:rsid w:val="00ED6F4C"/>
    <w:rsid w:val="00ED7416"/>
    <w:rsid w:val="00ED77B0"/>
    <w:rsid w:val="00ED7A2A"/>
    <w:rsid w:val="00EE095E"/>
    <w:rsid w:val="00EE241E"/>
    <w:rsid w:val="00EE261D"/>
    <w:rsid w:val="00EE277D"/>
    <w:rsid w:val="00EE4C5D"/>
    <w:rsid w:val="00EE57D7"/>
    <w:rsid w:val="00EE709F"/>
    <w:rsid w:val="00EF0079"/>
    <w:rsid w:val="00EF2C28"/>
    <w:rsid w:val="00EF453B"/>
    <w:rsid w:val="00EF50D0"/>
    <w:rsid w:val="00EF6941"/>
    <w:rsid w:val="00EF6E78"/>
    <w:rsid w:val="00F0062D"/>
    <w:rsid w:val="00F02A8A"/>
    <w:rsid w:val="00F04AE9"/>
    <w:rsid w:val="00F04ED1"/>
    <w:rsid w:val="00F05B88"/>
    <w:rsid w:val="00F10946"/>
    <w:rsid w:val="00F11D1B"/>
    <w:rsid w:val="00F13CF5"/>
    <w:rsid w:val="00F14119"/>
    <w:rsid w:val="00F14ABA"/>
    <w:rsid w:val="00F15216"/>
    <w:rsid w:val="00F157F5"/>
    <w:rsid w:val="00F15DC2"/>
    <w:rsid w:val="00F16933"/>
    <w:rsid w:val="00F16E68"/>
    <w:rsid w:val="00F170DC"/>
    <w:rsid w:val="00F172C5"/>
    <w:rsid w:val="00F17426"/>
    <w:rsid w:val="00F17446"/>
    <w:rsid w:val="00F178F4"/>
    <w:rsid w:val="00F17A6F"/>
    <w:rsid w:val="00F17F92"/>
    <w:rsid w:val="00F20F0C"/>
    <w:rsid w:val="00F211C4"/>
    <w:rsid w:val="00F221D9"/>
    <w:rsid w:val="00F22648"/>
    <w:rsid w:val="00F238F0"/>
    <w:rsid w:val="00F23C01"/>
    <w:rsid w:val="00F23E90"/>
    <w:rsid w:val="00F2412D"/>
    <w:rsid w:val="00F2433A"/>
    <w:rsid w:val="00F245A5"/>
    <w:rsid w:val="00F24819"/>
    <w:rsid w:val="00F2571D"/>
    <w:rsid w:val="00F2705D"/>
    <w:rsid w:val="00F27BBE"/>
    <w:rsid w:val="00F27FA5"/>
    <w:rsid w:val="00F32298"/>
    <w:rsid w:val="00F32808"/>
    <w:rsid w:val="00F32E65"/>
    <w:rsid w:val="00F330FB"/>
    <w:rsid w:val="00F345D4"/>
    <w:rsid w:val="00F345EA"/>
    <w:rsid w:val="00F35997"/>
    <w:rsid w:val="00F35E46"/>
    <w:rsid w:val="00F40634"/>
    <w:rsid w:val="00F4074C"/>
    <w:rsid w:val="00F40C16"/>
    <w:rsid w:val="00F41312"/>
    <w:rsid w:val="00F4156E"/>
    <w:rsid w:val="00F45BE1"/>
    <w:rsid w:val="00F4640B"/>
    <w:rsid w:val="00F46B05"/>
    <w:rsid w:val="00F46F30"/>
    <w:rsid w:val="00F47792"/>
    <w:rsid w:val="00F509DE"/>
    <w:rsid w:val="00F511AC"/>
    <w:rsid w:val="00F51DFB"/>
    <w:rsid w:val="00F528A0"/>
    <w:rsid w:val="00F52F37"/>
    <w:rsid w:val="00F53751"/>
    <w:rsid w:val="00F53CEF"/>
    <w:rsid w:val="00F54CEE"/>
    <w:rsid w:val="00F55526"/>
    <w:rsid w:val="00F555D1"/>
    <w:rsid w:val="00F559C8"/>
    <w:rsid w:val="00F57EE8"/>
    <w:rsid w:val="00F6076F"/>
    <w:rsid w:val="00F61792"/>
    <w:rsid w:val="00F62095"/>
    <w:rsid w:val="00F620C9"/>
    <w:rsid w:val="00F63375"/>
    <w:rsid w:val="00F63CD4"/>
    <w:rsid w:val="00F63D5D"/>
    <w:rsid w:val="00F63EA1"/>
    <w:rsid w:val="00F63F32"/>
    <w:rsid w:val="00F64766"/>
    <w:rsid w:val="00F65057"/>
    <w:rsid w:val="00F669C6"/>
    <w:rsid w:val="00F66F7E"/>
    <w:rsid w:val="00F67492"/>
    <w:rsid w:val="00F674DF"/>
    <w:rsid w:val="00F6783C"/>
    <w:rsid w:val="00F706EE"/>
    <w:rsid w:val="00F70768"/>
    <w:rsid w:val="00F71A8C"/>
    <w:rsid w:val="00F71AC8"/>
    <w:rsid w:val="00F722FE"/>
    <w:rsid w:val="00F72B3A"/>
    <w:rsid w:val="00F72D43"/>
    <w:rsid w:val="00F73379"/>
    <w:rsid w:val="00F735A7"/>
    <w:rsid w:val="00F74F1F"/>
    <w:rsid w:val="00F753F1"/>
    <w:rsid w:val="00F75981"/>
    <w:rsid w:val="00F75B05"/>
    <w:rsid w:val="00F76045"/>
    <w:rsid w:val="00F77813"/>
    <w:rsid w:val="00F80859"/>
    <w:rsid w:val="00F81423"/>
    <w:rsid w:val="00F8143A"/>
    <w:rsid w:val="00F81970"/>
    <w:rsid w:val="00F826AB"/>
    <w:rsid w:val="00F82DF7"/>
    <w:rsid w:val="00F836CE"/>
    <w:rsid w:val="00F83B40"/>
    <w:rsid w:val="00F83C27"/>
    <w:rsid w:val="00F84181"/>
    <w:rsid w:val="00F852F5"/>
    <w:rsid w:val="00F85364"/>
    <w:rsid w:val="00F8596F"/>
    <w:rsid w:val="00F863EC"/>
    <w:rsid w:val="00F86766"/>
    <w:rsid w:val="00F86F42"/>
    <w:rsid w:val="00F908F4"/>
    <w:rsid w:val="00F90AD5"/>
    <w:rsid w:val="00F92892"/>
    <w:rsid w:val="00F92A4D"/>
    <w:rsid w:val="00F93EF5"/>
    <w:rsid w:val="00F93F4B"/>
    <w:rsid w:val="00F94DC4"/>
    <w:rsid w:val="00F95E26"/>
    <w:rsid w:val="00F960A7"/>
    <w:rsid w:val="00F96793"/>
    <w:rsid w:val="00F97258"/>
    <w:rsid w:val="00FA0C8E"/>
    <w:rsid w:val="00FA2C39"/>
    <w:rsid w:val="00FA2C95"/>
    <w:rsid w:val="00FA3AA9"/>
    <w:rsid w:val="00FA481B"/>
    <w:rsid w:val="00FA491D"/>
    <w:rsid w:val="00FA4D06"/>
    <w:rsid w:val="00FA55A6"/>
    <w:rsid w:val="00FA5F3F"/>
    <w:rsid w:val="00FA6855"/>
    <w:rsid w:val="00FA6F09"/>
    <w:rsid w:val="00FA743D"/>
    <w:rsid w:val="00FA796D"/>
    <w:rsid w:val="00FA79B2"/>
    <w:rsid w:val="00FB0F42"/>
    <w:rsid w:val="00FB1764"/>
    <w:rsid w:val="00FB1C5E"/>
    <w:rsid w:val="00FB26E9"/>
    <w:rsid w:val="00FB29FF"/>
    <w:rsid w:val="00FB2C01"/>
    <w:rsid w:val="00FB69DD"/>
    <w:rsid w:val="00FB7AD2"/>
    <w:rsid w:val="00FB7B02"/>
    <w:rsid w:val="00FC0228"/>
    <w:rsid w:val="00FC05AE"/>
    <w:rsid w:val="00FC293D"/>
    <w:rsid w:val="00FC2BFB"/>
    <w:rsid w:val="00FC2ECA"/>
    <w:rsid w:val="00FC30D1"/>
    <w:rsid w:val="00FC3E9F"/>
    <w:rsid w:val="00FC47DD"/>
    <w:rsid w:val="00FC4ECF"/>
    <w:rsid w:val="00FC5C45"/>
    <w:rsid w:val="00FC5F7D"/>
    <w:rsid w:val="00FC7BA2"/>
    <w:rsid w:val="00FD26B8"/>
    <w:rsid w:val="00FD2872"/>
    <w:rsid w:val="00FD29C9"/>
    <w:rsid w:val="00FD3DC4"/>
    <w:rsid w:val="00FD3FF2"/>
    <w:rsid w:val="00FD4130"/>
    <w:rsid w:val="00FD49C5"/>
    <w:rsid w:val="00FD5115"/>
    <w:rsid w:val="00FD61BF"/>
    <w:rsid w:val="00FD7071"/>
    <w:rsid w:val="00FD73AD"/>
    <w:rsid w:val="00FD757C"/>
    <w:rsid w:val="00FD7B32"/>
    <w:rsid w:val="00FE1236"/>
    <w:rsid w:val="00FE17C4"/>
    <w:rsid w:val="00FE17F4"/>
    <w:rsid w:val="00FE29AC"/>
    <w:rsid w:val="00FE2BB0"/>
    <w:rsid w:val="00FE2F76"/>
    <w:rsid w:val="00FE590E"/>
    <w:rsid w:val="00FE59D5"/>
    <w:rsid w:val="00FE6AEE"/>
    <w:rsid w:val="00FE7178"/>
    <w:rsid w:val="00FE72C0"/>
    <w:rsid w:val="00FF0442"/>
    <w:rsid w:val="00FF1128"/>
    <w:rsid w:val="00FF1BB7"/>
    <w:rsid w:val="00FF1BD1"/>
    <w:rsid w:val="00FF1E80"/>
    <w:rsid w:val="00FF24C5"/>
    <w:rsid w:val="00FF2787"/>
    <w:rsid w:val="00FF2823"/>
    <w:rsid w:val="00FF3612"/>
    <w:rsid w:val="00FF49E9"/>
    <w:rsid w:val="00FF5481"/>
    <w:rsid w:val="00FF65B0"/>
    <w:rsid w:val="00FF670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8ED6421"/>
  <w15:chartTrackingRefBased/>
  <w15:docId w15:val="{C2C069E8-A0C9-402F-BFBB-900EF640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4D"/>
  </w:style>
  <w:style w:type="paragraph" w:styleId="Heading2">
    <w:name w:val="heading 2"/>
    <w:basedOn w:val="Normal"/>
    <w:link w:val="Heading2Char"/>
    <w:uiPriority w:val="9"/>
    <w:qFormat/>
    <w:rsid w:val="007A7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222"/>
  </w:style>
  <w:style w:type="paragraph" w:styleId="Footer">
    <w:name w:val="footer"/>
    <w:basedOn w:val="Normal"/>
    <w:link w:val="FooterChar"/>
    <w:uiPriority w:val="99"/>
    <w:unhideWhenUsed/>
    <w:rsid w:val="00B32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222"/>
  </w:style>
  <w:style w:type="paragraph" w:styleId="ListParagraph">
    <w:name w:val="List Paragraph"/>
    <w:basedOn w:val="Normal"/>
    <w:uiPriority w:val="34"/>
    <w:qFormat/>
    <w:rsid w:val="00052882"/>
    <w:pPr>
      <w:ind w:left="720"/>
      <w:contextualSpacing/>
    </w:pPr>
  </w:style>
  <w:style w:type="character" w:styleId="Hyperlink">
    <w:name w:val="Hyperlink"/>
    <w:rsid w:val="00EB4178"/>
    <w:rPr>
      <w:rFonts w:ascii="Arial" w:hAnsi="Arial" w:cs="Arial" w:hint="default"/>
      <w:b/>
      <w:bCs/>
      <w:color w:val="3E658B"/>
      <w:sz w:val="18"/>
      <w:szCs w:val="1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1B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B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B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B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B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B2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C080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94FD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A7BE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7A7BE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dtitle">
    <w:name w:val="dtitle"/>
    <w:basedOn w:val="DefaultParagraphFont"/>
    <w:rsid w:val="007A7BE0"/>
  </w:style>
  <w:style w:type="paragraph" w:styleId="Revision">
    <w:name w:val="Revision"/>
    <w:hidden/>
    <w:uiPriority w:val="99"/>
    <w:semiHidden/>
    <w:rsid w:val="00C51BD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6674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258DD"/>
    <w:rPr>
      <w:b/>
      <w:bCs/>
    </w:rPr>
  </w:style>
  <w:style w:type="character" w:customStyle="1" w:styleId="cf01">
    <w:name w:val="cf01"/>
    <w:basedOn w:val="DefaultParagraphFont"/>
    <w:rsid w:val="003856C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6A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A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6A6E"/>
    <w:rPr>
      <w:vertAlign w:val="superscript"/>
    </w:rPr>
  </w:style>
  <w:style w:type="character" w:customStyle="1" w:styleId="ui-provider">
    <w:name w:val="ui-provider"/>
    <w:basedOn w:val="DefaultParagraphFont"/>
    <w:rsid w:val="00923249"/>
  </w:style>
  <w:style w:type="paragraph" w:styleId="NormalWeb">
    <w:name w:val="Normal (Web)"/>
    <w:basedOn w:val="Normal"/>
    <w:uiPriority w:val="99"/>
    <w:semiHidden/>
    <w:unhideWhenUsed/>
    <w:rsid w:val="00365A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chart" Target="charts/chart2.xml"/><Relationship Id="rId26" Type="http://schemas.openxmlformats.org/officeDocument/2006/relationships/hyperlink" Target="https://data-explorer.oecd.org/vis?df%5bds%5d=dsDisseminateFinalDMZ&amp;df%5bid%5d=DSD_BOP@DF_BOP&amp;df%5bag%5d=OECD.SDD.TPS" TargetMode="External"/><Relationship Id="rId39" Type="http://schemas.openxmlformats.org/officeDocument/2006/relationships/footer" Target="footer4.xml"/><Relationship Id="rId21" Type="http://schemas.openxmlformats.org/officeDocument/2006/relationships/hyperlink" Target="https://data-explorer.oecd.org/vis?df%5bds%5d=dsDisseminateFinalDMZ&amp;df%5bid%5d=DSD_IMTS@DF_IMTS&amp;df%5bag%5d=OECD.SDD.TPS" TargetMode="External"/><Relationship Id="rId34" Type="http://schemas.openxmlformats.org/officeDocument/2006/relationships/hyperlink" Target="mailto:news.contact@oecd.org" TargetMode="External"/><Relationship Id="rId42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data-explorer.oecd.org/vis?df%5bds%5d=dsDisseminateFinalDMZ&amp;df%5bid%5d=DSD_IMTS@DF_IMTS&amp;df%5bag%5d=OECD.SDD.TPS" TargetMode="External"/><Relationship Id="rId29" Type="http://schemas.openxmlformats.org/officeDocument/2006/relationships/hyperlink" Target="https://www.oecd.org/sdd/its/releasedatesoftheoecdnewsreleaseoninternationaltradestatistics.htm" TargetMode="External"/><Relationship Id="rId41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oecd.org/content/dam/oecd/en/data/methods/OECD-G20-trade-technical-note.pdf" TargetMode="External"/><Relationship Id="rId32" Type="http://schemas.openxmlformats.org/officeDocument/2006/relationships/hyperlink" Target="https://data-explorer.oecd.org/vis?df%5bds%5d=dsDisseminateFinalDMZ&amp;df%5bid%5d=DSD_IMTS@DF_IMTS&amp;df%5bag%5d=OECD.SDD.TPS" TargetMode="External"/><Relationship Id="rId37" Type="http://schemas.openxmlformats.org/officeDocument/2006/relationships/hyperlink" Target="https://www.oecd.org/fr/sdd/stats-echanges/datesdeparutionducommuniquedepressesurlecommerceinternational.htm" TargetMode="External"/><Relationship Id="rId40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data-explorer.oecd.org/vis?df%5bds%5d=dsDisseminateFinalDMZ&amp;df%5bid%5d=DSD_BOP@DF_BOP&amp;df%5bag%5d=OECD.SDD.TPS" TargetMode="External"/><Relationship Id="rId28" Type="http://schemas.openxmlformats.org/officeDocument/2006/relationships/hyperlink" Target="mailto:stat.contact@oecd.org" TargetMode="External"/><Relationship Id="rId36" Type="http://schemas.openxmlformats.org/officeDocument/2006/relationships/hyperlink" Target="https://www.oecd.org/sdd/its/releasedatesoftheoecdnewsreleaseoninternationaltradestatistics.htm" TargetMode="External"/><Relationship Id="rId10" Type="http://schemas.openxmlformats.org/officeDocument/2006/relationships/webSettings" Target="webSettings.xml"/><Relationship Id="rId19" Type="http://schemas.openxmlformats.org/officeDocument/2006/relationships/chart" Target="charts/chart3.xml"/><Relationship Id="rId31" Type="http://schemas.openxmlformats.org/officeDocument/2006/relationships/hyperlink" Target="https://www.oecd.org/content/dam/oecd/en/data/methods/OECD-G20-trade-technical-note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hyperlink" Target="https://data-explorer.oecd.org/vis?df%5bds%5d=dsDisseminateFinalDMZ&amp;df%5bid%5d=DSD_BOP@DF_BOP&amp;df%5bag%5d=OECD.SDD.TPS" TargetMode="External"/><Relationship Id="rId27" Type="http://schemas.openxmlformats.org/officeDocument/2006/relationships/hyperlink" Target="mailto:news.contact@oecd.org" TargetMode="External"/><Relationship Id="rId30" Type="http://schemas.openxmlformats.org/officeDocument/2006/relationships/hyperlink" Target="https://www.oecd.org/fr/sdd/stats-echanges/datesdeparutionducommuniquedepressesurlecommerceinternational.htm" TargetMode="External"/><Relationship Id="rId35" Type="http://schemas.openxmlformats.org/officeDocument/2006/relationships/hyperlink" Target="mailto:stat.contact@oecd.org" TargetMode="External"/><Relationship Id="rId43" Type="http://schemas.openxmlformats.org/officeDocument/2006/relationships/theme" Target="theme/theme1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chart" Target="charts/chart1.xml"/><Relationship Id="rId25" Type="http://schemas.openxmlformats.org/officeDocument/2006/relationships/hyperlink" Target="https://data-explorer.oecd.org/vis?df%5bds%5d=dsDisseminateFinalDMZ&amp;df%5bid%5d=DSD_IMTS@DF_IMTS&amp;df%5bag%5d=OECD.SDD.TPS" TargetMode="External"/><Relationship Id="rId33" Type="http://schemas.openxmlformats.org/officeDocument/2006/relationships/hyperlink" Target="https://data-explorer.oecd.org/vis?df%5bds%5d=dsDisseminateFinalDMZ&amp;df%5bid%5d=DSD_BOP@DF_BOP&amp;df%5bag%5d=OECD.SDD.TPS" TargetMode="External"/><Relationship Id="rId38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portal.oecd.org/eshare/sdd/pc/Deliverables/SDDTPS/International%20Trade%20News%20Releases/G20%20News%20Release%20-%202025/November%2021%202025/G20%20template%202025Q3_Annual_1_Year_NewGrap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5" Type="http://schemas.openxmlformats.org/officeDocument/2006/relationships/chartUserShapes" Target="../drawings/drawing1.xml"/><Relationship Id="rId4" Type="http://schemas.openxmlformats.org/officeDocument/2006/relationships/oleObject" Target="https://portal.oecd.org/eshare/sdd/pc/Deliverables/SDDTPS/International%20Trade%20News%20Releases/G20%20News%20Release%20-%202025/November%2021%202025/G20%20template%202025Q3_Annual_1_Year_NewGraph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portal.oecd.org/eshare/sdd/pc/Deliverables/SDDTPS/International%20Trade%20News%20Releases/G20%20News%20Release%20-%202025/November%2021%202025/G20%20template%202025Q2_Annual_1_Year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27515577925448E-2"/>
          <c:y val="0.12211569352274561"/>
          <c:w val="0.93113053368778576"/>
          <c:h val="0.713544158585667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joint_charts!$J$2</c:f>
              <c:strCache>
                <c:ptCount val="1"/>
                <c:pt idx="0">
                  <c:v>China</c:v>
                </c:pt>
              </c:strCache>
            </c:strRef>
          </c:tx>
          <c:spPr>
            <a:solidFill>
              <a:srgbClr val="464E70"/>
            </a:solidFill>
            <a:ln>
              <a:noFill/>
            </a:ln>
            <a:effectLst/>
          </c:spPr>
          <c:invertIfNegative val="0"/>
          <c:cat>
            <c:multiLvlStrRef>
              <c:f>joint_charts!$A$3:$B$6</c:f>
              <c:multiLvlStrCache>
                <c:ptCount val="4"/>
                <c:lvl>
                  <c:pt idx="0">
                    <c:v>Exports</c:v>
                  </c:pt>
                  <c:pt idx="1">
                    <c:v>Imports</c:v>
                  </c:pt>
                  <c:pt idx="2">
                    <c:v>Exports</c:v>
                  </c:pt>
                  <c:pt idx="3">
                    <c:v>Imports</c:v>
                  </c:pt>
                </c:lvl>
                <c:lvl>
                  <c:pt idx="0">
                    <c:v>Merchandise</c:v>
                  </c:pt>
                  <c:pt idx="2">
                    <c:v>Services</c:v>
                  </c:pt>
                </c:lvl>
              </c:multiLvlStrCache>
            </c:multiLvlStrRef>
          </c:cat>
          <c:val>
            <c:numRef>
              <c:f>joint_charts!$J$3:$J$6</c:f>
              <c:numCache>
                <c:formatCode>General</c:formatCode>
                <c:ptCount val="4"/>
                <c:pt idx="0">
                  <c:v>-0.68515654315141405</c:v>
                </c:pt>
                <c:pt idx="1">
                  <c:v>3.8077733653718271</c:v>
                </c:pt>
                <c:pt idx="2">
                  <c:v>6.212582093055568</c:v>
                </c:pt>
                <c:pt idx="3">
                  <c:v>1.1114421383367035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E2-4919-A8BF-2E867B1CD511}"/>
            </c:ext>
          </c:extLst>
        </c:ser>
        <c:ser>
          <c:idx val="1"/>
          <c:order val="1"/>
          <c:tx>
            <c:strRef>
              <c:f>joint_charts!$K$2</c:f>
              <c:strCache>
                <c:ptCount val="1"/>
                <c:pt idx="0">
                  <c:v>France</c:v>
                </c:pt>
              </c:strCache>
            </c:strRef>
          </c:tx>
          <c:spPr>
            <a:solidFill>
              <a:srgbClr val="46AEA7"/>
            </a:solidFill>
            <a:ln>
              <a:noFill/>
            </a:ln>
            <a:effectLst/>
          </c:spPr>
          <c:invertIfNegative val="0"/>
          <c:cat>
            <c:multiLvlStrRef>
              <c:f>joint_charts!$A$3:$B$6</c:f>
              <c:multiLvlStrCache>
                <c:ptCount val="4"/>
                <c:lvl>
                  <c:pt idx="0">
                    <c:v>Exports</c:v>
                  </c:pt>
                  <c:pt idx="1">
                    <c:v>Imports</c:v>
                  </c:pt>
                  <c:pt idx="2">
                    <c:v>Exports</c:v>
                  </c:pt>
                  <c:pt idx="3">
                    <c:v>Imports</c:v>
                  </c:pt>
                </c:lvl>
                <c:lvl>
                  <c:pt idx="0">
                    <c:v>Merchandise</c:v>
                  </c:pt>
                  <c:pt idx="2">
                    <c:v>Services</c:v>
                  </c:pt>
                </c:lvl>
              </c:multiLvlStrCache>
            </c:multiLvlStrRef>
          </c:cat>
          <c:val>
            <c:numRef>
              <c:f>joint_charts!$K$3:$K$6</c:f>
              <c:numCache>
                <c:formatCode>General</c:formatCode>
                <c:ptCount val="4"/>
                <c:pt idx="0">
                  <c:v>6.4747406448159985</c:v>
                </c:pt>
                <c:pt idx="1">
                  <c:v>1.9604141242050412</c:v>
                </c:pt>
                <c:pt idx="2">
                  <c:v>3.5812176622220546</c:v>
                </c:pt>
                <c:pt idx="3">
                  <c:v>5.2281271754650724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E2-4919-A8BF-2E867B1CD511}"/>
            </c:ext>
          </c:extLst>
        </c:ser>
        <c:ser>
          <c:idx val="2"/>
          <c:order val="2"/>
          <c:tx>
            <c:strRef>
              <c:f>joint_charts!$L$2</c:f>
              <c:strCache>
                <c:ptCount val="1"/>
                <c:pt idx="0">
                  <c:v>Germany</c:v>
                </c:pt>
              </c:strCache>
            </c:strRef>
          </c:tx>
          <c:spPr>
            <a:solidFill>
              <a:srgbClr val="ED672D"/>
            </a:solidFill>
            <a:ln>
              <a:noFill/>
            </a:ln>
            <a:effectLst/>
          </c:spPr>
          <c:invertIfNegative val="0"/>
          <c:cat>
            <c:multiLvlStrRef>
              <c:f>joint_charts!$A$3:$B$6</c:f>
              <c:multiLvlStrCache>
                <c:ptCount val="4"/>
                <c:lvl>
                  <c:pt idx="0">
                    <c:v>Exports</c:v>
                  </c:pt>
                  <c:pt idx="1">
                    <c:v>Imports</c:v>
                  </c:pt>
                  <c:pt idx="2">
                    <c:v>Exports</c:v>
                  </c:pt>
                  <c:pt idx="3">
                    <c:v>Imports</c:v>
                  </c:pt>
                </c:lvl>
                <c:lvl>
                  <c:pt idx="0">
                    <c:v>Merchandise</c:v>
                  </c:pt>
                  <c:pt idx="2">
                    <c:v>Services</c:v>
                  </c:pt>
                </c:lvl>
              </c:multiLvlStrCache>
            </c:multiLvlStrRef>
          </c:cat>
          <c:val>
            <c:numRef>
              <c:f>joint_charts!$L$3:$L$6</c:f>
              <c:numCache>
                <c:formatCode>General</c:formatCode>
                <c:ptCount val="4"/>
                <c:pt idx="0">
                  <c:v>2.8301807698347252</c:v>
                </c:pt>
                <c:pt idx="1">
                  <c:v>3.7299001106203558</c:v>
                </c:pt>
                <c:pt idx="2">
                  <c:v>1.0413283738147963</c:v>
                </c:pt>
                <c:pt idx="3">
                  <c:v>-0.65105117009089641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E2-4919-A8BF-2E867B1CD511}"/>
            </c:ext>
          </c:extLst>
        </c:ser>
        <c:ser>
          <c:idx val="3"/>
          <c:order val="3"/>
          <c:tx>
            <c:strRef>
              <c:f>joint_charts!$M$2</c:f>
              <c:strCache>
                <c:ptCount val="1"/>
                <c:pt idx="0">
                  <c:v>Italy</c:v>
                </c:pt>
              </c:strCache>
            </c:strRef>
          </c:tx>
          <c:spPr>
            <a:solidFill>
              <a:srgbClr val="3A8415"/>
            </a:solidFill>
            <a:ln>
              <a:noFill/>
            </a:ln>
            <a:effectLst/>
          </c:spPr>
          <c:invertIfNegative val="0"/>
          <c:cat>
            <c:multiLvlStrRef>
              <c:f>joint_charts!$A$3:$B$6</c:f>
              <c:multiLvlStrCache>
                <c:ptCount val="4"/>
                <c:lvl>
                  <c:pt idx="0">
                    <c:v>Exports</c:v>
                  </c:pt>
                  <c:pt idx="1">
                    <c:v>Imports</c:v>
                  </c:pt>
                  <c:pt idx="2">
                    <c:v>Exports</c:v>
                  </c:pt>
                  <c:pt idx="3">
                    <c:v>Imports</c:v>
                  </c:pt>
                </c:lvl>
                <c:lvl>
                  <c:pt idx="0">
                    <c:v>Merchandise</c:v>
                  </c:pt>
                  <c:pt idx="2">
                    <c:v>Services</c:v>
                  </c:pt>
                </c:lvl>
              </c:multiLvlStrCache>
            </c:multiLvlStrRef>
          </c:cat>
          <c:val>
            <c:numRef>
              <c:f>joint_charts!$M$3:$M$6</c:f>
              <c:numCache>
                <c:formatCode>General</c:formatCode>
                <c:ptCount val="4"/>
                <c:pt idx="0">
                  <c:v>4.5230232828249219</c:v>
                </c:pt>
                <c:pt idx="1">
                  <c:v>3.7149765291016932</c:v>
                </c:pt>
                <c:pt idx="2">
                  <c:v>0.18253260763241599</c:v>
                </c:pt>
                <c:pt idx="3">
                  <c:v>3.01566772251828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5E2-4919-A8BF-2E867B1CD511}"/>
            </c:ext>
          </c:extLst>
        </c:ser>
        <c:ser>
          <c:idx val="4"/>
          <c:order val="4"/>
          <c:tx>
            <c:strRef>
              <c:f>joint_charts!$N$2</c:f>
              <c:strCache>
                <c:ptCount val="1"/>
                <c:pt idx="0">
                  <c:v>Japan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multiLvlStrRef>
              <c:f>joint_charts!$A$3:$B$6</c:f>
              <c:multiLvlStrCache>
                <c:ptCount val="4"/>
                <c:lvl>
                  <c:pt idx="0">
                    <c:v>Exports</c:v>
                  </c:pt>
                  <c:pt idx="1">
                    <c:v>Imports</c:v>
                  </c:pt>
                  <c:pt idx="2">
                    <c:v>Exports</c:v>
                  </c:pt>
                  <c:pt idx="3">
                    <c:v>Imports</c:v>
                  </c:pt>
                </c:lvl>
                <c:lvl>
                  <c:pt idx="0">
                    <c:v>Merchandise</c:v>
                  </c:pt>
                  <c:pt idx="2">
                    <c:v>Services</c:v>
                  </c:pt>
                </c:lvl>
              </c:multiLvlStrCache>
            </c:multiLvlStrRef>
          </c:cat>
          <c:val>
            <c:numRef>
              <c:f>joint_charts!$N$3:$N$6</c:f>
              <c:numCache>
                <c:formatCode>General</c:formatCode>
                <c:ptCount val="4"/>
                <c:pt idx="0">
                  <c:v>-1.5823008281440676</c:v>
                </c:pt>
                <c:pt idx="1">
                  <c:v>-1.9760029413744689</c:v>
                </c:pt>
                <c:pt idx="2">
                  <c:v>-5.8437269325235208</c:v>
                </c:pt>
                <c:pt idx="3">
                  <c:v>0.21102538438637006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E2-4919-A8BF-2E867B1CD511}"/>
            </c:ext>
          </c:extLst>
        </c:ser>
        <c:ser>
          <c:idx val="5"/>
          <c:order val="5"/>
          <c:tx>
            <c:strRef>
              <c:f>joint_charts!$O$2</c:f>
              <c:strCache>
                <c:ptCount val="1"/>
                <c:pt idx="0">
                  <c:v>Korea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multiLvlStrRef>
              <c:f>joint_charts!$A$3:$B$6</c:f>
              <c:multiLvlStrCache>
                <c:ptCount val="4"/>
                <c:lvl>
                  <c:pt idx="0">
                    <c:v>Exports</c:v>
                  </c:pt>
                  <c:pt idx="1">
                    <c:v>Imports</c:v>
                  </c:pt>
                  <c:pt idx="2">
                    <c:v>Exports</c:v>
                  </c:pt>
                  <c:pt idx="3">
                    <c:v>Imports</c:v>
                  </c:pt>
                </c:lvl>
                <c:lvl>
                  <c:pt idx="0">
                    <c:v>Merchandise</c:v>
                  </c:pt>
                  <c:pt idx="2">
                    <c:v>Services</c:v>
                  </c:pt>
                </c:lvl>
              </c:multiLvlStrCache>
            </c:multiLvlStrRef>
          </c:cat>
          <c:val>
            <c:numRef>
              <c:f>joint_charts!$O$3:$O$6</c:f>
              <c:numCache>
                <c:formatCode>General</c:formatCode>
                <c:ptCount val="4"/>
                <c:pt idx="0">
                  <c:v>4.8318250210016362</c:v>
                </c:pt>
                <c:pt idx="1">
                  <c:v>4.8503750584823928</c:v>
                </c:pt>
                <c:pt idx="2">
                  <c:v>6.0558077732255526</c:v>
                </c:pt>
                <c:pt idx="3">
                  <c:v>2.1307827392522585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5E2-4919-A8BF-2E867B1CD511}"/>
            </c:ext>
          </c:extLst>
        </c:ser>
        <c:ser>
          <c:idx val="6"/>
          <c:order val="6"/>
          <c:tx>
            <c:strRef>
              <c:f>joint_charts!$P$2</c:f>
              <c:strCache>
                <c:ptCount val="1"/>
                <c:pt idx="0">
                  <c:v>United Kingdom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multiLvlStrRef>
              <c:f>joint_charts!$A$3:$B$6</c:f>
              <c:multiLvlStrCache>
                <c:ptCount val="4"/>
                <c:lvl>
                  <c:pt idx="0">
                    <c:v>Exports</c:v>
                  </c:pt>
                  <c:pt idx="1">
                    <c:v>Imports</c:v>
                  </c:pt>
                  <c:pt idx="2">
                    <c:v>Exports</c:v>
                  </c:pt>
                  <c:pt idx="3">
                    <c:v>Imports</c:v>
                  </c:pt>
                </c:lvl>
                <c:lvl>
                  <c:pt idx="0">
                    <c:v>Merchandise</c:v>
                  </c:pt>
                  <c:pt idx="2">
                    <c:v>Services</c:v>
                  </c:pt>
                </c:lvl>
              </c:multiLvlStrCache>
            </c:multiLvlStrRef>
          </c:cat>
          <c:val>
            <c:numRef>
              <c:f>joint_charts!$P$3:$P$6</c:f>
              <c:numCache>
                <c:formatCode>General</c:formatCode>
                <c:ptCount val="4"/>
                <c:pt idx="0">
                  <c:v>-0.29054542190524024</c:v>
                </c:pt>
                <c:pt idx="1">
                  <c:v>2.1089425453255455</c:v>
                </c:pt>
                <c:pt idx="2">
                  <c:v>1.1448357528511168</c:v>
                </c:pt>
                <c:pt idx="3">
                  <c:v>1.0501073519930453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5E2-4919-A8BF-2E867B1CD5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9007016"/>
        <c:axId val="669007344"/>
      </c:barChart>
      <c:catAx>
        <c:axId val="669007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Yu Gothic Medium" panose="020B0500000000000000" pitchFamily="34" charset="-128"/>
                <a:ea typeface="Yu Gothic Medium" panose="020B0500000000000000" pitchFamily="34" charset="-128"/>
                <a:cs typeface="+mn-cs"/>
              </a:defRPr>
            </a:pPr>
            <a:endParaRPr lang="en-US"/>
          </a:p>
        </c:txPr>
        <c:crossAx val="669007344"/>
        <c:crosses val="autoZero"/>
        <c:auto val="1"/>
        <c:lblAlgn val="ctr"/>
        <c:lblOffset val="100"/>
        <c:noMultiLvlLbl val="0"/>
      </c:catAx>
      <c:valAx>
        <c:axId val="669007344"/>
        <c:scaling>
          <c:orientation val="minMax"/>
          <c:max val="7"/>
          <c:min val="-6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%</a:t>
                </a:r>
              </a:p>
            </c:rich>
          </c:tx>
          <c:layout>
            <c:manualLayout>
              <c:xMode val="edge"/>
              <c:yMode val="edge"/>
              <c:x val="2.4710422707127335E-2"/>
              <c:y val="3.4002260134149899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wordArtVert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Yu Gothic Medium" panose="020B0500000000000000" pitchFamily="34" charset="-128"/>
                <a:ea typeface="Yu Gothic Medium" panose="020B0500000000000000" pitchFamily="34" charset="-128"/>
                <a:cs typeface="+mn-cs"/>
              </a:defRPr>
            </a:pPr>
            <a:endParaRPr lang="en-US"/>
          </a:p>
        </c:txPr>
        <c:crossAx val="669007016"/>
        <c:crosses val="autoZero"/>
        <c:crossBetween val="between"/>
        <c:majorUnit val="1"/>
      </c:valAx>
      <c:spPr>
        <a:noFill/>
        <a:ln>
          <a:solidFill>
            <a:schemeClr val="bg1">
              <a:lumMod val="75000"/>
            </a:schemeClr>
          </a:solidFill>
        </a:ln>
        <a:effectLst/>
      </c:spPr>
    </c:plotArea>
    <c:legend>
      <c:legendPos val="t"/>
      <c:layout>
        <c:manualLayout>
          <c:xMode val="edge"/>
          <c:yMode val="edge"/>
          <c:x val="1.568444381048005E-2"/>
          <c:y val="4.3656697382045912E-3"/>
          <c:w val="0.98431555618951994"/>
          <c:h val="8.20442571708667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Yu Gothic Medium" panose="020B0500000000000000" pitchFamily="34" charset="-128"/>
              <a:ea typeface="Yu Gothic Medium" panose="020B0500000000000000" pitchFamily="34" charset="-128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266975308641973E-2"/>
          <c:y val="0.13492777777777776"/>
          <c:w val="0.92350092592592592"/>
          <c:h val="0.6462534188034188"/>
        </c:manualLayout>
      </c:layout>
      <c:lineChart>
        <c:grouping val="standard"/>
        <c:varyColors val="0"/>
        <c:ser>
          <c:idx val="1"/>
          <c:order val="0"/>
          <c:tx>
            <c:strRef>
              <c:f>'merchandise charts'!$B$17</c:f>
              <c:strCache>
                <c:ptCount val="1"/>
                <c:pt idx="0">
                  <c:v>G20 Exports</c:v>
                </c:pt>
              </c:strCache>
            </c:strRef>
          </c:tx>
          <c:spPr>
            <a:ln w="15875" cap="rnd">
              <a:solidFill>
                <a:srgbClr val="464E70"/>
              </a:solidFill>
              <a:round/>
            </a:ln>
            <a:effectLst/>
          </c:spPr>
          <c:marker>
            <c:symbol val="none"/>
          </c:marker>
          <c:cat>
            <c:strRef>
              <c:f>'merchandise charts'!$T$16:$BT$16</c:f>
              <c:strCache>
                <c:ptCount val="53"/>
                <c:pt idx="0">
                  <c:v>2012-Q2</c:v>
                </c:pt>
                <c:pt idx="4">
                  <c:v>2013-Q2</c:v>
                </c:pt>
                <c:pt idx="8">
                  <c:v>2014-Q2</c:v>
                </c:pt>
                <c:pt idx="12">
                  <c:v>2015-Q2</c:v>
                </c:pt>
                <c:pt idx="16">
                  <c:v>2016-Q2</c:v>
                </c:pt>
                <c:pt idx="20">
                  <c:v>2017-Q2</c:v>
                </c:pt>
                <c:pt idx="24">
                  <c:v>2018-Q2</c:v>
                </c:pt>
                <c:pt idx="28">
                  <c:v>2019-Q2</c:v>
                </c:pt>
                <c:pt idx="32">
                  <c:v>2020-Q2</c:v>
                </c:pt>
                <c:pt idx="36">
                  <c:v>2021-Q2</c:v>
                </c:pt>
                <c:pt idx="40">
                  <c:v>2022-Q2</c:v>
                </c:pt>
                <c:pt idx="44">
                  <c:v>2023-Q2</c:v>
                </c:pt>
                <c:pt idx="48">
                  <c:v>2024-Q2</c:v>
                </c:pt>
                <c:pt idx="52">
                  <c:v>2025-Q2</c:v>
                </c:pt>
              </c:strCache>
            </c:strRef>
          </c:cat>
          <c:val>
            <c:numRef>
              <c:f>'merchandise charts'!$T$17:$BT$17</c:f>
              <c:numCache>
                <c:formatCode>0.0</c:formatCode>
                <c:ptCount val="53"/>
                <c:pt idx="0">
                  <c:v>3461.933</c:v>
                </c:pt>
                <c:pt idx="1">
                  <c:v>3419.22</c:v>
                </c:pt>
                <c:pt idx="2">
                  <c:v>3451.4380000000001</c:v>
                </c:pt>
                <c:pt idx="3">
                  <c:v>3539.5010000000002</c:v>
                </c:pt>
                <c:pt idx="4">
                  <c:v>3474.2959999999998</c:v>
                </c:pt>
                <c:pt idx="5">
                  <c:v>3509.7359999999999</c:v>
                </c:pt>
                <c:pt idx="6">
                  <c:v>3595.7719999999999</c:v>
                </c:pt>
                <c:pt idx="7">
                  <c:v>3599.567</c:v>
                </c:pt>
                <c:pt idx="8">
                  <c:v>3634.83</c:v>
                </c:pt>
                <c:pt idx="9">
                  <c:v>3633.23</c:v>
                </c:pt>
                <c:pt idx="10">
                  <c:v>3484.375</c:v>
                </c:pt>
                <c:pt idx="11">
                  <c:v>3244.183</c:v>
                </c:pt>
                <c:pt idx="12">
                  <c:v>3200.134</c:v>
                </c:pt>
                <c:pt idx="13">
                  <c:v>3158.1729999999998</c:v>
                </c:pt>
                <c:pt idx="14">
                  <c:v>3092.3760000000002</c:v>
                </c:pt>
                <c:pt idx="15">
                  <c:v>2982.828</c:v>
                </c:pt>
                <c:pt idx="16">
                  <c:v>3076.8150000000001</c:v>
                </c:pt>
                <c:pt idx="17">
                  <c:v>3109.7779999999998</c:v>
                </c:pt>
                <c:pt idx="18">
                  <c:v>3147.6990000000001</c:v>
                </c:pt>
                <c:pt idx="19">
                  <c:v>3243.848</c:v>
                </c:pt>
                <c:pt idx="20">
                  <c:v>3325.4769999999999</c:v>
                </c:pt>
                <c:pt idx="21">
                  <c:v>3460.7</c:v>
                </c:pt>
                <c:pt idx="22">
                  <c:v>3579.3870000000002</c:v>
                </c:pt>
                <c:pt idx="23">
                  <c:v>3749.2869999999998</c:v>
                </c:pt>
                <c:pt idx="24">
                  <c:v>3748.32</c:v>
                </c:pt>
                <c:pt idx="25">
                  <c:v>3734.5830000000001</c:v>
                </c:pt>
                <c:pt idx="26">
                  <c:v>3701.24</c:v>
                </c:pt>
                <c:pt idx="27">
                  <c:v>3674.2069999999999</c:v>
                </c:pt>
                <c:pt idx="28">
                  <c:v>3647.0740000000001</c:v>
                </c:pt>
                <c:pt idx="29">
                  <c:v>3619.2040000000002</c:v>
                </c:pt>
                <c:pt idx="30">
                  <c:v>3617.3589999999999</c:v>
                </c:pt>
                <c:pt idx="31">
                  <c:v>3390.8960000000002</c:v>
                </c:pt>
                <c:pt idx="32">
                  <c:v>2852.7829999999999</c:v>
                </c:pt>
                <c:pt idx="33">
                  <c:v>3474.3530000000001</c:v>
                </c:pt>
                <c:pt idx="34">
                  <c:v>3761.636</c:v>
                </c:pt>
                <c:pt idx="35">
                  <c:v>3999.857</c:v>
                </c:pt>
                <c:pt idx="36">
                  <c:v>4199.1350000000002</c:v>
                </c:pt>
                <c:pt idx="37">
                  <c:v>4286.6459999999997</c:v>
                </c:pt>
                <c:pt idx="38">
                  <c:v>4501.67</c:v>
                </c:pt>
                <c:pt idx="39">
                  <c:v>4669.8890000000001</c:v>
                </c:pt>
                <c:pt idx="40">
                  <c:v>4805.7470000000003</c:v>
                </c:pt>
                <c:pt idx="41">
                  <c:v>4766.0259999999998</c:v>
                </c:pt>
                <c:pt idx="42">
                  <c:v>4600.6090000000004</c:v>
                </c:pt>
                <c:pt idx="43">
                  <c:v>4657.0039999999999</c:v>
                </c:pt>
                <c:pt idx="44">
                  <c:v>4546.4679999999998</c:v>
                </c:pt>
                <c:pt idx="45">
                  <c:v>4519.0929999999998</c:v>
                </c:pt>
                <c:pt idx="46">
                  <c:v>4510.7129999999997</c:v>
                </c:pt>
                <c:pt idx="47">
                  <c:v>4566.6279999999997</c:v>
                </c:pt>
                <c:pt idx="48">
                  <c:v>4591.0020000000004</c:v>
                </c:pt>
                <c:pt idx="49">
                  <c:v>4626.9470000000001</c:v>
                </c:pt>
                <c:pt idx="50">
                  <c:v>4606.5010000000002</c:v>
                </c:pt>
                <c:pt idx="51">
                  <c:v>4695.4120000000003</c:v>
                </c:pt>
                <c:pt idx="52">
                  <c:v>4816.75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6AE-4595-816D-60B39616D463}"/>
            </c:ext>
          </c:extLst>
        </c:ser>
        <c:ser>
          <c:idx val="2"/>
          <c:order val="1"/>
          <c:tx>
            <c:strRef>
              <c:f>'merchandise charts'!$B$18</c:f>
              <c:strCache>
                <c:ptCount val="1"/>
                <c:pt idx="0">
                  <c:v>G20 Imports </c:v>
                </c:pt>
              </c:strCache>
            </c:strRef>
          </c:tx>
          <c:spPr>
            <a:ln w="15875" cap="rnd">
              <a:solidFill>
                <a:srgbClr val="46AEA7"/>
              </a:solidFill>
              <a:round/>
            </a:ln>
            <a:effectLst/>
          </c:spPr>
          <c:marker>
            <c:symbol val="none"/>
          </c:marker>
          <c:cat>
            <c:strRef>
              <c:f>'merchandise charts'!$T$16:$BT$16</c:f>
              <c:strCache>
                <c:ptCount val="53"/>
                <c:pt idx="0">
                  <c:v>2012-Q2</c:v>
                </c:pt>
                <c:pt idx="4">
                  <c:v>2013-Q2</c:v>
                </c:pt>
                <c:pt idx="8">
                  <c:v>2014-Q2</c:v>
                </c:pt>
                <c:pt idx="12">
                  <c:v>2015-Q2</c:v>
                </c:pt>
                <c:pt idx="16">
                  <c:v>2016-Q2</c:v>
                </c:pt>
                <c:pt idx="20">
                  <c:v>2017-Q2</c:v>
                </c:pt>
                <c:pt idx="24">
                  <c:v>2018-Q2</c:v>
                </c:pt>
                <c:pt idx="28">
                  <c:v>2019-Q2</c:v>
                </c:pt>
                <c:pt idx="32">
                  <c:v>2020-Q2</c:v>
                </c:pt>
                <c:pt idx="36">
                  <c:v>2021-Q2</c:v>
                </c:pt>
                <c:pt idx="40">
                  <c:v>2022-Q2</c:v>
                </c:pt>
                <c:pt idx="44">
                  <c:v>2023-Q2</c:v>
                </c:pt>
                <c:pt idx="48">
                  <c:v>2024-Q2</c:v>
                </c:pt>
                <c:pt idx="52">
                  <c:v>2025-Q2</c:v>
                </c:pt>
              </c:strCache>
            </c:strRef>
          </c:cat>
          <c:val>
            <c:numRef>
              <c:f>'merchandise charts'!$T$18:$BT$18</c:f>
              <c:numCache>
                <c:formatCode>0.0</c:formatCode>
                <c:ptCount val="53"/>
                <c:pt idx="0">
                  <c:v>3567.0309999999999</c:v>
                </c:pt>
                <c:pt idx="1">
                  <c:v>3513.201</c:v>
                </c:pt>
                <c:pt idx="2">
                  <c:v>3543.152</c:v>
                </c:pt>
                <c:pt idx="3">
                  <c:v>3610.982</c:v>
                </c:pt>
                <c:pt idx="4">
                  <c:v>3563.0540000000001</c:v>
                </c:pt>
                <c:pt idx="5">
                  <c:v>3582.712</c:v>
                </c:pt>
                <c:pt idx="6">
                  <c:v>3628.0390000000002</c:v>
                </c:pt>
                <c:pt idx="7">
                  <c:v>3702.6680000000001</c:v>
                </c:pt>
                <c:pt idx="8">
                  <c:v>3694.3620000000001</c:v>
                </c:pt>
                <c:pt idx="9">
                  <c:v>3656.72</c:v>
                </c:pt>
                <c:pt idx="10">
                  <c:v>3486.8789999999999</c:v>
                </c:pt>
                <c:pt idx="11">
                  <c:v>3225.9839999999999</c:v>
                </c:pt>
                <c:pt idx="12">
                  <c:v>3202.8409999999999</c:v>
                </c:pt>
                <c:pt idx="13">
                  <c:v>3162.4</c:v>
                </c:pt>
                <c:pt idx="14">
                  <c:v>3077.386</c:v>
                </c:pt>
                <c:pt idx="15">
                  <c:v>2972.8029999999999</c:v>
                </c:pt>
                <c:pt idx="16">
                  <c:v>3049.788</c:v>
                </c:pt>
                <c:pt idx="17">
                  <c:v>3092.105</c:v>
                </c:pt>
                <c:pt idx="18">
                  <c:v>3135.498</c:v>
                </c:pt>
                <c:pt idx="19">
                  <c:v>3265.8339999999998</c:v>
                </c:pt>
                <c:pt idx="20">
                  <c:v>3350.9839999999999</c:v>
                </c:pt>
                <c:pt idx="21">
                  <c:v>3491.8710000000001</c:v>
                </c:pt>
                <c:pt idx="22">
                  <c:v>3615.643</c:v>
                </c:pt>
                <c:pt idx="23">
                  <c:v>3807.5039999999999</c:v>
                </c:pt>
                <c:pt idx="24">
                  <c:v>3796.395</c:v>
                </c:pt>
                <c:pt idx="25">
                  <c:v>3819.7849999999999</c:v>
                </c:pt>
                <c:pt idx="26">
                  <c:v>3747.029</c:v>
                </c:pt>
                <c:pt idx="27">
                  <c:v>3719.0419999999999</c:v>
                </c:pt>
                <c:pt idx="28">
                  <c:v>3708.1559999999999</c:v>
                </c:pt>
                <c:pt idx="29">
                  <c:v>3648.75</c:v>
                </c:pt>
                <c:pt idx="30">
                  <c:v>3613.12</c:v>
                </c:pt>
                <c:pt idx="31">
                  <c:v>3481.71</c:v>
                </c:pt>
                <c:pt idx="32">
                  <c:v>2913.4189999999999</c:v>
                </c:pt>
                <c:pt idx="33">
                  <c:v>3441.1179999999999</c:v>
                </c:pt>
                <c:pt idx="34">
                  <c:v>3711.4029999999998</c:v>
                </c:pt>
                <c:pt idx="35">
                  <c:v>4006.6840000000002</c:v>
                </c:pt>
                <c:pt idx="36">
                  <c:v>4229.7489999999998</c:v>
                </c:pt>
                <c:pt idx="37">
                  <c:v>4310.3119999999999</c:v>
                </c:pt>
                <c:pt idx="38">
                  <c:v>4590.3810000000003</c:v>
                </c:pt>
                <c:pt idx="39">
                  <c:v>4872.9170000000004</c:v>
                </c:pt>
                <c:pt idx="40">
                  <c:v>4976.0370000000003</c:v>
                </c:pt>
                <c:pt idx="41">
                  <c:v>4953.643</c:v>
                </c:pt>
                <c:pt idx="42">
                  <c:v>4786.2240000000002</c:v>
                </c:pt>
                <c:pt idx="43">
                  <c:v>4748.2470000000003</c:v>
                </c:pt>
                <c:pt idx="44">
                  <c:v>4653.5569999999998</c:v>
                </c:pt>
                <c:pt idx="45">
                  <c:v>4571.3220000000001</c:v>
                </c:pt>
                <c:pt idx="46">
                  <c:v>4569.9759999999997</c:v>
                </c:pt>
                <c:pt idx="47">
                  <c:v>4557.0240000000003</c:v>
                </c:pt>
                <c:pt idx="48">
                  <c:v>4626.7579999999998</c:v>
                </c:pt>
                <c:pt idx="49">
                  <c:v>4719.2709999999997</c:v>
                </c:pt>
                <c:pt idx="50">
                  <c:v>4677.2749999999996</c:v>
                </c:pt>
                <c:pt idx="51">
                  <c:v>4829.3680000000004</c:v>
                </c:pt>
                <c:pt idx="52">
                  <c:v>4829.5730000000003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595-816D-60B39616D4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5717664"/>
        <c:axId val="715714056"/>
        <c:extLst/>
      </c:lineChart>
      <c:catAx>
        <c:axId val="715717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306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Yu Gothic Medium" panose="020B0500000000000000" pitchFamily="34" charset="-128"/>
                <a:ea typeface="Yu Gothic Medium" panose="020B0500000000000000" pitchFamily="34" charset="-128"/>
                <a:cs typeface="+mn-cs"/>
              </a:defRPr>
            </a:pPr>
            <a:endParaRPr lang="en-US"/>
          </a:p>
        </c:txPr>
        <c:crossAx val="715714056"/>
        <c:crosses val="autoZero"/>
        <c:auto val="1"/>
        <c:lblAlgn val="ctr"/>
        <c:lblOffset val="100"/>
        <c:noMultiLvlLbl val="0"/>
      </c:catAx>
      <c:valAx>
        <c:axId val="715714056"/>
        <c:scaling>
          <c:orientation val="minMax"/>
          <c:min val="20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Yu Gothic Medium" panose="020B0500000000000000" pitchFamily="34" charset="-128"/>
                <a:ea typeface="Yu Gothic Medium" panose="020B0500000000000000" pitchFamily="34" charset="-128"/>
                <a:cs typeface="+mn-cs"/>
              </a:defRPr>
            </a:pPr>
            <a:endParaRPr lang="en-US"/>
          </a:p>
        </c:txPr>
        <c:crossAx val="715717664"/>
        <c:crosses val="autoZero"/>
        <c:crossBetween val="between"/>
      </c:valAx>
      <c:spPr>
        <a:solidFill>
          <a:sysClr val="window" lastClr="FFFFFF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1986111111111325E-3"/>
          <c:y val="1.4111111111111111E-2"/>
          <c:w val="0.99652616497974533"/>
          <c:h val="0.125606244917283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Yu Gothic Medium" panose="020B0500000000000000" pitchFamily="34" charset="-128"/>
              <a:ea typeface="Yu Gothic Medium" panose="020B0500000000000000" pitchFamily="34" charset="-128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  <c:userShapes r:id="rId5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9422261818152564E-2"/>
          <c:y val="0.14198318104011631"/>
          <c:w val="0.92350092592592592"/>
          <c:h val="0.6462534188034188"/>
        </c:manualLayout>
      </c:layout>
      <c:lineChart>
        <c:grouping val="standard"/>
        <c:varyColors val="0"/>
        <c:ser>
          <c:idx val="1"/>
          <c:order val="0"/>
          <c:tx>
            <c:strRef>
              <c:f>'services charts'!$B$17</c:f>
              <c:strCache>
                <c:ptCount val="1"/>
                <c:pt idx="0">
                  <c:v>G20 Exports</c:v>
                </c:pt>
              </c:strCache>
            </c:strRef>
          </c:tx>
          <c:spPr>
            <a:ln w="15875" cap="rnd">
              <a:solidFill>
                <a:srgbClr val="464E70"/>
              </a:solidFill>
              <a:round/>
            </a:ln>
            <a:effectLst/>
          </c:spPr>
          <c:marker>
            <c:symbol val="none"/>
          </c:marker>
          <c:cat>
            <c:strRef>
              <c:f>'services charts'!$R$16:$BR$16</c:f>
              <c:strCache>
                <c:ptCount val="53"/>
                <c:pt idx="0">
                  <c:v>2012-Q2</c:v>
                </c:pt>
                <c:pt idx="4">
                  <c:v>2013-Q2</c:v>
                </c:pt>
                <c:pt idx="8">
                  <c:v>2014-Q2</c:v>
                </c:pt>
                <c:pt idx="12">
                  <c:v>2015-Q2</c:v>
                </c:pt>
                <c:pt idx="16">
                  <c:v>2016-Q2</c:v>
                </c:pt>
                <c:pt idx="20">
                  <c:v>2017-Q2</c:v>
                </c:pt>
                <c:pt idx="24">
                  <c:v>2018-Q2</c:v>
                </c:pt>
                <c:pt idx="28">
                  <c:v>2019-Q2</c:v>
                </c:pt>
                <c:pt idx="32">
                  <c:v>2020-Q2</c:v>
                </c:pt>
                <c:pt idx="36">
                  <c:v>2021-Q2</c:v>
                </c:pt>
                <c:pt idx="40">
                  <c:v>2022-Q2</c:v>
                </c:pt>
                <c:pt idx="44">
                  <c:v>2023-Q2</c:v>
                </c:pt>
                <c:pt idx="48">
                  <c:v>2024-Q2</c:v>
                </c:pt>
                <c:pt idx="52">
                  <c:v>2025-Q2</c:v>
                </c:pt>
              </c:strCache>
            </c:strRef>
          </c:cat>
          <c:val>
            <c:numRef>
              <c:f>'services charts'!$R$17:$BR$17</c:f>
              <c:numCache>
                <c:formatCode>0.0</c:formatCode>
                <c:ptCount val="53"/>
                <c:pt idx="0">
                  <c:v>901.5018</c:v>
                </c:pt>
                <c:pt idx="1">
                  <c:v>901.50890000000004</c:v>
                </c:pt>
                <c:pt idx="2">
                  <c:v>921.63310000000001</c:v>
                </c:pt>
                <c:pt idx="3">
                  <c:v>943.1721</c:v>
                </c:pt>
                <c:pt idx="4">
                  <c:v>948.79140000000007</c:v>
                </c:pt>
                <c:pt idx="5">
                  <c:v>967.01440000000002</c:v>
                </c:pt>
                <c:pt idx="6">
                  <c:v>988.16640000000007</c:v>
                </c:pt>
                <c:pt idx="7">
                  <c:v>1014.8</c:v>
                </c:pt>
                <c:pt idx="8">
                  <c:v>1045.4839999999999</c:v>
                </c:pt>
                <c:pt idx="9">
                  <c:v>1039.0509999999999</c:v>
                </c:pt>
                <c:pt idx="10">
                  <c:v>1017.417</c:v>
                </c:pt>
                <c:pt idx="11">
                  <c:v>980.31490000000008</c:v>
                </c:pt>
                <c:pt idx="12">
                  <c:v>974.7238000000001</c:v>
                </c:pt>
                <c:pt idx="13">
                  <c:v>974.53039999999999</c:v>
                </c:pt>
                <c:pt idx="14">
                  <c:v>977.57809999999995</c:v>
                </c:pt>
                <c:pt idx="15">
                  <c:v>972.73830000000009</c:v>
                </c:pt>
                <c:pt idx="16">
                  <c:v>996.72619999999995</c:v>
                </c:pt>
                <c:pt idx="17">
                  <c:v>1002.31</c:v>
                </c:pt>
                <c:pt idx="18">
                  <c:v>995.00630000000001</c:v>
                </c:pt>
                <c:pt idx="19">
                  <c:v>1022.566</c:v>
                </c:pt>
                <c:pt idx="20">
                  <c:v>1071.2090000000001</c:v>
                </c:pt>
                <c:pt idx="21">
                  <c:v>1127.576</c:v>
                </c:pt>
                <c:pt idx="22">
                  <c:v>1155.4559999999999</c:v>
                </c:pt>
                <c:pt idx="23">
                  <c:v>1203.077</c:v>
                </c:pt>
                <c:pt idx="24">
                  <c:v>1188.134</c:v>
                </c:pt>
                <c:pt idx="25">
                  <c:v>1186.623</c:v>
                </c:pt>
                <c:pt idx="26">
                  <c:v>1200.152</c:v>
                </c:pt>
                <c:pt idx="27">
                  <c:v>1212.7809999999999</c:v>
                </c:pt>
                <c:pt idx="28">
                  <c:v>1238.1420000000001</c:v>
                </c:pt>
                <c:pt idx="29">
                  <c:v>1237.1420000000001</c:v>
                </c:pt>
                <c:pt idx="30">
                  <c:v>1235.5039999999999</c:v>
                </c:pt>
                <c:pt idx="31">
                  <c:v>1183.9490000000001</c:v>
                </c:pt>
                <c:pt idx="32">
                  <c:v>946.64419999999996</c:v>
                </c:pt>
                <c:pt idx="33">
                  <c:v>1010.778</c:v>
                </c:pt>
                <c:pt idx="34">
                  <c:v>1128.77</c:v>
                </c:pt>
                <c:pt idx="35">
                  <c:v>1188.6590000000001</c:v>
                </c:pt>
                <c:pt idx="36">
                  <c:v>1233.713</c:v>
                </c:pt>
                <c:pt idx="37">
                  <c:v>1289.9269999999999</c:v>
                </c:pt>
                <c:pt idx="38">
                  <c:v>1391.5450000000001</c:v>
                </c:pt>
                <c:pt idx="39">
                  <c:v>1434.9770000000001</c:v>
                </c:pt>
                <c:pt idx="40">
                  <c:v>1462.336</c:v>
                </c:pt>
                <c:pt idx="41">
                  <c:v>1455.5889999999999</c:v>
                </c:pt>
                <c:pt idx="42">
                  <c:v>1481.701</c:v>
                </c:pt>
                <c:pt idx="43">
                  <c:v>1541.6790000000001</c:v>
                </c:pt>
                <c:pt idx="44">
                  <c:v>1563.691</c:v>
                </c:pt>
                <c:pt idx="45">
                  <c:v>1573.4780000000001</c:v>
                </c:pt>
                <c:pt idx="46">
                  <c:v>1604.9359999999999</c:v>
                </c:pt>
                <c:pt idx="47">
                  <c:v>1663.8630000000001</c:v>
                </c:pt>
                <c:pt idx="48">
                  <c:v>1704.4690000000001</c:v>
                </c:pt>
                <c:pt idx="49">
                  <c:v>1737.5889999999999</c:v>
                </c:pt>
                <c:pt idx="50">
                  <c:v>1755.2090000000001</c:v>
                </c:pt>
                <c:pt idx="51">
                  <c:v>1763.934</c:v>
                </c:pt>
                <c:pt idx="52">
                  <c:v>1851.6610000000001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7D5-4F73-AD8D-E3367E4F22C4}"/>
            </c:ext>
          </c:extLst>
        </c:ser>
        <c:ser>
          <c:idx val="2"/>
          <c:order val="1"/>
          <c:tx>
            <c:strRef>
              <c:f>'services charts'!$B$18</c:f>
              <c:strCache>
                <c:ptCount val="1"/>
                <c:pt idx="0">
                  <c:v>G20 Imports </c:v>
                </c:pt>
              </c:strCache>
            </c:strRef>
          </c:tx>
          <c:spPr>
            <a:ln w="15875" cap="rnd">
              <a:solidFill>
                <a:srgbClr val="46AEA7"/>
              </a:solidFill>
              <a:round/>
            </a:ln>
            <a:effectLst/>
          </c:spPr>
          <c:marker>
            <c:symbol val="none"/>
          </c:marker>
          <c:cat>
            <c:strRef>
              <c:f>'services charts'!$R$16:$BR$16</c:f>
              <c:strCache>
                <c:ptCount val="53"/>
                <c:pt idx="0">
                  <c:v>2012-Q2</c:v>
                </c:pt>
                <c:pt idx="4">
                  <c:v>2013-Q2</c:v>
                </c:pt>
                <c:pt idx="8">
                  <c:v>2014-Q2</c:v>
                </c:pt>
                <c:pt idx="12">
                  <c:v>2015-Q2</c:v>
                </c:pt>
                <c:pt idx="16">
                  <c:v>2016-Q2</c:v>
                </c:pt>
                <c:pt idx="20">
                  <c:v>2017-Q2</c:v>
                </c:pt>
                <c:pt idx="24">
                  <c:v>2018-Q2</c:v>
                </c:pt>
                <c:pt idx="28">
                  <c:v>2019-Q2</c:v>
                </c:pt>
                <c:pt idx="32">
                  <c:v>2020-Q2</c:v>
                </c:pt>
                <c:pt idx="36">
                  <c:v>2021-Q2</c:v>
                </c:pt>
                <c:pt idx="40">
                  <c:v>2022-Q2</c:v>
                </c:pt>
                <c:pt idx="44">
                  <c:v>2023-Q2</c:v>
                </c:pt>
                <c:pt idx="48">
                  <c:v>2024-Q2</c:v>
                </c:pt>
                <c:pt idx="52">
                  <c:v>2025-Q2</c:v>
                </c:pt>
              </c:strCache>
            </c:strRef>
          </c:cat>
          <c:val>
            <c:numRef>
              <c:f>'services charts'!$R$18:$BR$18</c:f>
              <c:numCache>
                <c:formatCode>0.0</c:formatCode>
                <c:ptCount val="53"/>
                <c:pt idx="0">
                  <c:v>843.56240000000003</c:v>
                </c:pt>
                <c:pt idx="1">
                  <c:v>844.10289999999998</c:v>
                </c:pt>
                <c:pt idx="2">
                  <c:v>858.9203</c:v>
                </c:pt>
                <c:pt idx="3">
                  <c:v>873.18700000000001</c:v>
                </c:pt>
                <c:pt idx="4">
                  <c:v>880.03190000000006</c:v>
                </c:pt>
                <c:pt idx="5">
                  <c:v>900.46619999999996</c:v>
                </c:pt>
                <c:pt idx="6">
                  <c:v>920.85860000000002</c:v>
                </c:pt>
                <c:pt idx="7">
                  <c:v>966.55809999999997</c:v>
                </c:pt>
                <c:pt idx="8">
                  <c:v>974.25569999999993</c:v>
                </c:pt>
                <c:pt idx="9">
                  <c:v>991.23649999999998</c:v>
                </c:pt>
                <c:pt idx="10">
                  <c:v>966.71799999999996</c:v>
                </c:pt>
                <c:pt idx="11">
                  <c:v>904.71619999999996</c:v>
                </c:pt>
                <c:pt idx="12">
                  <c:v>954.39290000000005</c:v>
                </c:pt>
                <c:pt idx="13">
                  <c:v>928.81060000000002</c:v>
                </c:pt>
                <c:pt idx="14">
                  <c:v>924.23050000000001</c:v>
                </c:pt>
                <c:pt idx="15">
                  <c:v>914.21230000000003</c:v>
                </c:pt>
                <c:pt idx="16">
                  <c:v>942.71659999999997</c:v>
                </c:pt>
                <c:pt idx="17">
                  <c:v>945.6511999999999</c:v>
                </c:pt>
                <c:pt idx="18">
                  <c:v>956.52099999999996</c:v>
                </c:pt>
                <c:pt idx="19">
                  <c:v>969.69960000000003</c:v>
                </c:pt>
                <c:pt idx="20">
                  <c:v>1060.9000000000001</c:v>
                </c:pt>
                <c:pt idx="21">
                  <c:v>1055.3009999999999</c:v>
                </c:pt>
                <c:pt idx="22">
                  <c:v>1074.2090000000001</c:v>
                </c:pt>
                <c:pt idx="23">
                  <c:v>1133.5029999999999</c:v>
                </c:pt>
                <c:pt idx="24">
                  <c:v>1128.2929999999999</c:v>
                </c:pt>
                <c:pt idx="25">
                  <c:v>1115.3430000000001</c:v>
                </c:pt>
                <c:pt idx="26">
                  <c:v>1134.7539999999999</c:v>
                </c:pt>
                <c:pt idx="27">
                  <c:v>1133.752</c:v>
                </c:pt>
                <c:pt idx="28">
                  <c:v>1198.6780000000001</c:v>
                </c:pt>
                <c:pt idx="29">
                  <c:v>1152.846</c:v>
                </c:pt>
                <c:pt idx="30">
                  <c:v>1207.3800000000001</c:v>
                </c:pt>
                <c:pt idx="31">
                  <c:v>1156.741</c:v>
                </c:pt>
                <c:pt idx="32">
                  <c:v>857.97900000000004</c:v>
                </c:pt>
                <c:pt idx="33">
                  <c:v>924.93919999999991</c:v>
                </c:pt>
                <c:pt idx="34">
                  <c:v>1002.313</c:v>
                </c:pt>
                <c:pt idx="35">
                  <c:v>1046.4090000000001</c:v>
                </c:pt>
                <c:pt idx="36">
                  <c:v>1089.172</c:v>
                </c:pt>
                <c:pt idx="37">
                  <c:v>1153.222</c:v>
                </c:pt>
                <c:pt idx="38">
                  <c:v>1229.17</c:v>
                </c:pt>
                <c:pt idx="39">
                  <c:v>1261.0909999999999</c:v>
                </c:pt>
                <c:pt idx="40">
                  <c:v>1302.152</c:v>
                </c:pt>
                <c:pt idx="41">
                  <c:v>1308.809</c:v>
                </c:pt>
                <c:pt idx="42">
                  <c:v>1312.242</c:v>
                </c:pt>
                <c:pt idx="43">
                  <c:v>1404.366</c:v>
                </c:pt>
                <c:pt idx="44">
                  <c:v>1425.019</c:v>
                </c:pt>
                <c:pt idx="45">
                  <c:v>1435.492</c:v>
                </c:pt>
                <c:pt idx="46">
                  <c:v>1457.9749999999999</c:v>
                </c:pt>
                <c:pt idx="47">
                  <c:v>1498.5889999999999</c:v>
                </c:pt>
                <c:pt idx="48">
                  <c:v>1526.5050000000001</c:v>
                </c:pt>
                <c:pt idx="49">
                  <c:v>1570.425</c:v>
                </c:pt>
                <c:pt idx="50">
                  <c:v>1563.925</c:v>
                </c:pt>
                <c:pt idx="51">
                  <c:v>1588.288</c:v>
                </c:pt>
                <c:pt idx="52">
                  <c:v>1649.538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D5-4F73-AD8D-E3367E4F22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15717664"/>
        <c:axId val="715714056"/>
      </c:lineChart>
      <c:catAx>
        <c:axId val="7157176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306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Yu Gothic Medium" panose="020B0500000000000000" pitchFamily="34" charset="-128"/>
                <a:ea typeface="Yu Gothic Medium" panose="020B0500000000000000" pitchFamily="34" charset="-128"/>
                <a:cs typeface="+mn-cs"/>
              </a:defRPr>
            </a:pPr>
            <a:endParaRPr lang="en-US"/>
          </a:p>
        </c:txPr>
        <c:crossAx val="715714056"/>
        <c:crosses val="autoZero"/>
        <c:auto val="1"/>
        <c:lblAlgn val="ctr"/>
        <c:lblOffset val="100"/>
        <c:noMultiLvlLbl val="0"/>
      </c:catAx>
      <c:valAx>
        <c:axId val="715714056"/>
        <c:scaling>
          <c:orientation val="minMax"/>
          <c:max val="2000"/>
          <c:min val="40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Yu Gothic Medium" panose="020B0500000000000000" pitchFamily="34" charset="-128"/>
                <a:ea typeface="Yu Gothic Medium" panose="020B0500000000000000" pitchFamily="34" charset="-128"/>
                <a:cs typeface="+mn-cs"/>
              </a:defRPr>
            </a:pPr>
            <a:endParaRPr lang="en-US"/>
          </a:p>
        </c:txPr>
        <c:crossAx val="715717664"/>
        <c:crosses val="autoZero"/>
        <c:crossBetween val="between"/>
        <c:majorUnit val="400"/>
      </c:valAx>
      <c:spPr>
        <a:solidFill>
          <a:sysClr val="window" lastClr="FFFFFF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0030842946675772E-3"/>
          <c:y val="5.2867340962692118E-3"/>
          <c:w val="0.99624620884267623"/>
          <c:h val="0.125381298347726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Yu Gothic Medium" panose="020B0500000000000000" pitchFamily="34" charset="-128"/>
              <a:ea typeface="Yu Gothic Medium" panose="020B0500000000000000" pitchFamily="34" charset="-128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0.05015</cdr:x>
      <cdr:y>0.07986</cdr:y>
    </cdr:from>
    <cdr:to>
      <cdr:x>0.08407</cdr:x>
      <cdr:y>0.13889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3850" y="219075"/>
          <a:ext cx="219075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0.05015</cdr:x>
      <cdr:y>0.07986</cdr:y>
    </cdr:from>
    <cdr:to>
      <cdr:x>0.08407</cdr:x>
      <cdr:y>0.13889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3850" y="219075"/>
          <a:ext cx="219075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fr-FR" sz="1100"/>
        </a:p>
      </cdr:txBody>
    </cdr:sp>
  </cdr:relSizeAnchor>
  <cdr:relSizeAnchor xmlns:cdr="http://schemas.openxmlformats.org/drawingml/2006/chartDrawing">
    <cdr:from>
      <cdr:x>0.02903</cdr:x>
      <cdr:y>0</cdr:y>
    </cdr:from>
    <cdr:to>
      <cdr:x>0.07015</cdr:x>
      <cdr:y>0.08124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88110" y="0"/>
          <a:ext cx="266492" cy="190112"/>
        </a:xfrm>
        <a:prstGeom xmlns:a="http://schemas.openxmlformats.org/drawingml/2006/main" prst="rect">
          <a:avLst/>
        </a:prstGeom>
        <a:solidFill xmlns:a="http://schemas.openxmlformats.org/drawingml/2006/main">
          <a:schemeClr val="lt1"/>
        </a:solidFill>
        <a:ln xmlns:a="http://schemas.openxmlformats.org/drawingml/2006/main" w="9525" cmpd="sng">
          <a:noFill/>
        </a:ln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dk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en-GB" sz="1100">
            <a:solidFill>
              <a:schemeClr val="tx1">
                <a:lumMod val="65000"/>
                <a:lumOff val="3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OECDListFormCollapsible</Display>
  <Edit>OECDListFormCollapsible</Edit>
  <New>OECDListFormCollapsible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8B4DD370EC31429186F3AD49F0D3098F001C92EA3DBF70485595E55AF60CAA92760016D264A4F1A446C6B7195ABADDB0298300D6355723999123448FACAFF140E202BD" ma:contentTypeVersion="51" ma:contentTypeDescription="" ma:contentTypeScope="" ma:versionID="5b827cc32c401a5b2044ac20632ca977">
  <xsd:schema xmlns:xsd="http://www.w3.org/2001/XMLSchema" xmlns:xs="http://www.w3.org/2001/XMLSchema" xmlns:p="http://schemas.microsoft.com/office/2006/metadata/properties" xmlns:ns1="54c4cd27-f286-408f-9ce0-33c1e0f3ab39" xmlns:ns2="b855e8c8-0866-41c2-bf69-0bb389390676" xmlns:ns3="b598d352-c6a7-4aae-83d5-4d74878f8938" xmlns:ns5="c9f238dd-bb73-4aef-a7a5-d644ad823e52" xmlns:ns6="ca82dde9-3436-4d3d-bddd-d31447390034" targetNamespace="http://schemas.microsoft.com/office/2006/metadata/properties" ma:root="true" ma:fieldsID="7785cbd95ad978d65112a74d0a675341" ns1:_="" ns2:_="" ns3:_="" ns5:_="" ns6:_="">
    <xsd:import namespace="54c4cd27-f286-408f-9ce0-33c1e0f3ab39"/>
    <xsd:import namespace="b855e8c8-0866-41c2-bf69-0bb389390676"/>
    <xsd:import namespace="b598d352-c6a7-4aae-83d5-4d74878f8938"/>
    <xsd:import namespace="c9f238dd-bb73-4aef-a7a5-d644ad823e52"/>
    <xsd:import namespace="ca82dde9-3436-4d3d-bddd-d31447390034"/>
    <xsd:element name="properties">
      <xsd:complexType>
        <xsd:sequence>
          <xsd:element name="documentManagement">
            <xsd:complexType>
              <xsd:all>
                <xsd:element ref="ns1:OECDKimStatus" minOccurs="0"/>
                <xsd:element ref="ns1:OECDKimBussinessContext" minOccurs="0"/>
                <xsd:element ref="ns1:OECDKimProvenance" minOccurs="0"/>
                <xsd:element ref="ns2:OECDExpirationDate" minOccurs="0"/>
                <xsd:element ref="ns3:OECDProjectLookup" minOccurs="0"/>
                <xsd:element ref="ns3:OECDProjectManager" minOccurs="0"/>
                <xsd:element ref="ns3:OECDProjectMembers" minOccurs="0"/>
                <xsd:element ref="ns3:OECDMainProject" minOccurs="0"/>
                <xsd:element ref="ns3:OECDPinnedBy" minOccurs="0"/>
                <xsd:element ref="ns5:eShareKeywordsTaxHTField0" minOccurs="0"/>
                <xsd:element ref="ns5:eShareTopicTaxHTField0" minOccurs="0"/>
                <xsd:element ref="ns5:eShareCountryTaxHTField0" minOccurs="0"/>
                <xsd:element ref="ns1:OECDMeetingDate" minOccurs="0"/>
                <xsd:element ref="ns6:OECDlanguage" minOccurs="0"/>
                <xsd:element ref="ns6:TaxCatchAllLabel" minOccurs="0"/>
                <xsd:element ref="ns3:d0db5dc05a5e404e9147bc85a79f78c9" minOccurs="0"/>
                <xsd:element ref="ns6:TaxCatchAll" minOccurs="0"/>
                <xsd:element ref="ns5:eShareCommitteeTaxHTField0" minOccurs="0"/>
                <xsd:element ref="ns5:eSharePWBTaxHTField0" minOccurs="0"/>
                <xsd:element ref="ns2:g81a30e168d04bd48fa13367ae60bbde" minOccurs="0"/>
                <xsd:element ref="ns3:g7e8a50fa859465b9bf3e8920321b125" minOccurs="0"/>
                <xsd:element ref="ns3:OECDTagsCache" minOccurs="0"/>
                <xsd:element ref="ns1:OECD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4cd27-f286-408f-9ce0-33c1e0f3ab39" elementFormDefault="qualified">
    <xsd:import namespace="http://schemas.microsoft.com/office/2006/documentManagement/types"/>
    <xsd:import namespace="http://schemas.microsoft.com/office/infopath/2007/PartnerControls"/>
    <xsd:element name="OECDKimStatus" ma:index="3" nillable="true" ma:displayName="Kim status" ma:default="Draft" ma:description="" ma:format="Dropdown" ma:hidden="true" ma:internalName="OECDKimStatus" ma:readOnly="false">
      <xsd:simpleType>
        <xsd:restriction base="dms:Choice">
          <xsd:enumeration value="Draft"/>
          <xsd:enumeration value="Final"/>
        </xsd:restriction>
      </xsd:simpleType>
    </xsd:element>
    <xsd:element name="OECDKimBussinessContext" ma:index="4" nillable="true" ma:displayName="Kim bussiness context" ma:description="" ma:hidden="true" ma:internalName="OECDKimBussinessContext" ma:readOnly="false">
      <xsd:simpleType>
        <xsd:restriction base="dms:Text"/>
      </xsd:simpleType>
    </xsd:element>
    <xsd:element name="OECDKimProvenance" ma:index="5" nillable="true" ma:displayName="Kim provenance" ma:description="" ma:hidden="true" ma:internalName="OECDKimProvenance" ma:readOnly="false">
      <xsd:simpleType>
        <xsd:restriction base="dms:Text">
          <xsd:maxLength value="255"/>
        </xsd:restriction>
      </xsd:simpleType>
    </xsd:element>
    <xsd:element name="OECDMeetingDate" ma:index="23" nillable="true" ma:displayName="Meeting Date" ma:default="" ma:format="DateOnly" ma:hidden="true" ma:internalName="OECDMeetingDate" ma:readOnly="false">
      <xsd:simpleType>
        <xsd:restriction base="dms:DateTime"/>
      </xsd:simpleType>
    </xsd:element>
    <xsd:element name="OECDYear" ma:index="37" nillable="true" ma:displayName="Year" ma:description="" ma:internalName="OECDYea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5e8c8-0866-41c2-bf69-0bb389390676" elementFormDefault="qualified">
    <xsd:import namespace="http://schemas.microsoft.com/office/2006/documentManagement/types"/>
    <xsd:import namespace="http://schemas.microsoft.com/office/infopath/2007/PartnerControls"/>
    <xsd:element name="OECDExpirationDate" ma:index="8" nillable="true" ma:displayName="Highlights" ma:default="" ma:description="" ma:format="DateOnly" ma:hidden="true" ma:indexed="true" ma:internalName="OECDExpirationDate" ma:readOnly="false">
      <xsd:simpleType>
        <xsd:restriction base="dms:DateTime"/>
      </xsd:simpleType>
    </xsd:element>
    <xsd:element name="g81a30e168d04bd48fa13367ae60bbde" ma:index="33" nillable="true" ma:taxonomy="true" ma:internalName="g81a30e168d04bd48fa13367ae60bbde" ma:taxonomyFieldName="OECDHorizontalProjects" ma:displayName="Horizontal project" ma:readOnly="false" ma:default="" ma:fieldId="{081a30e1-68d0-4bd4-8fa1-3367ae60bbde}" ma:taxonomyMulti="true" ma:sspId="27ec883c-a62c-444f-a935-fcddb579e39d" ma:termSetId="d3ca0e0e-65f9-44bf-9d98-5271504f6d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8d352-c6a7-4aae-83d5-4d74878f8938" elementFormDefault="qualified">
    <xsd:import namespace="http://schemas.microsoft.com/office/2006/documentManagement/types"/>
    <xsd:import namespace="http://schemas.microsoft.com/office/infopath/2007/PartnerControls"/>
    <xsd:element name="OECDProjectLookup" ma:index="9" nillable="true" ma:displayName="Project" ma:description="" ma:hidden="true" ma:indexed="true" ma:list="28325a2a-103b-489e-b0c4-3caa1ffddb48" ma:internalName="OECDProjectLookup" ma:readOnly="false" ma:showField="OECDShortProjectName" ma:web="b598d352-c6a7-4aae-83d5-4d74878f8938">
      <xsd:simpleType>
        <xsd:restriction base="dms:Lookup"/>
      </xsd:simpleType>
    </xsd:element>
    <xsd:element name="OECDProjectManager" ma:index="10" nillable="true" ma:displayName="Project manager" ma:description="" ma:hidden="true" ma:indexed="true" ma:internalName="OECDProjectManag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ProjectMembers" ma:index="11" nillable="true" ma:displayName="Project members" ma:description="" ma:hidden="true" ma:internalName="OECDProject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ECDMainProject" ma:index="14" nillable="true" ma:displayName="Main project" ma:description="" ma:hidden="true" ma:indexed="true" ma:list="28325a2a-103b-489e-b0c4-3caa1ffddb48" ma:internalName="OECDMainProject" ma:readOnly="false" ma:showField="OECDShortProjectName">
      <xsd:simpleType>
        <xsd:restriction base="dms:Lookup"/>
      </xsd:simpleType>
    </xsd:element>
    <xsd:element name="OECDPinnedBy" ma:index="15" nillable="true" ma:displayName="Pinned by" ma:description="" ma:hidden="true" ma:internalName="OECDPinn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0db5dc05a5e404e9147bc85a79f78c9" ma:index="27" nillable="true" ma:displayName="Deliverable owner_0" ma:hidden="true" ma:internalName="d0db5dc05a5e404e9147bc85a79f78c9">
      <xsd:simpleType>
        <xsd:restriction base="dms:Note"/>
      </xsd:simpleType>
    </xsd:element>
    <xsd:element name="g7e8a50fa859465b9bf3e8920321b125" ma:index="34" nillable="true" ma:taxonomy="true" ma:internalName="g7e8a50fa859465b9bf3e8920321b125" ma:taxonomyFieldName="OECDProjectOwnerStructure" ma:displayName="Project owner" ma:readOnly="false" ma:default="" ma:fieldId="07e8a50f-a859-465b-9bf3-e8920321b125" ma:taxonomyMulti="true" ma:sspId="27ec883c-a62c-444f-a935-fcddb579e39d" ma:termSetId="aeec4dcb-19ee-4bc0-941f-681845b568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DTagsCache" ma:index="36" nillable="true" ma:displayName="Tags cache" ma:description="" ma:hidden="true" ma:internalName="OECDTagsCach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238dd-bb73-4aef-a7a5-d644ad823e52" elementFormDefault="qualified">
    <xsd:import namespace="http://schemas.microsoft.com/office/2006/documentManagement/types"/>
    <xsd:import namespace="http://schemas.microsoft.com/office/infopath/2007/PartnerControls"/>
    <xsd:element name="eShareKeywordsTaxHTField0" ma:index="20" nillable="true" ma:taxonomy="true" ma:internalName="eShareKeywordsTaxHTField0" ma:taxonomyFieldName="OECDKeywords" ma:displayName="Keywords" ma:default="" ma:fieldId="{8a7c3663-990d-467c-b1b8-bb4b775674ad}" ma:taxonomyMulti="true" ma:sspId="27ec883c-a62c-444f-a935-fcddb579e39d" ma:termSetId="f51791ee-8e04-4654-a875-fc747102cd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ShareTopicTaxHTField0" ma:index="21" nillable="true" ma:taxonomy="true" ma:internalName="eShareTopicTaxHTField0" ma:taxonomyFieldName="OECDTopic" ma:displayName="Topic" ma:readOnly="false" ma:default="" ma:fieldId="{9b5335f8-765c-484a-86dd-d10580650a95}" ma:taxonomyMulti="true" ma:sspId="27ec883c-a62c-444f-a935-fcddb579e39d" ma:termSetId="d0043ed9-7fdc-4b21-8641-a864cc50d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CountryTaxHTField0" ma:index="22" nillable="true" ma:taxonomy="true" ma:internalName="eShareCountryTaxHTField0" ma:taxonomyFieldName="OECDCountry" ma:displayName="Country" ma:readOnly="false" ma:default="" ma:fieldId="{aa366335-bba6-4f71-86c6-f91b1ae503c2}" ma:taxonomyMulti="true" ma:sspId="27ec883c-a62c-444f-a935-fcddb579e39d" ma:termSetId="e1026e78-e24d-4b33-a8f4-6ff75b8e5a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CommitteeTaxHTField0" ma:index="31" nillable="true" ma:taxonomy="true" ma:internalName="eShareCommitteeTaxHTField0" ma:taxonomyFieldName="OECDCommittee" ma:displayName="Committee" ma:readOnly="false" ma:fieldId="{29494d90-e667-47b5-adc1-d09dfb5832ab}" ma:sspId="27ec883c-a62c-444f-a935-fcddb579e39d" ma:termSetId="87919aae-be42-4481-84cf-2389a5c84a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SharePWBTaxHTField0" ma:index="32" nillable="true" ma:taxonomy="true" ma:internalName="eSharePWBTaxHTField0" ma:taxonomyFieldName="OECDPWB" ma:displayName="PWB" ma:readOnly="false" ma:fieldId="{fe327ce1-b783-48aa-9b0b-52ad26d1c9f6}" ma:sspId="27ec883c-a62c-444f-a935-fcddb579e39d" ma:termSetId="7bc7477d-4ef0-4820-a158-bb7b3cda13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2dde9-3436-4d3d-bddd-d31447390034" elementFormDefault="qualified">
    <xsd:import namespace="http://schemas.microsoft.com/office/2006/documentManagement/types"/>
    <xsd:import namespace="http://schemas.microsoft.com/office/infopath/2007/PartnerControls"/>
    <xsd:element name="OECDlanguage" ma:index="24" nillable="true" ma:displayName="Document language" ma:default="English" ma:description="" ma:format="Dropdown" ma:hidden="true" ma:internalName="OECD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TaxCatchAllLabel" ma:index="26" nillable="true" ma:displayName="Taxonomy Catch All Column1" ma:description="" ma:hidden="true" ma:list="{e32c7df2-3e97-41ed-8365-b4ba9507881a}" ma:internalName="TaxCatchAllLabel" ma:readOnly="true" ma:showField="CatchAllDataLabel" ma:web="b855e8c8-0866-41c2-bf69-0bb389390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0" nillable="true" ma:displayName="Taxonomy Catch All Column" ma:description="" ma:hidden="true" ma:list="{e32c7df2-3e97-41ed-8365-b4ba9507881a}" ma:internalName="TaxCatchAll" ma:showField="CatchAllData" ma:web="b855e8c8-0866-41c2-bf69-0bb3893906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tFieldPriority xmlns="http://www.oecd.org/eshare/projectsentre/CtFieldPriority/" xmlns:i="http://www.w3.org/2001/XMLSchema-instance">
  <PriorityFields xmlns:a="http://schemas.microsoft.com/2003/10/Serialization/Arrays"/>
</CtFieldPriority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hareCountryTaxHTField0 xmlns="c9f238dd-bb73-4aef-a7a5-d644ad823e52">
      <Terms xmlns="http://schemas.microsoft.com/office/infopath/2007/PartnerControls"/>
    </eShareCountryTaxHTField0>
    <eShareTopic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Press Release</TermName>
          <TermId xmlns="http://schemas.microsoft.com/office/infopath/2007/PartnerControls">09b890b1-37ca-4da0-9079-28c0781565a1</TermId>
        </TermInfo>
      </Terms>
    </eShareTopicTaxHTField0>
    <TaxCatchAll xmlns="ca82dde9-3436-4d3d-bddd-d31447390034">
      <Value>180</Value>
      <Value>868</Value>
      <Value>38</Value>
      <Value>637</Value>
    </TaxCatchAll>
    <eShareKeywords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Press Release</TermName>
          <TermId xmlns="http://schemas.microsoft.com/office/infopath/2007/PartnerControls">09b890b1-37ca-4da0-9079-28c0781565a1</TermId>
        </TermInfo>
      </Terms>
    </eShareKeywordsTaxHTField0>
    <g81a30e168d04bd48fa13367ae60bbde xmlns="b855e8c8-0866-41c2-bf69-0bb389390676">
      <Terms xmlns="http://schemas.microsoft.com/office/infopath/2007/PartnerControls"/>
    </g81a30e168d04bd48fa13367ae60bbde>
    <OECDKimBussinessContext xmlns="54c4cd27-f286-408f-9ce0-33c1e0f3ab39" xsi:nil="true"/>
    <OECDExpirationDate xmlns="b855e8c8-0866-41c2-bf69-0bb389390676" xsi:nil="true"/>
    <OECDYear xmlns="54c4cd27-f286-408f-9ce0-33c1e0f3ab39" xsi:nil="true"/>
    <OECDKimProvenance xmlns="54c4cd27-f286-408f-9ce0-33c1e0f3ab39" xsi:nil="true"/>
    <OECDKimStatus xmlns="54c4cd27-f286-408f-9ce0-33c1e0f3ab39">Draft</OECDKimStatus>
    <OECDPinnedBy xmlns="b598d352-c6a7-4aae-83d5-4d74878f8938">
      <UserInfo>
        <DisplayName/>
        <AccountId xsi:nil="true"/>
        <AccountType/>
      </UserInfo>
    </OECDPinnedBy>
    <OECDTagsCache xmlns="b598d352-c6a7-4aae-83d5-4d74878f8938" xsi:nil="true"/>
    <OECDProjectLookup xmlns="b598d352-c6a7-4aae-83d5-4d74878f8938">78</OECDProjectLookup>
    <OECDProjectManager xmlns="b598d352-c6a7-4aae-83d5-4d74878f8938">
      <UserInfo>
        <DisplayName/>
        <AccountId>104</AccountId>
        <AccountType/>
      </UserInfo>
    </OECDProjectManager>
    <OECDlanguage xmlns="ca82dde9-3436-4d3d-bddd-d31447390034">English</OECDlanguage>
    <eSharePWBTaxHTField0 xmlns="c9f238dd-bb73-4aef-a7a5-d644ad823e52">
      <Terms xmlns="http://schemas.microsoft.com/office/infopath/2007/PartnerControls"/>
    </eSharePWBTaxHTField0>
    <d0db5dc05a5e404e9147bc85a79f78c9 xmlns="b598d352-c6a7-4aae-83d5-4d74878f8938" xsi:nil="true"/>
    <OECDProjectMembers xmlns="b598d352-c6a7-4aae-83d5-4d74878f8938">
      <UserInfo>
        <DisplayName>LIBERATORE Antonella, SDD/TPS</DisplayName>
        <AccountId>2806</AccountId>
        <AccountType/>
      </UserInfo>
      <UserInfo>
        <DisplayName>SCHMIDT Julia, STI/AIEDT</DisplayName>
        <AccountId>2560</AccountId>
        <AccountType/>
      </UserInfo>
      <UserInfo>
        <DisplayName>JUNG Youngho, SDD/TPS</DisplayName>
        <AccountId>2754</AccountId>
        <AccountType/>
      </UserInfo>
      <UserInfo>
        <DisplayName>SDD TCS</DisplayName>
        <AccountId>1374</AccountId>
        <AccountType/>
      </UserInfo>
      <UserInfo>
        <DisplayName>ELGRABLY Virginie, SDD/TPS</DisplayName>
        <AccountId>144</AccountId>
        <AccountType/>
      </UserInfo>
      <UserInfo>
        <DisplayName>DE MENNA Bruno, CFE/LESI</DisplayName>
        <AccountId>3227</AccountId>
        <AccountType/>
      </UserInfo>
    </OECDProjectMembers>
    <OECDMeetingDate xmlns="54c4cd27-f286-408f-9ce0-33c1e0f3ab39" xsi:nil="true"/>
    <eShareCommitteeTaxHTField0 xmlns="c9f238dd-bb73-4aef-a7a5-d644ad823e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Working Party on International Trade in Goods and Trade in Services Statistics</TermName>
          <TermId xmlns="http://schemas.microsoft.com/office/infopath/2007/PartnerControls">73039e58-961f-438d-9cfc-dd4e8c51b945</TermId>
        </TermInfo>
      </Terms>
    </eShareCommitteeTaxHTField0>
    <g7e8a50fa859465b9bf3e8920321b125 xmlns="b598d352-c6a7-4aae-83d5-4d74878f893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SDD/SDPS</TermName>
          <TermId xmlns="http://schemas.microsoft.com/office/infopath/2007/PartnerControls">a347e120-0c14-472d-866f-13325f18fc0c</TermId>
        </TermInfo>
      </Terms>
    </g7e8a50fa859465b9bf3e8920321b125>
    <OECDMainProject xmlns="b598d352-c6a7-4aae-83d5-4d74878f8938" xsi:nil="true"/>
  </documentManagement>
</p:properties>
</file>

<file path=customXml/item6.xml><?xml version="1.0" encoding="utf-8"?>
<?mso-contentType ?>
<SharedContentType xmlns="Microsoft.SharePoint.Taxonomy.ContentTypeSync" SourceId="27ec883c-a62c-444f-a935-fcddb579e39d" ContentTypeId="0x0101008B4DD370EC31429186F3AD49F0D3098F001C92EA3DBF70485595E55AF60CAA9276" PreviousValue="false"/>
</file>

<file path=customXml/itemProps1.xml><?xml version="1.0" encoding="utf-8"?>
<ds:datastoreItem xmlns:ds="http://schemas.openxmlformats.org/officeDocument/2006/customXml" ds:itemID="{6A9FC1D1-C71D-4F30-AD64-0F30497E1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4B740-3DB8-478F-AAD0-6CD028367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4cd27-f286-408f-9ce0-33c1e0f3ab39"/>
    <ds:schemaRef ds:uri="b855e8c8-0866-41c2-bf69-0bb389390676"/>
    <ds:schemaRef ds:uri="b598d352-c6a7-4aae-83d5-4d74878f8938"/>
    <ds:schemaRef ds:uri="c9f238dd-bb73-4aef-a7a5-d644ad823e52"/>
    <ds:schemaRef ds:uri="ca82dde9-3436-4d3d-bddd-d31447390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04E7A-80F2-491D-A239-0350FF455C06}">
  <ds:schemaRefs>
    <ds:schemaRef ds:uri="http://www.oecd.org/eshare/projectsentre/CtFieldPriority/"/>
    <ds:schemaRef ds:uri="http://schemas.microsoft.com/2003/10/Serialization/Arrays"/>
  </ds:schemaRefs>
</ds:datastoreItem>
</file>

<file path=customXml/itemProps4.xml><?xml version="1.0" encoding="utf-8"?>
<ds:datastoreItem xmlns:ds="http://schemas.openxmlformats.org/officeDocument/2006/customXml" ds:itemID="{096F53EF-7804-4344-A332-501ECAC0C3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5EF786A-EFBF-45B9-8D2C-4E701C050DAB}">
  <ds:schemaRefs>
    <ds:schemaRef ds:uri="http://purl.org/dc/terms/"/>
    <ds:schemaRef ds:uri="b598d352-c6a7-4aae-83d5-4d74878f8938"/>
    <ds:schemaRef ds:uri="http://www.w3.org/XML/1998/namespace"/>
    <ds:schemaRef ds:uri="ca82dde9-3436-4d3d-bddd-d31447390034"/>
    <ds:schemaRef ds:uri="http://schemas.openxmlformats.org/package/2006/metadata/core-properties"/>
    <ds:schemaRef ds:uri="http://schemas.microsoft.com/office/2006/documentManagement/types"/>
    <ds:schemaRef ds:uri="54c4cd27-f286-408f-9ce0-33c1e0f3ab39"/>
    <ds:schemaRef ds:uri="http://purl.org/dc/elements/1.1/"/>
    <ds:schemaRef ds:uri="http://purl.org/dc/dcmitype/"/>
    <ds:schemaRef ds:uri="http://schemas.microsoft.com/office/infopath/2007/PartnerControls"/>
    <ds:schemaRef ds:uri="c9f238dd-bb73-4aef-a7a5-d644ad823e52"/>
    <ds:schemaRef ds:uri="b855e8c8-0866-41c2-bf69-0bb389390676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67D00DEA-180C-4005-9A0D-9BAC4CDC37E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2204</Words>
  <Characters>12563</Characters>
  <Application>Microsoft Office Word</Application>
  <DocSecurity>4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OECD</Company>
  <LinksUpToDate>false</LinksUpToDate>
  <CharactersWithSpaces>14738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 SERRA Daniel, SDD/TPS</dc:creator>
  <cp:keywords/>
  <dc:description/>
  <cp:lastModifiedBy>FIETZ Louise, COM/SCO</cp:lastModifiedBy>
  <cp:revision>2</cp:revision>
  <cp:lastPrinted>2025-11-18T11:31:00Z</cp:lastPrinted>
  <dcterms:created xsi:type="dcterms:W3CDTF">2025-11-21T08:18:00Z</dcterms:created>
  <dcterms:modified xsi:type="dcterms:W3CDTF">2025-11-21T08:18:00Z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ECDCountry">
    <vt:lpwstr/>
  </property>
  <property fmtid="{D5CDD505-2E9C-101B-9397-08002B2CF9AE}" pid="3" name="OECDTopic">
    <vt:lpwstr>868;#Press Release|09b890b1-37ca-4da0-9079-28c0781565a1</vt:lpwstr>
  </property>
  <property fmtid="{D5CDD505-2E9C-101B-9397-08002B2CF9AE}" pid="4" name="OECDCommittee">
    <vt:lpwstr>38;#Working Party on International Trade in Goods and Trade in Services Statistics|73039e58-961f-438d-9cfc-dd4e8c51b945</vt:lpwstr>
  </property>
  <property fmtid="{D5CDD505-2E9C-101B-9397-08002B2CF9AE}" pid="5" name="ContentTypeId">
    <vt:lpwstr>0x0101008B4DD370EC31429186F3AD49F0D3098F001C92EA3DBF70485595E55AF60CAA92760016D264A4F1A446C6B7195ABADDB0298300D6355723999123448FACAFF140E202BD</vt:lpwstr>
  </property>
  <property fmtid="{D5CDD505-2E9C-101B-9397-08002B2CF9AE}" pid="6" name="OECDPWB">
    <vt:lpwstr/>
  </property>
  <property fmtid="{D5CDD505-2E9C-101B-9397-08002B2CF9AE}" pid="7" name="eShareOrganisationTaxHTField0">
    <vt:lpwstr/>
  </property>
  <property fmtid="{D5CDD505-2E9C-101B-9397-08002B2CF9AE}" pid="8" name="OECDKeywords">
    <vt:lpwstr>180;#Press Release|09b890b1-37ca-4da0-9079-28c0781565a1</vt:lpwstr>
  </property>
  <property fmtid="{D5CDD505-2E9C-101B-9397-08002B2CF9AE}" pid="9" name="OECDHorizontalProjects">
    <vt:lpwstr/>
  </property>
  <property fmtid="{D5CDD505-2E9C-101B-9397-08002B2CF9AE}" pid="10" name="d0b6f6ac229144c2899590f0436d9385">
    <vt:lpwstr/>
  </property>
  <property fmtid="{D5CDD505-2E9C-101B-9397-08002B2CF9AE}" pid="11" name="OECDProject">
    <vt:lpwstr/>
  </property>
  <property fmtid="{D5CDD505-2E9C-101B-9397-08002B2CF9AE}" pid="12" name="OECDProjectOwnerStructure">
    <vt:lpwstr>637;#SDD/SDPS|a347e120-0c14-472d-866f-13325f18fc0c</vt:lpwstr>
  </property>
  <property fmtid="{D5CDD505-2E9C-101B-9397-08002B2CF9AE}" pid="13" name="OECDOrganisation">
    <vt:lpwstr/>
  </property>
  <property fmtid="{D5CDD505-2E9C-101B-9397-08002B2CF9AE}" pid="14" name="_docset_NoMedatataSyncRequired">
    <vt:lpwstr>False</vt:lpwstr>
  </property>
  <property fmtid="{D5CDD505-2E9C-101B-9397-08002B2CF9AE}" pid="15" name="OECDDocumentId">
    <vt:lpwstr>8AD3A3718388800A13374FC74DB2B72BB7AC610C48B8550700F0DB0D9FAB478A</vt:lpwstr>
  </property>
  <property fmtid="{D5CDD505-2E9C-101B-9397-08002B2CF9AE}" pid="16" name="OecdDocumentCoteLangHash">
    <vt:lpwstr/>
  </property>
  <property fmtid="{D5CDD505-2E9C-101B-9397-08002B2CF9AE}" pid="17" name="ClassificationContentMarkingFooterShapeIds">
    <vt:lpwstr>e,f,11,12,13,14</vt:lpwstr>
  </property>
  <property fmtid="{D5CDD505-2E9C-101B-9397-08002B2CF9AE}" pid="18" name="ClassificationContentMarkingFooterFontProps">
    <vt:lpwstr>#0000ff,10,Calibri</vt:lpwstr>
  </property>
  <property fmtid="{D5CDD505-2E9C-101B-9397-08002B2CF9AE}" pid="19" name="ClassificationContentMarkingFooterText">
    <vt:lpwstr>Restricted Use - À usage restreint</vt:lpwstr>
  </property>
  <property fmtid="{D5CDD505-2E9C-101B-9397-08002B2CF9AE}" pid="20" name="MSIP_Label_0e5510b0-e729-4ef0-a3dd-4ba0dfe56c99_Enabled">
    <vt:lpwstr>true</vt:lpwstr>
  </property>
  <property fmtid="{D5CDD505-2E9C-101B-9397-08002B2CF9AE}" pid="21" name="MSIP_Label_0e5510b0-e729-4ef0-a3dd-4ba0dfe56c99_SetDate">
    <vt:lpwstr>2024-08-19T12:35:38Z</vt:lpwstr>
  </property>
  <property fmtid="{D5CDD505-2E9C-101B-9397-08002B2CF9AE}" pid="22" name="MSIP_Label_0e5510b0-e729-4ef0-a3dd-4ba0dfe56c99_Method">
    <vt:lpwstr>Standard</vt:lpwstr>
  </property>
  <property fmtid="{D5CDD505-2E9C-101B-9397-08002B2CF9AE}" pid="23" name="MSIP_Label_0e5510b0-e729-4ef0-a3dd-4ba0dfe56c99_Name">
    <vt:lpwstr>Restricted Use</vt:lpwstr>
  </property>
  <property fmtid="{D5CDD505-2E9C-101B-9397-08002B2CF9AE}" pid="24" name="MSIP_Label_0e5510b0-e729-4ef0-a3dd-4ba0dfe56c99_SiteId">
    <vt:lpwstr>ac41c7d4-1f61-460d-b0f4-fc925a2b471c</vt:lpwstr>
  </property>
  <property fmtid="{D5CDD505-2E9C-101B-9397-08002B2CF9AE}" pid="25" name="MSIP_Label_0e5510b0-e729-4ef0-a3dd-4ba0dfe56c99_ActionId">
    <vt:lpwstr>697ecedd-0315-4b4c-8246-0f16c45aab51</vt:lpwstr>
  </property>
  <property fmtid="{D5CDD505-2E9C-101B-9397-08002B2CF9AE}" pid="26" name="MSIP_Label_0e5510b0-e729-4ef0-a3dd-4ba0dfe56c99_ContentBits">
    <vt:lpwstr>2</vt:lpwstr>
  </property>
  <property fmtid="{D5CDD505-2E9C-101B-9397-08002B2CF9AE}" pid="27" name="eSharePWBTaxHTField0">
    <vt:lpwstr/>
  </property>
  <property fmtid="{D5CDD505-2E9C-101B-9397-08002B2CF9AE}" pid="28" name="eShareCommitteeTaxHTField0">
    <vt:lpwstr>Working Party on International Trade in Goods and Trade in Services Statistics|73039e58-961f-438d-9cfc-dd4e8c51b945</vt:lpwstr>
  </property>
</Properties>
</file>