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W w:w="9106" w:type="dxa"/>
        <w:jc w:val="center"/>
        <w:tblLayout w:type="fixed"/>
        <w:tblLook w:val="0400" w:firstRow="0" w:lastRow="0" w:firstColumn="0" w:lastColumn="0" w:noHBand="0" w:noVBand="1"/>
      </w:tblPr>
      <w:tblGrid>
        <w:gridCol w:w="4245"/>
        <w:gridCol w:w="4861"/>
      </w:tblGrid>
      <w:tr w:rsidR="00004B0A" w:rsidRPr="006907C8" w14:paraId="273A204D" w14:textId="77777777" w:rsidTr="00402473">
        <w:trPr>
          <w:trHeight w:val="260"/>
          <w:jc w:val="center"/>
        </w:trPr>
        <w:tc>
          <w:tcPr>
            <w:tcW w:w="42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CC46E80" w14:textId="28FA3F2B" w:rsidR="00004B0A" w:rsidRPr="006907C8" w:rsidRDefault="002D51E2" w:rsidP="006B18F7">
            <w:pPr>
              <w:spacing w:line="360" w:lineRule="auto"/>
              <w:rPr>
                <w:rFonts w:ascii="Times New Roman" w:eastAsia="Times New Roman" w:hAnsi="Times New Roman"/>
                <w:spacing w:val="30"/>
                <w:sz w:val="24"/>
                <w:szCs w:val="24"/>
              </w:rPr>
            </w:pPr>
            <w:r>
              <w:rPr>
                <w:rFonts w:ascii="Arial" w:eastAsia="Arial" w:hAnsi="Arial" w:cs="Arial"/>
                <w:b/>
                <w:spacing w:val="30"/>
              </w:rPr>
              <w:t>Media Release</w:t>
            </w:r>
          </w:p>
        </w:tc>
        <w:tc>
          <w:tcPr>
            <w:tcW w:w="486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D01171" w14:textId="4763107A" w:rsidR="00004B0A" w:rsidRPr="006907C8" w:rsidRDefault="002D51E2" w:rsidP="007C3513">
            <w:pPr>
              <w:spacing w:line="360" w:lineRule="auto"/>
              <w:jc w:val="right"/>
              <w:rPr>
                <w:rFonts w:ascii="Times New Roman" w:eastAsia="Times New Roman" w:hAnsi="Times New Roman"/>
                <w:spacing w:val="30"/>
                <w:sz w:val="24"/>
                <w:szCs w:val="24"/>
              </w:rPr>
            </w:pPr>
            <w:r>
              <w:rPr>
                <w:rFonts w:ascii="Arial" w:eastAsia="Arial" w:hAnsi="Arial" w:cs="Arial"/>
                <w:b/>
                <w:spacing w:val="30"/>
              </w:rPr>
              <w:t>February 2026</w:t>
            </w:r>
          </w:p>
        </w:tc>
      </w:tr>
    </w:tbl>
    <w:p w14:paraId="7BF5F460" w14:textId="77777777" w:rsidR="00004B0A" w:rsidRDefault="00004B0A" w:rsidP="00004B0A">
      <w:pPr>
        <w:spacing w:line="360" w:lineRule="auto"/>
        <w:rPr>
          <w:rFonts w:ascii="Times New Roman" w:eastAsia="Times New Roman" w:hAnsi="Times New Roman"/>
          <w:sz w:val="24"/>
          <w:szCs w:val="24"/>
        </w:rPr>
      </w:pPr>
    </w:p>
    <w:p w14:paraId="010AC9DF" w14:textId="77777777" w:rsidR="00004B0A" w:rsidRDefault="00004B0A" w:rsidP="00004B0A">
      <w:pPr>
        <w:spacing w:line="360" w:lineRule="auto"/>
        <w:jc w:val="center"/>
        <w:rPr>
          <w:rFonts w:ascii="Arial" w:eastAsia="Arial" w:hAnsi="Arial" w:cs="Arial"/>
          <w:b/>
          <w:smallCaps/>
          <w:spacing w:val="30"/>
          <w:sz w:val="24"/>
          <w:szCs w:val="24"/>
        </w:rPr>
      </w:pPr>
    </w:p>
    <w:p w14:paraId="58016C38" w14:textId="5427C70E" w:rsidR="00760443" w:rsidRDefault="004D4964" w:rsidP="00DD6620">
      <w:pPr>
        <w:spacing w:line="360" w:lineRule="auto"/>
        <w:jc w:val="center"/>
        <w:rPr>
          <w:rFonts w:ascii="Arial" w:eastAsia="Arial" w:hAnsi="Arial" w:cs="Arial"/>
          <w:b/>
          <w:smallCaps/>
          <w:spacing w:val="30"/>
          <w:sz w:val="24"/>
          <w:szCs w:val="24"/>
        </w:rPr>
      </w:pPr>
      <w:r>
        <w:rPr>
          <w:rFonts w:ascii="Arial" w:eastAsia="Arial" w:hAnsi="Arial" w:cs="Arial"/>
          <w:b/>
          <w:smallCaps/>
          <w:spacing w:val="30"/>
          <w:sz w:val="24"/>
          <w:szCs w:val="24"/>
        </w:rPr>
        <w:t>Perpetual Guardian</w:t>
      </w:r>
      <w:r w:rsidR="009B5E19">
        <w:rPr>
          <w:rFonts w:ascii="Arial" w:eastAsia="Arial" w:hAnsi="Arial" w:cs="Arial"/>
          <w:b/>
          <w:smallCaps/>
          <w:spacing w:val="30"/>
          <w:sz w:val="24"/>
          <w:szCs w:val="24"/>
        </w:rPr>
        <w:t xml:space="preserve"> Group</w:t>
      </w:r>
      <w:r w:rsidR="00FC3E56">
        <w:rPr>
          <w:rFonts w:ascii="Arial" w:eastAsia="Arial" w:hAnsi="Arial" w:cs="Arial"/>
          <w:b/>
          <w:smallCaps/>
          <w:spacing w:val="30"/>
          <w:sz w:val="24"/>
          <w:szCs w:val="24"/>
        </w:rPr>
        <w:t xml:space="preserve"> Re-Enters Corporate </w:t>
      </w:r>
      <w:r w:rsidR="00DD6620">
        <w:rPr>
          <w:rFonts w:ascii="Arial" w:eastAsia="Arial" w:hAnsi="Arial" w:cs="Arial"/>
          <w:b/>
          <w:smallCaps/>
          <w:spacing w:val="30"/>
          <w:sz w:val="24"/>
          <w:szCs w:val="24"/>
        </w:rPr>
        <w:t xml:space="preserve">Supervision </w:t>
      </w:r>
      <w:r w:rsidR="00FE71BA">
        <w:rPr>
          <w:rFonts w:ascii="Arial" w:eastAsia="Arial" w:hAnsi="Arial" w:cs="Arial"/>
          <w:b/>
          <w:smallCaps/>
          <w:spacing w:val="30"/>
          <w:sz w:val="24"/>
          <w:szCs w:val="24"/>
        </w:rPr>
        <w:t xml:space="preserve">Sector </w:t>
      </w:r>
      <w:r w:rsidR="00DD6620">
        <w:rPr>
          <w:rFonts w:ascii="Arial" w:eastAsia="Arial" w:hAnsi="Arial" w:cs="Arial"/>
          <w:b/>
          <w:smallCaps/>
          <w:spacing w:val="30"/>
          <w:sz w:val="24"/>
          <w:szCs w:val="24"/>
        </w:rPr>
        <w:t xml:space="preserve">with </w:t>
      </w:r>
      <w:r w:rsidR="002D51E2">
        <w:rPr>
          <w:rFonts w:ascii="Arial" w:eastAsia="Arial" w:hAnsi="Arial" w:cs="Arial"/>
          <w:b/>
          <w:smallCaps/>
          <w:spacing w:val="30"/>
          <w:sz w:val="24"/>
          <w:szCs w:val="24"/>
        </w:rPr>
        <w:t>Acqu</w:t>
      </w:r>
      <w:r w:rsidR="00DD6620">
        <w:rPr>
          <w:rFonts w:ascii="Arial" w:eastAsia="Arial" w:hAnsi="Arial" w:cs="Arial"/>
          <w:b/>
          <w:smallCaps/>
          <w:spacing w:val="30"/>
          <w:sz w:val="24"/>
          <w:szCs w:val="24"/>
        </w:rPr>
        <w:t xml:space="preserve">isition of </w:t>
      </w:r>
      <w:r w:rsidR="007B1513">
        <w:rPr>
          <w:rFonts w:ascii="Arial" w:eastAsia="Arial" w:hAnsi="Arial" w:cs="Arial"/>
          <w:b/>
          <w:smallCaps/>
          <w:spacing w:val="30"/>
          <w:sz w:val="24"/>
          <w:szCs w:val="24"/>
        </w:rPr>
        <w:t>Trustees Executors Limited</w:t>
      </w:r>
    </w:p>
    <w:p w14:paraId="46D8E78E" w14:textId="188566ED" w:rsidR="006B18F7" w:rsidRDefault="00044535" w:rsidP="00044535">
      <w:pPr>
        <w:shd w:val="clear" w:color="auto" w:fill="FFFFFF"/>
        <w:tabs>
          <w:tab w:val="left" w:pos="7515"/>
        </w:tabs>
        <w:spacing w:line="360" w:lineRule="auto"/>
        <w:rPr>
          <w:rFonts w:ascii="Arial" w:hAnsi="Arial" w:cs="Arial"/>
          <w:b/>
          <w:color w:val="222222"/>
          <w:shd w:val="clear" w:color="auto" w:fill="FFFFFF"/>
        </w:rPr>
      </w:pPr>
      <w:r>
        <w:rPr>
          <w:rFonts w:ascii="Arial" w:hAnsi="Arial" w:cs="Arial"/>
          <w:b/>
          <w:color w:val="222222"/>
          <w:shd w:val="clear" w:color="auto" w:fill="FFFFFF"/>
        </w:rPr>
        <w:tab/>
      </w:r>
    </w:p>
    <w:p w14:paraId="1B807423" w14:textId="6DBFE207" w:rsidR="00D7086B" w:rsidRDefault="00101ED0" w:rsidP="00101ED0">
      <w:pPr>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 xml:space="preserve">Perpetual Guardian Group </w:t>
      </w:r>
      <w:r w:rsidR="00BD2088">
        <w:rPr>
          <w:rFonts w:ascii="Arial" w:hAnsi="Arial" w:cs="Arial"/>
          <w:color w:val="222222"/>
          <w:shd w:val="clear" w:color="auto" w:fill="FFFFFF"/>
        </w:rPr>
        <w:t xml:space="preserve">has acquired </w:t>
      </w:r>
      <w:r w:rsidR="0038659D" w:rsidRPr="0038659D">
        <w:rPr>
          <w:rFonts w:ascii="Arial" w:hAnsi="Arial" w:cs="Arial"/>
          <w:color w:val="222222"/>
          <w:shd w:val="clear" w:color="auto" w:fill="FFFFFF"/>
        </w:rPr>
        <w:t xml:space="preserve">Trustees Executors Limited </w:t>
      </w:r>
      <w:r w:rsidR="0038659D">
        <w:rPr>
          <w:rFonts w:ascii="Arial" w:hAnsi="Arial" w:cs="Arial"/>
          <w:color w:val="222222"/>
          <w:shd w:val="clear" w:color="auto" w:fill="FFFFFF"/>
        </w:rPr>
        <w:t>(TEL)</w:t>
      </w:r>
      <w:r w:rsidR="001551BB">
        <w:rPr>
          <w:rFonts w:ascii="Arial" w:hAnsi="Arial" w:cs="Arial"/>
          <w:color w:val="222222"/>
          <w:shd w:val="clear" w:color="auto" w:fill="FFFFFF"/>
        </w:rPr>
        <w:t xml:space="preserve">, </w:t>
      </w:r>
      <w:r w:rsidR="0038659D" w:rsidRPr="0038659D">
        <w:rPr>
          <w:rFonts w:ascii="Arial" w:hAnsi="Arial" w:cs="Arial"/>
          <w:color w:val="222222"/>
          <w:shd w:val="clear" w:color="auto" w:fill="FFFFFF"/>
        </w:rPr>
        <w:t>trading as Trustees Corporate Supervision</w:t>
      </w:r>
      <w:r w:rsidR="0038659D">
        <w:rPr>
          <w:rFonts w:ascii="Arial" w:hAnsi="Arial" w:cs="Arial"/>
          <w:color w:val="222222"/>
          <w:shd w:val="clear" w:color="auto" w:fill="FFFFFF"/>
        </w:rPr>
        <w:t xml:space="preserve">, </w:t>
      </w:r>
      <w:r w:rsidR="00BD2088">
        <w:rPr>
          <w:rFonts w:ascii="Arial" w:hAnsi="Arial" w:cs="Arial"/>
          <w:color w:val="222222"/>
          <w:shd w:val="clear" w:color="auto" w:fill="FFFFFF"/>
        </w:rPr>
        <w:t xml:space="preserve">for an undisclosed sum. </w:t>
      </w:r>
    </w:p>
    <w:p w14:paraId="139CAC22" w14:textId="77777777" w:rsidR="00D7086B" w:rsidRDefault="00D7086B" w:rsidP="00101ED0">
      <w:pPr>
        <w:shd w:val="clear" w:color="auto" w:fill="FFFFFF"/>
        <w:spacing w:line="360" w:lineRule="auto"/>
        <w:rPr>
          <w:rFonts w:ascii="Arial" w:hAnsi="Arial" w:cs="Arial"/>
          <w:color w:val="222222"/>
          <w:shd w:val="clear" w:color="auto" w:fill="FFFFFF"/>
        </w:rPr>
      </w:pPr>
    </w:p>
    <w:p w14:paraId="57367ACC" w14:textId="72EA3089" w:rsidR="008F74ED" w:rsidRDefault="00D7086B" w:rsidP="00D7086B">
      <w:pPr>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 xml:space="preserve">The acquisition </w:t>
      </w:r>
      <w:r w:rsidR="00FE71BA">
        <w:rPr>
          <w:rFonts w:ascii="Arial" w:hAnsi="Arial" w:cs="Arial"/>
          <w:color w:val="222222"/>
          <w:shd w:val="clear" w:color="auto" w:fill="FFFFFF"/>
        </w:rPr>
        <w:t xml:space="preserve">brings </w:t>
      </w:r>
      <w:r>
        <w:rPr>
          <w:rFonts w:ascii="Arial" w:hAnsi="Arial" w:cs="Arial"/>
          <w:color w:val="222222"/>
          <w:shd w:val="clear" w:color="auto" w:fill="FFFFFF"/>
        </w:rPr>
        <w:t>TEL</w:t>
      </w:r>
      <w:r w:rsidR="00531044">
        <w:rPr>
          <w:rFonts w:ascii="Arial" w:hAnsi="Arial" w:cs="Arial"/>
          <w:color w:val="222222"/>
          <w:shd w:val="clear" w:color="auto" w:fill="FFFFFF"/>
        </w:rPr>
        <w:t>, including its staff and clients,</w:t>
      </w:r>
      <w:r>
        <w:rPr>
          <w:rFonts w:ascii="Arial" w:hAnsi="Arial" w:cs="Arial"/>
          <w:color w:val="222222"/>
          <w:shd w:val="clear" w:color="auto" w:fill="FFFFFF"/>
        </w:rPr>
        <w:t xml:space="preserve"> </w:t>
      </w:r>
      <w:r w:rsidR="00FE71BA">
        <w:rPr>
          <w:rFonts w:ascii="Arial" w:hAnsi="Arial" w:cs="Arial"/>
          <w:color w:val="222222"/>
          <w:shd w:val="clear" w:color="auto" w:fill="FFFFFF"/>
        </w:rPr>
        <w:t xml:space="preserve">into </w:t>
      </w:r>
      <w:r w:rsidR="00956431" w:rsidRPr="00956431">
        <w:rPr>
          <w:rFonts w:ascii="Arial" w:hAnsi="Arial" w:cs="Arial"/>
          <w:color w:val="222222"/>
          <w:shd w:val="clear" w:color="auto" w:fill="FFFFFF"/>
        </w:rPr>
        <w:t>Perpetual Guardian Group</w:t>
      </w:r>
      <w:r w:rsidR="00531044">
        <w:rPr>
          <w:rFonts w:ascii="Arial" w:hAnsi="Arial" w:cs="Arial"/>
          <w:color w:val="222222"/>
          <w:shd w:val="clear" w:color="auto" w:fill="FFFFFF"/>
        </w:rPr>
        <w:t xml:space="preserve">. </w:t>
      </w:r>
      <w:r w:rsidR="00956431" w:rsidRPr="00956431">
        <w:rPr>
          <w:rFonts w:ascii="Arial" w:hAnsi="Arial" w:cs="Arial"/>
          <w:color w:val="222222"/>
          <w:shd w:val="clear" w:color="auto" w:fill="FFFFFF"/>
        </w:rPr>
        <w:t>Trustees Executors will continue to trade as a distinct company and brand</w:t>
      </w:r>
      <w:r w:rsidR="00956431">
        <w:rPr>
          <w:rFonts w:ascii="Arial" w:hAnsi="Arial" w:cs="Arial"/>
          <w:color w:val="222222"/>
          <w:shd w:val="clear" w:color="auto" w:fill="FFFFFF"/>
        </w:rPr>
        <w:t xml:space="preserve"> within the Group</w:t>
      </w:r>
      <w:r w:rsidR="00FE71BA">
        <w:rPr>
          <w:rFonts w:ascii="Arial" w:hAnsi="Arial" w:cs="Arial"/>
          <w:color w:val="222222"/>
          <w:shd w:val="clear" w:color="auto" w:fill="FFFFFF"/>
        </w:rPr>
        <w:t>, which</w:t>
      </w:r>
      <w:r w:rsidR="00956431">
        <w:rPr>
          <w:rFonts w:ascii="Arial" w:hAnsi="Arial" w:cs="Arial"/>
          <w:color w:val="222222"/>
          <w:shd w:val="clear" w:color="auto" w:fill="FFFFFF"/>
        </w:rPr>
        <w:t xml:space="preserve"> </w:t>
      </w:r>
      <w:r w:rsidR="00FE71BA">
        <w:rPr>
          <w:rFonts w:ascii="Arial" w:hAnsi="Arial" w:cs="Arial"/>
          <w:color w:val="222222"/>
          <w:shd w:val="clear" w:color="auto" w:fill="FFFFFF"/>
        </w:rPr>
        <w:t xml:space="preserve">is a highly experienced </w:t>
      </w:r>
      <w:r w:rsidR="00FE71BA" w:rsidRPr="007E2679">
        <w:rPr>
          <w:rFonts w:ascii="Arial" w:hAnsi="Arial" w:cs="Arial"/>
          <w:color w:val="222222"/>
          <w:shd w:val="clear" w:color="auto" w:fill="FFFFFF"/>
        </w:rPr>
        <w:t>corporate trustee services provider, having previously operated and sold the Guardian Trust</w:t>
      </w:r>
      <w:r w:rsidR="00FE71BA" w:rsidRPr="007E2679">
        <w:rPr>
          <w:rFonts w:ascii="Arial" w:hAnsi="Arial" w:cs="Arial"/>
        </w:rPr>
        <w:t xml:space="preserve"> and Covenant </w:t>
      </w:r>
      <w:r w:rsidR="00FE71BA" w:rsidRPr="007E2679">
        <w:rPr>
          <w:rFonts w:ascii="Arial" w:hAnsi="Arial" w:cs="Arial"/>
          <w:color w:val="222222"/>
          <w:shd w:val="clear" w:color="auto" w:fill="FFFFFF"/>
        </w:rPr>
        <w:t>corporate trustee and supervisor business</w:t>
      </w:r>
      <w:r w:rsidR="00FE71BA">
        <w:rPr>
          <w:rFonts w:ascii="Arial" w:hAnsi="Arial" w:cs="Arial"/>
          <w:color w:val="222222"/>
          <w:shd w:val="clear" w:color="auto" w:fill="FFFFFF"/>
        </w:rPr>
        <w:t>es</w:t>
      </w:r>
      <w:r w:rsidR="00FE71BA" w:rsidRPr="007E2679">
        <w:rPr>
          <w:rFonts w:ascii="Arial" w:hAnsi="Arial" w:cs="Arial"/>
          <w:color w:val="222222"/>
          <w:shd w:val="clear" w:color="auto" w:fill="FFFFFF"/>
        </w:rPr>
        <w:t xml:space="preserve"> in 2021.</w:t>
      </w:r>
    </w:p>
    <w:p w14:paraId="21482817" w14:textId="77777777" w:rsidR="00494E65" w:rsidRPr="008F74ED" w:rsidRDefault="00494E65" w:rsidP="00D7086B">
      <w:pPr>
        <w:shd w:val="clear" w:color="auto" w:fill="FFFFFF"/>
        <w:spacing w:line="360" w:lineRule="auto"/>
        <w:rPr>
          <w:rFonts w:ascii="Arial" w:hAnsi="Arial" w:cs="Arial"/>
          <w:b/>
          <w:bCs/>
          <w:color w:val="222222"/>
          <w:shd w:val="clear" w:color="auto" w:fill="FFFFFF"/>
        </w:rPr>
      </w:pPr>
    </w:p>
    <w:p w14:paraId="5E436ADB" w14:textId="18E7C093" w:rsidR="00494E65" w:rsidRDefault="00531044" w:rsidP="00494E65">
      <w:pPr>
        <w:shd w:val="clear" w:color="auto" w:fill="FFFFFF"/>
        <w:spacing w:line="360" w:lineRule="auto"/>
        <w:rPr>
          <w:rFonts w:ascii="Arial" w:hAnsi="Arial" w:cs="Arial"/>
          <w:color w:val="222222"/>
          <w:shd w:val="clear" w:color="auto" w:fill="FFFFFF"/>
        </w:rPr>
      </w:pPr>
      <w:r w:rsidRPr="007C6B1F">
        <w:rPr>
          <w:rFonts w:ascii="Arial" w:hAnsi="Arial" w:cs="Arial"/>
          <w:color w:val="222222"/>
          <w:shd w:val="clear" w:color="auto" w:fill="FFFFFF"/>
        </w:rPr>
        <w:t xml:space="preserve">The </w:t>
      </w:r>
      <w:r w:rsidR="00494E65" w:rsidRPr="007C6B1F">
        <w:rPr>
          <w:rFonts w:ascii="Arial" w:hAnsi="Arial" w:cs="Arial"/>
          <w:color w:val="222222"/>
          <w:shd w:val="clear" w:color="auto" w:fill="FFFFFF"/>
        </w:rPr>
        <w:t>transaction does not include Trustees Executors’ Registry division</w:t>
      </w:r>
      <w:r w:rsidR="00494E65">
        <w:rPr>
          <w:rFonts w:ascii="Arial" w:hAnsi="Arial" w:cs="Arial"/>
          <w:color w:val="222222"/>
          <w:shd w:val="clear" w:color="auto" w:fill="FFFFFF"/>
        </w:rPr>
        <w:t xml:space="preserve">, </w:t>
      </w:r>
      <w:r w:rsidR="00494E65" w:rsidRPr="00651D5D">
        <w:rPr>
          <w:rFonts w:ascii="Arial" w:hAnsi="Arial" w:cs="Arial"/>
          <w:color w:val="222222"/>
          <w:shd w:val="clear" w:color="auto" w:fill="FFFFFF"/>
        </w:rPr>
        <w:t>which remains a subsidiary of Trustees Executors Holdings Limited.</w:t>
      </w:r>
      <w:r w:rsidRPr="00531044">
        <w:rPr>
          <w:rFonts w:ascii="Arial" w:hAnsi="Arial" w:cs="Arial"/>
          <w:color w:val="222222"/>
          <w:shd w:val="clear" w:color="auto" w:fill="FFFFFF"/>
        </w:rPr>
        <w:t xml:space="preserve"> </w:t>
      </w:r>
      <w:r>
        <w:rPr>
          <w:rFonts w:ascii="Arial" w:hAnsi="Arial" w:cs="Arial"/>
          <w:color w:val="222222"/>
          <w:shd w:val="clear" w:color="auto" w:fill="FFFFFF"/>
        </w:rPr>
        <w:t xml:space="preserve">The Financial Markets Authority as the licensing agency has </w:t>
      </w:r>
      <w:r w:rsidRPr="00D62B84">
        <w:rPr>
          <w:rFonts w:ascii="Arial" w:hAnsi="Arial" w:cs="Arial"/>
          <w:color w:val="222222"/>
          <w:shd w:val="clear" w:color="auto" w:fill="FFFFFF"/>
        </w:rPr>
        <w:t>been notified of the</w:t>
      </w:r>
      <w:r>
        <w:rPr>
          <w:rFonts w:ascii="Arial" w:hAnsi="Arial" w:cs="Arial"/>
          <w:color w:val="222222"/>
          <w:shd w:val="clear" w:color="auto" w:fill="FFFFFF"/>
        </w:rPr>
        <w:t xml:space="preserve"> sale.  </w:t>
      </w:r>
    </w:p>
    <w:p w14:paraId="0443BC35" w14:textId="77777777" w:rsidR="00D7086B" w:rsidRDefault="00D7086B" w:rsidP="00D7086B">
      <w:pPr>
        <w:shd w:val="clear" w:color="auto" w:fill="FFFFFF"/>
        <w:spacing w:line="360" w:lineRule="auto"/>
        <w:rPr>
          <w:rFonts w:ascii="Arial" w:hAnsi="Arial" w:cs="Arial"/>
          <w:color w:val="222222"/>
          <w:shd w:val="clear" w:color="auto" w:fill="FFFFFF"/>
        </w:rPr>
      </w:pPr>
    </w:p>
    <w:p w14:paraId="7F559CF1" w14:textId="5A6719D2" w:rsidR="00956431" w:rsidRDefault="00956431" w:rsidP="00956431">
      <w:pPr>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The parties are the two longest-serving trustee companies in the country</w:t>
      </w:r>
      <w:r w:rsidR="00FE71BA">
        <w:rPr>
          <w:rFonts w:ascii="Arial" w:hAnsi="Arial" w:cs="Arial"/>
          <w:color w:val="222222"/>
          <w:shd w:val="clear" w:color="auto" w:fill="FFFFFF"/>
        </w:rPr>
        <w:t xml:space="preserve">. With </w:t>
      </w:r>
      <w:r w:rsidR="00F00D21" w:rsidRPr="001B3216">
        <w:rPr>
          <w:rFonts w:ascii="Arial" w:hAnsi="Arial" w:cs="Arial"/>
          <w:color w:val="222222"/>
          <w:shd w:val="clear" w:color="auto" w:fill="FFFFFF"/>
        </w:rPr>
        <w:t>this acquisition</w:t>
      </w:r>
      <w:r w:rsidR="00FE71BA">
        <w:rPr>
          <w:rFonts w:ascii="Arial" w:hAnsi="Arial" w:cs="Arial"/>
          <w:color w:val="222222"/>
          <w:shd w:val="clear" w:color="auto" w:fill="FFFFFF"/>
        </w:rPr>
        <w:t xml:space="preserve">, </w:t>
      </w:r>
      <w:r w:rsidR="00F00D21">
        <w:rPr>
          <w:rFonts w:ascii="Arial" w:hAnsi="Arial" w:cs="Arial"/>
          <w:color w:val="222222"/>
          <w:shd w:val="clear" w:color="auto" w:fill="FFFFFF"/>
        </w:rPr>
        <w:t>Perpetual Guardian Group</w:t>
      </w:r>
      <w:r w:rsidR="00F00D21" w:rsidRPr="001B3216">
        <w:rPr>
          <w:rFonts w:ascii="Arial" w:hAnsi="Arial" w:cs="Arial"/>
          <w:color w:val="222222"/>
          <w:shd w:val="clear" w:color="auto" w:fill="FFFFFF"/>
        </w:rPr>
        <w:t xml:space="preserve"> become</w:t>
      </w:r>
      <w:r w:rsidR="00FE71BA">
        <w:rPr>
          <w:rFonts w:ascii="Arial" w:hAnsi="Arial" w:cs="Arial"/>
          <w:color w:val="222222"/>
          <w:shd w:val="clear" w:color="auto" w:fill="FFFFFF"/>
        </w:rPr>
        <w:t>s</w:t>
      </w:r>
      <w:r w:rsidR="00F00D21" w:rsidRPr="001B3216">
        <w:rPr>
          <w:rFonts w:ascii="Arial" w:hAnsi="Arial" w:cs="Arial"/>
          <w:color w:val="222222"/>
          <w:shd w:val="clear" w:color="auto" w:fill="FFFFFF"/>
        </w:rPr>
        <w:t xml:space="preserve"> the largest and most comprehensive </w:t>
      </w:r>
      <w:r w:rsidR="00FE71BA">
        <w:rPr>
          <w:rFonts w:ascii="Arial" w:hAnsi="Arial" w:cs="Arial"/>
          <w:color w:val="222222"/>
          <w:shd w:val="clear" w:color="auto" w:fill="FFFFFF"/>
        </w:rPr>
        <w:t xml:space="preserve">fiduciary services </w:t>
      </w:r>
      <w:r w:rsidR="00F00D21" w:rsidRPr="001B3216">
        <w:rPr>
          <w:rFonts w:ascii="Arial" w:hAnsi="Arial" w:cs="Arial"/>
          <w:color w:val="222222"/>
          <w:shd w:val="clear" w:color="auto" w:fill="FFFFFF"/>
        </w:rPr>
        <w:t xml:space="preserve">Group in </w:t>
      </w:r>
      <w:r w:rsidR="00A1007B">
        <w:rPr>
          <w:rFonts w:ascii="Arial" w:hAnsi="Arial" w:cs="Arial"/>
          <w:color w:val="222222"/>
          <w:shd w:val="clear" w:color="auto" w:fill="FFFFFF"/>
        </w:rPr>
        <w:t>New Zealand</w:t>
      </w:r>
      <w:r w:rsidR="00F00D21" w:rsidRPr="001B3216">
        <w:rPr>
          <w:rFonts w:ascii="Arial" w:hAnsi="Arial" w:cs="Arial"/>
          <w:color w:val="222222"/>
          <w:shd w:val="clear" w:color="auto" w:fill="FFFFFF"/>
        </w:rPr>
        <w:t>.</w:t>
      </w:r>
      <w:r w:rsidR="00F00D21">
        <w:rPr>
          <w:rFonts w:ascii="Arial" w:hAnsi="Arial" w:cs="Arial"/>
          <w:color w:val="222222"/>
          <w:shd w:val="clear" w:color="auto" w:fill="FFFFFF"/>
        </w:rPr>
        <w:t xml:space="preserve"> </w:t>
      </w:r>
      <w:r w:rsidR="005F51C3">
        <w:rPr>
          <w:rFonts w:ascii="Arial" w:hAnsi="Arial" w:cs="Arial"/>
          <w:color w:val="222222"/>
          <w:shd w:val="clear" w:color="auto" w:fill="FFFFFF"/>
        </w:rPr>
        <w:t>It follows</w:t>
      </w:r>
      <w:r>
        <w:rPr>
          <w:rFonts w:ascii="Arial" w:hAnsi="Arial" w:cs="Arial"/>
          <w:color w:val="222222"/>
          <w:shd w:val="clear" w:color="auto" w:fill="FFFFFF"/>
        </w:rPr>
        <w:t xml:space="preserve"> </w:t>
      </w:r>
      <w:r w:rsidR="00FE71BA">
        <w:rPr>
          <w:rFonts w:ascii="Arial" w:hAnsi="Arial" w:cs="Arial"/>
          <w:color w:val="222222"/>
          <w:shd w:val="clear" w:color="auto" w:fill="FFFFFF"/>
        </w:rPr>
        <w:t>the</w:t>
      </w:r>
      <w:r>
        <w:rPr>
          <w:rFonts w:ascii="Arial" w:hAnsi="Arial" w:cs="Arial"/>
          <w:color w:val="222222"/>
          <w:shd w:val="clear" w:color="auto" w:fill="FFFFFF"/>
        </w:rPr>
        <w:t xml:space="preserve"> Group</w:t>
      </w:r>
      <w:r w:rsidR="005F51C3">
        <w:rPr>
          <w:rFonts w:ascii="Arial" w:hAnsi="Arial" w:cs="Arial"/>
          <w:color w:val="222222"/>
          <w:shd w:val="clear" w:color="auto" w:fill="FFFFFF"/>
        </w:rPr>
        <w:t>’s acquisition of</w:t>
      </w:r>
      <w:r>
        <w:rPr>
          <w:rFonts w:ascii="Arial" w:hAnsi="Arial" w:cs="Arial"/>
          <w:color w:val="222222"/>
          <w:shd w:val="clear" w:color="auto" w:fill="FFFFFF"/>
        </w:rPr>
        <w:t xml:space="preserve"> Trustees Executors’ private </w:t>
      </w:r>
      <w:r w:rsidR="00EA7472">
        <w:rPr>
          <w:rFonts w:ascii="Arial" w:hAnsi="Arial" w:cs="Arial"/>
          <w:color w:val="222222"/>
          <w:shd w:val="clear" w:color="auto" w:fill="FFFFFF"/>
        </w:rPr>
        <w:t>wealth</w:t>
      </w:r>
      <w:r>
        <w:rPr>
          <w:rFonts w:ascii="Arial" w:hAnsi="Arial" w:cs="Arial"/>
          <w:color w:val="222222"/>
          <w:shd w:val="clear" w:color="auto" w:fill="FFFFFF"/>
        </w:rPr>
        <w:t xml:space="preserve"> business in 2024</w:t>
      </w:r>
      <w:r w:rsidR="00FE71BA">
        <w:rPr>
          <w:rFonts w:ascii="Arial" w:hAnsi="Arial" w:cs="Arial"/>
          <w:color w:val="222222"/>
          <w:shd w:val="clear" w:color="auto" w:fill="FFFFFF"/>
        </w:rPr>
        <w:t xml:space="preserve">; </w:t>
      </w:r>
      <w:r w:rsidR="005F51C3">
        <w:rPr>
          <w:rFonts w:ascii="Arial" w:hAnsi="Arial" w:cs="Arial"/>
          <w:color w:val="222222"/>
          <w:shd w:val="clear" w:color="auto" w:fill="FFFFFF"/>
        </w:rPr>
        <w:t>t</w:t>
      </w:r>
      <w:r>
        <w:rPr>
          <w:rFonts w:ascii="Arial" w:hAnsi="Arial" w:cs="Arial"/>
          <w:color w:val="222222"/>
          <w:shd w:val="clear" w:color="auto" w:fill="FFFFFF"/>
        </w:rPr>
        <w:t xml:space="preserve">hat </w:t>
      </w:r>
      <w:r w:rsidR="005F51C3">
        <w:rPr>
          <w:rFonts w:ascii="Arial" w:hAnsi="Arial" w:cs="Arial"/>
          <w:color w:val="222222"/>
          <w:shd w:val="clear" w:color="auto" w:fill="FFFFFF"/>
        </w:rPr>
        <w:t>d</w:t>
      </w:r>
      <w:r>
        <w:rPr>
          <w:rFonts w:ascii="Arial" w:hAnsi="Arial" w:cs="Arial"/>
          <w:color w:val="222222"/>
          <w:shd w:val="clear" w:color="auto" w:fill="FFFFFF"/>
        </w:rPr>
        <w:t xml:space="preserve">ivision has since been successfully integrated into the wider group of companies. </w:t>
      </w:r>
    </w:p>
    <w:p w14:paraId="5770D158" w14:textId="77777777" w:rsidR="00956431" w:rsidRDefault="00956431" w:rsidP="00956431">
      <w:pPr>
        <w:shd w:val="clear" w:color="auto" w:fill="FFFFFF"/>
        <w:spacing w:line="360" w:lineRule="auto"/>
        <w:rPr>
          <w:rFonts w:ascii="Arial" w:hAnsi="Arial" w:cs="Arial"/>
          <w:color w:val="222222"/>
          <w:shd w:val="clear" w:color="auto" w:fill="FFFFFF"/>
        </w:rPr>
      </w:pPr>
    </w:p>
    <w:p w14:paraId="381B1EE4" w14:textId="210299F2" w:rsidR="00FE4836" w:rsidRDefault="00D002C9" w:rsidP="00101ED0">
      <w:pPr>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This acquisition</w:t>
      </w:r>
      <w:r w:rsidR="00BD2088">
        <w:rPr>
          <w:rFonts w:ascii="Arial" w:hAnsi="Arial" w:cs="Arial"/>
          <w:color w:val="222222"/>
          <w:shd w:val="clear" w:color="auto" w:fill="FFFFFF"/>
        </w:rPr>
        <w:t xml:space="preserve"> bro</w:t>
      </w:r>
      <w:r w:rsidR="00EC32ED">
        <w:rPr>
          <w:rFonts w:ascii="Arial" w:hAnsi="Arial" w:cs="Arial"/>
          <w:color w:val="222222"/>
          <w:shd w:val="clear" w:color="auto" w:fill="FFFFFF"/>
        </w:rPr>
        <w:t xml:space="preserve">adens the Group’s services and enables it to apply its </w:t>
      </w:r>
      <w:r w:rsidR="00BF147A">
        <w:rPr>
          <w:rFonts w:ascii="Arial" w:hAnsi="Arial" w:cs="Arial"/>
          <w:color w:val="222222"/>
          <w:shd w:val="clear" w:color="auto" w:fill="FFFFFF"/>
        </w:rPr>
        <w:t>extensive</w:t>
      </w:r>
      <w:r w:rsidR="006E7830">
        <w:rPr>
          <w:rFonts w:ascii="Arial" w:hAnsi="Arial" w:cs="Arial"/>
          <w:color w:val="222222"/>
          <w:shd w:val="clear" w:color="auto" w:fill="FFFFFF"/>
        </w:rPr>
        <w:t xml:space="preserve"> institutional knowledge of </w:t>
      </w:r>
      <w:r w:rsidR="00A77A0D">
        <w:rPr>
          <w:rFonts w:ascii="Arial" w:hAnsi="Arial" w:cs="Arial"/>
          <w:color w:val="222222"/>
          <w:shd w:val="clear" w:color="auto" w:fill="FFFFFF"/>
        </w:rPr>
        <w:t>corporate trustee service</w:t>
      </w:r>
      <w:r w:rsidR="00BF147A">
        <w:rPr>
          <w:rFonts w:ascii="Arial" w:hAnsi="Arial" w:cs="Arial"/>
          <w:color w:val="222222"/>
          <w:shd w:val="clear" w:color="auto" w:fill="FFFFFF"/>
        </w:rPr>
        <w:t xml:space="preserve"> pr</w:t>
      </w:r>
      <w:r w:rsidR="00A57600">
        <w:rPr>
          <w:rFonts w:ascii="Arial" w:hAnsi="Arial" w:cs="Arial"/>
          <w:color w:val="222222"/>
          <w:shd w:val="clear" w:color="auto" w:fill="FFFFFF"/>
        </w:rPr>
        <w:t>ovision</w:t>
      </w:r>
      <w:r w:rsidR="00281D38">
        <w:rPr>
          <w:rFonts w:ascii="Arial" w:hAnsi="Arial" w:cs="Arial"/>
          <w:color w:val="222222"/>
          <w:shd w:val="clear" w:color="auto" w:fill="FFFFFF"/>
        </w:rPr>
        <w:t xml:space="preserve"> </w:t>
      </w:r>
      <w:r w:rsidR="001551BB">
        <w:rPr>
          <w:rFonts w:ascii="Arial" w:hAnsi="Arial" w:cs="Arial"/>
          <w:color w:val="222222"/>
          <w:shd w:val="clear" w:color="auto" w:fill="FFFFFF"/>
        </w:rPr>
        <w:t xml:space="preserve">and operational methods </w:t>
      </w:r>
      <w:r w:rsidR="00281D38">
        <w:rPr>
          <w:rFonts w:ascii="Arial" w:hAnsi="Arial" w:cs="Arial"/>
          <w:color w:val="222222"/>
          <w:shd w:val="clear" w:color="auto" w:fill="FFFFFF"/>
        </w:rPr>
        <w:t xml:space="preserve">to TEL </w:t>
      </w:r>
      <w:r w:rsidR="00A77A0D">
        <w:rPr>
          <w:rFonts w:ascii="Arial" w:hAnsi="Arial" w:cs="Arial"/>
          <w:color w:val="222222"/>
          <w:shd w:val="clear" w:color="auto" w:fill="FFFFFF"/>
        </w:rPr>
        <w:t>clients</w:t>
      </w:r>
      <w:r w:rsidR="00A57600">
        <w:rPr>
          <w:rFonts w:ascii="Arial" w:hAnsi="Arial" w:cs="Arial"/>
          <w:color w:val="222222"/>
          <w:shd w:val="clear" w:color="auto" w:fill="FFFFFF"/>
        </w:rPr>
        <w:t xml:space="preserve">. </w:t>
      </w:r>
    </w:p>
    <w:p w14:paraId="6EEFA446" w14:textId="77777777" w:rsidR="000E1C7E" w:rsidRDefault="000E1C7E" w:rsidP="00101ED0">
      <w:pPr>
        <w:shd w:val="clear" w:color="auto" w:fill="FFFFFF"/>
        <w:spacing w:line="360" w:lineRule="auto"/>
        <w:rPr>
          <w:rFonts w:ascii="Arial" w:hAnsi="Arial" w:cs="Arial"/>
          <w:color w:val="222222"/>
          <w:shd w:val="clear" w:color="auto" w:fill="FFFFFF"/>
        </w:rPr>
      </w:pPr>
    </w:p>
    <w:p w14:paraId="669E6309" w14:textId="4226551B" w:rsidR="000E1C7E" w:rsidRDefault="000E1C7E" w:rsidP="000E1C7E">
      <w:pPr>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Patrick Gamble, CEO of Perpetual Guardian Group</w:t>
      </w:r>
      <w:r w:rsidR="00FE71BA">
        <w:rPr>
          <w:rFonts w:ascii="Arial" w:hAnsi="Arial" w:cs="Arial"/>
          <w:color w:val="222222"/>
          <w:shd w:val="clear" w:color="auto" w:fill="FFFFFF"/>
        </w:rPr>
        <w:t>,</w:t>
      </w:r>
      <w:r>
        <w:rPr>
          <w:rFonts w:ascii="Arial" w:hAnsi="Arial" w:cs="Arial"/>
          <w:color w:val="222222"/>
          <w:shd w:val="clear" w:color="auto" w:fill="FFFFFF"/>
        </w:rPr>
        <w:t xml:space="preserve"> says, “</w:t>
      </w:r>
      <w:r w:rsidR="0043353B">
        <w:rPr>
          <w:rFonts w:ascii="Arial" w:hAnsi="Arial" w:cs="Arial"/>
          <w:color w:val="222222"/>
          <w:shd w:val="clear" w:color="auto" w:fill="FFFFFF"/>
        </w:rPr>
        <w:t>W</w:t>
      </w:r>
      <w:r>
        <w:rPr>
          <w:rFonts w:ascii="Arial" w:hAnsi="Arial" w:cs="Arial"/>
          <w:color w:val="222222"/>
          <w:shd w:val="clear" w:color="auto" w:fill="FFFFFF"/>
        </w:rPr>
        <w:t>elcoming</w:t>
      </w:r>
      <w:r w:rsidR="0082738E">
        <w:rPr>
          <w:rFonts w:ascii="Arial" w:hAnsi="Arial" w:cs="Arial"/>
          <w:color w:val="222222"/>
          <w:shd w:val="clear" w:color="auto" w:fill="FFFFFF"/>
        </w:rPr>
        <w:t xml:space="preserve"> the corporate trust business of</w:t>
      </w:r>
      <w:r>
        <w:rPr>
          <w:rFonts w:ascii="Arial" w:hAnsi="Arial" w:cs="Arial"/>
          <w:color w:val="222222"/>
          <w:shd w:val="clear" w:color="auto" w:fill="FFFFFF"/>
        </w:rPr>
        <w:t xml:space="preserve"> Trustees Executors into our Group is the right fit. </w:t>
      </w:r>
      <w:r w:rsidR="00FE71BA">
        <w:rPr>
          <w:rFonts w:ascii="Arial" w:hAnsi="Arial" w:cs="Arial"/>
          <w:color w:val="222222"/>
          <w:shd w:val="clear" w:color="auto" w:fill="FFFFFF"/>
        </w:rPr>
        <w:t>We</w:t>
      </w:r>
      <w:r>
        <w:rPr>
          <w:rFonts w:ascii="Arial" w:hAnsi="Arial" w:cs="Arial"/>
          <w:color w:val="222222"/>
          <w:shd w:val="clear" w:color="auto" w:fill="FFFFFF"/>
        </w:rPr>
        <w:t xml:space="preserve"> continue to grow organically and by </w:t>
      </w:r>
      <w:proofErr w:type="gramStart"/>
      <w:r w:rsidR="00A90A5D">
        <w:rPr>
          <w:rFonts w:ascii="Arial" w:hAnsi="Arial" w:cs="Arial"/>
          <w:color w:val="222222"/>
          <w:shd w:val="clear" w:color="auto" w:fill="FFFFFF"/>
        </w:rPr>
        <w:t>acquisition</w:t>
      </w:r>
      <w:r w:rsidR="00E6161C">
        <w:rPr>
          <w:rFonts w:ascii="Arial" w:hAnsi="Arial" w:cs="Arial"/>
          <w:color w:val="222222"/>
          <w:shd w:val="clear" w:color="auto" w:fill="FFFFFF"/>
        </w:rPr>
        <w:t>,</w:t>
      </w:r>
      <w:r w:rsidR="00A90A5D">
        <w:rPr>
          <w:rFonts w:ascii="Arial" w:hAnsi="Arial" w:cs="Arial"/>
          <w:color w:val="222222"/>
          <w:shd w:val="clear" w:color="auto" w:fill="FFFFFF"/>
        </w:rPr>
        <w:t xml:space="preserve"> and</w:t>
      </w:r>
      <w:proofErr w:type="gramEnd"/>
      <w:r>
        <w:rPr>
          <w:rFonts w:ascii="Arial" w:hAnsi="Arial" w:cs="Arial"/>
          <w:color w:val="222222"/>
          <w:shd w:val="clear" w:color="auto" w:fill="FFFFFF"/>
        </w:rPr>
        <w:t xml:space="preserve"> </w:t>
      </w:r>
      <w:r w:rsidR="00A23E66">
        <w:rPr>
          <w:rFonts w:ascii="Arial" w:hAnsi="Arial" w:cs="Arial"/>
          <w:color w:val="222222"/>
          <w:shd w:val="clear" w:color="auto" w:fill="FFFFFF"/>
        </w:rPr>
        <w:t xml:space="preserve">bringing </w:t>
      </w:r>
      <w:r w:rsidR="009755F3">
        <w:rPr>
          <w:rFonts w:ascii="Arial" w:hAnsi="Arial" w:cs="Arial"/>
          <w:color w:val="222222"/>
          <w:shd w:val="clear" w:color="auto" w:fill="FFFFFF"/>
        </w:rPr>
        <w:t xml:space="preserve">an exemplary </w:t>
      </w:r>
      <w:r w:rsidR="00A23E66">
        <w:rPr>
          <w:rFonts w:ascii="Arial" w:hAnsi="Arial" w:cs="Arial"/>
          <w:color w:val="222222"/>
          <w:shd w:val="clear" w:color="auto" w:fill="FFFFFF"/>
        </w:rPr>
        <w:t xml:space="preserve">corporate trustee and supervisory </w:t>
      </w:r>
      <w:r w:rsidR="009755F3">
        <w:rPr>
          <w:rFonts w:ascii="Arial" w:hAnsi="Arial" w:cs="Arial"/>
          <w:color w:val="222222"/>
          <w:shd w:val="clear" w:color="auto" w:fill="FFFFFF"/>
        </w:rPr>
        <w:t>business</w:t>
      </w:r>
      <w:r w:rsidR="00A23E66">
        <w:rPr>
          <w:rFonts w:ascii="Arial" w:hAnsi="Arial" w:cs="Arial"/>
          <w:color w:val="222222"/>
          <w:shd w:val="clear" w:color="auto" w:fill="FFFFFF"/>
        </w:rPr>
        <w:t xml:space="preserve"> back into our Group’s offering </w:t>
      </w:r>
      <w:r w:rsidR="0082738E">
        <w:rPr>
          <w:rFonts w:ascii="Arial" w:hAnsi="Arial" w:cs="Arial"/>
          <w:color w:val="222222"/>
          <w:shd w:val="clear" w:color="auto" w:fill="FFFFFF"/>
        </w:rPr>
        <w:t xml:space="preserve">rounds out our full suite of </w:t>
      </w:r>
      <w:r w:rsidR="009755F3">
        <w:rPr>
          <w:rFonts w:ascii="Arial" w:hAnsi="Arial" w:cs="Arial"/>
          <w:color w:val="222222"/>
          <w:shd w:val="clear" w:color="auto" w:fill="FFFFFF"/>
        </w:rPr>
        <w:t xml:space="preserve">services in the broader </w:t>
      </w:r>
      <w:r w:rsidR="00A90A5D">
        <w:rPr>
          <w:rFonts w:ascii="Arial" w:hAnsi="Arial" w:cs="Arial"/>
          <w:color w:val="222222"/>
          <w:shd w:val="clear" w:color="auto" w:fill="FFFFFF"/>
        </w:rPr>
        <w:t xml:space="preserve">fiduciary space.” </w:t>
      </w:r>
    </w:p>
    <w:p w14:paraId="1300FAF5" w14:textId="77777777" w:rsidR="00D002C9" w:rsidRDefault="00D002C9" w:rsidP="00101ED0">
      <w:pPr>
        <w:shd w:val="clear" w:color="auto" w:fill="FFFFFF"/>
        <w:spacing w:line="360" w:lineRule="auto"/>
        <w:rPr>
          <w:rFonts w:ascii="Arial" w:hAnsi="Arial" w:cs="Arial"/>
          <w:color w:val="222222"/>
          <w:shd w:val="clear" w:color="auto" w:fill="FFFFFF"/>
        </w:rPr>
      </w:pPr>
    </w:p>
    <w:p w14:paraId="3D8B82ED" w14:textId="0059A827" w:rsidR="000B01D1" w:rsidRDefault="00965E38" w:rsidP="00101ED0">
      <w:pPr>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lastRenderedPageBreak/>
        <w:t>Andrew Barnes, founder of Perpetual Guardian Group</w:t>
      </w:r>
      <w:r w:rsidR="00FE71BA">
        <w:rPr>
          <w:rFonts w:ascii="Arial" w:hAnsi="Arial" w:cs="Arial"/>
          <w:color w:val="222222"/>
          <w:shd w:val="clear" w:color="auto" w:fill="FFFFFF"/>
        </w:rPr>
        <w:t>,</w:t>
      </w:r>
      <w:r>
        <w:rPr>
          <w:rFonts w:ascii="Arial" w:hAnsi="Arial" w:cs="Arial"/>
          <w:color w:val="222222"/>
          <w:shd w:val="clear" w:color="auto" w:fill="FFFFFF"/>
        </w:rPr>
        <w:t xml:space="preserve"> says, “</w:t>
      </w:r>
      <w:r w:rsidR="000B01D1" w:rsidRPr="000B01D1">
        <w:rPr>
          <w:rFonts w:ascii="Arial" w:hAnsi="Arial" w:cs="Arial"/>
          <w:color w:val="222222"/>
          <w:shd w:val="clear" w:color="auto" w:fill="FFFFFF"/>
        </w:rPr>
        <w:t>Following the successful integration of Trustees Executors Private Wealth into Perpetual Guardian, we are pleased to welcome the Corporate Trust business into the wider Perpetual Guardian Group. Statutory trustee companies have a long and respected history in New Zealand, and we remain committed to the stewardship and growth of the country’s oldest trust company alongside</w:t>
      </w:r>
      <w:r w:rsidR="00FE71BA">
        <w:rPr>
          <w:rFonts w:ascii="Arial" w:hAnsi="Arial" w:cs="Arial"/>
          <w:color w:val="222222"/>
          <w:shd w:val="clear" w:color="auto" w:fill="FFFFFF"/>
        </w:rPr>
        <w:t xml:space="preserve"> </w:t>
      </w:r>
      <w:r w:rsidR="000B01D1" w:rsidRPr="000B01D1">
        <w:rPr>
          <w:rFonts w:ascii="Arial" w:hAnsi="Arial" w:cs="Arial"/>
          <w:color w:val="222222"/>
          <w:shd w:val="clear" w:color="auto" w:fill="FFFFFF"/>
        </w:rPr>
        <w:t>Perpetual Guardian Group</w:t>
      </w:r>
      <w:r w:rsidR="00EA7472">
        <w:rPr>
          <w:rFonts w:ascii="Arial" w:hAnsi="Arial" w:cs="Arial"/>
          <w:color w:val="222222"/>
          <w:shd w:val="clear" w:color="auto" w:fill="FFFFFF"/>
        </w:rPr>
        <w:t xml:space="preserve">. </w:t>
      </w:r>
      <w:r w:rsidR="00FE71BA">
        <w:rPr>
          <w:rFonts w:ascii="Arial" w:hAnsi="Arial" w:cs="Arial"/>
          <w:color w:val="222222"/>
          <w:shd w:val="clear" w:color="auto" w:fill="FFFFFF"/>
        </w:rPr>
        <w:t>We</w:t>
      </w:r>
      <w:r w:rsidR="000B01D1" w:rsidRPr="000B01D1">
        <w:rPr>
          <w:rFonts w:ascii="Arial" w:hAnsi="Arial" w:cs="Arial"/>
          <w:color w:val="222222"/>
          <w:shd w:val="clear" w:color="auto" w:fill="FFFFFF"/>
        </w:rPr>
        <w:t xml:space="preserve"> bring deep experience in the Corporate Trust sector, and this acquisition marks an important milestone as we re</w:t>
      </w:r>
      <w:r w:rsidR="000B01D1">
        <w:rPr>
          <w:rFonts w:ascii="Arial" w:hAnsi="Arial" w:cs="Arial"/>
          <w:color w:val="222222"/>
          <w:shd w:val="clear" w:color="auto" w:fill="FFFFFF"/>
        </w:rPr>
        <w:t>-</w:t>
      </w:r>
      <w:r w:rsidR="000B01D1" w:rsidRPr="000B01D1">
        <w:rPr>
          <w:rFonts w:ascii="Arial" w:hAnsi="Arial" w:cs="Arial"/>
          <w:color w:val="222222"/>
          <w:shd w:val="clear" w:color="auto" w:fill="FFFFFF"/>
        </w:rPr>
        <w:t>enter this critical segment of New Zealand’s financial services industry.</w:t>
      </w:r>
      <w:r w:rsidR="000B01D1">
        <w:rPr>
          <w:rFonts w:ascii="Arial" w:hAnsi="Arial" w:cs="Arial"/>
          <w:color w:val="222222"/>
          <w:shd w:val="clear" w:color="auto" w:fill="FFFFFF"/>
        </w:rPr>
        <w:t>”</w:t>
      </w:r>
    </w:p>
    <w:p w14:paraId="57E6585C" w14:textId="77777777" w:rsidR="000B01D1" w:rsidRDefault="000B01D1" w:rsidP="00101ED0">
      <w:pPr>
        <w:shd w:val="clear" w:color="auto" w:fill="FFFFFF"/>
        <w:spacing w:line="360" w:lineRule="auto"/>
        <w:rPr>
          <w:rFonts w:ascii="Arial" w:hAnsi="Arial" w:cs="Arial"/>
          <w:color w:val="222222"/>
          <w:shd w:val="clear" w:color="auto" w:fill="FFFFFF"/>
        </w:rPr>
      </w:pPr>
    </w:p>
    <w:p w14:paraId="21DA95BF" w14:textId="0A949286" w:rsidR="000B01D1" w:rsidRPr="007E2679" w:rsidRDefault="00FE5202" w:rsidP="00101ED0">
      <w:pPr>
        <w:shd w:val="clear" w:color="auto" w:fill="FFFFFF"/>
        <w:spacing w:line="360" w:lineRule="auto"/>
        <w:rPr>
          <w:rFonts w:ascii="Arial" w:hAnsi="Arial" w:cs="Arial"/>
          <w:color w:val="222222"/>
          <w:shd w:val="clear" w:color="auto" w:fill="FFFFFF"/>
        </w:rPr>
      </w:pPr>
      <w:r w:rsidRPr="00FE5202">
        <w:rPr>
          <w:rFonts w:ascii="Arial" w:hAnsi="Arial" w:cs="Arial"/>
          <w:color w:val="222222"/>
          <w:shd w:val="clear" w:color="auto" w:fill="FFFFFF"/>
        </w:rPr>
        <w:t>John Grace, Owner of Trustees Executors</w:t>
      </w:r>
      <w:r w:rsidR="00FE71BA">
        <w:rPr>
          <w:rFonts w:ascii="Arial" w:hAnsi="Arial" w:cs="Arial"/>
          <w:color w:val="222222"/>
          <w:shd w:val="clear" w:color="auto" w:fill="FFFFFF"/>
        </w:rPr>
        <w:t>,</w:t>
      </w:r>
      <w:r>
        <w:rPr>
          <w:rFonts w:ascii="Arial" w:hAnsi="Arial" w:cs="Arial"/>
          <w:color w:val="222222"/>
          <w:shd w:val="clear" w:color="auto" w:fill="FFFFFF"/>
        </w:rPr>
        <w:t xml:space="preserve"> says, “</w:t>
      </w:r>
      <w:r w:rsidR="0095614C" w:rsidRPr="0095614C">
        <w:rPr>
          <w:rFonts w:ascii="Arial" w:hAnsi="Arial" w:cs="Arial"/>
          <w:color w:val="222222"/>
          <w:shd w:val="clear" w:color="auto" w:fill="FFFFFF"/>
        </w:rPr>
        <w:t xml:space="preserve">Trustees Executors’ success is a direct result of </w:t>
      </w:r>
      <w:r w:rsidR="0095614C">
        <w:rPr>
          <w:rFonts w:ascii="Arial" w:hAnsi="Arial" w:cs="Arial"/>
          <w:color w:val="222222"/>
          <w:shd w:val="clear" w:color="auto" w:fill="FFFFFF"/>
        </w:rPr>
        <w:t>our team</w:t>
      </w:r>
      <w:r w:rsidR="00E6161C">
        <w:rPr>
          <w:rFonts w:ascii="Arial" w:hAnsi="Arial" w:cs="Arial"/>
          <w:color w:val="222222"/>
          <w:shd w:val="clear" w:color="auto" w:fill="FFFFFF"/>
        </w:rPr>
        <w:t>’</w:t>
      </w:r>
      <w:r w:rsidR="0095614C">
        <w:rPr>
          <w:rFonts w:ascii="Arial" w:hAnsi="Arial" w:cs="Arial"/>
          <w:color w:val="222222"/>
          <w:shd w:val="clear" w:color="auto" w:fill="FFFFFF"/>
        </w:rPr>
        <w:t>s</w:t>
      </w:r>
      <w:r w:rsidR="0095614C" w:rsidRPr="0095614C">
        <w:rPr>
          <w:rFonts w:ascii="Arial" w:hAnsi="Arial" w:cs="Arial"/>
          <w:color w:val="222222"/>
          <w:shd w:val="clear" w:color="auto" w:fill="FFFFFF"/>
        </w:rPr>
        <w:t xml:space="preserve"> </w:t>
      </w:r>
      <w:r w:rsidR="006D1169">
        <w:rPr>
          <w:rFonts w:ascii="Arial" w:hAnsi="Arial" w:cs="Arial"/>
          <w:color w:val="222222"/>
          <w:shd w:val="clear" w:color="auto" w:fill="FFFFFF"/>
        </w:rPr>
        <w:t xml:space="preserve">expertise and exceptional work, </w:t>
      </w:r>
      <w:r w:rsidR="0095614C" w:rsidRPr="0095614C">
        <w:rPr>
          <w:rFonts w:ascii="Arial" w:hAnsi="Arial" w:cs="Arial"/>
          <w:color w:val="222222"/>
          <w:shd w:val="clear" w:color="auto" w:fill="FFFFFF"/>
        </w:rPr>
        <w:t xml:space="preserve">and I am deeply grateful for </w:t>
      </w:r>
      <w:r w:rsidR="006D1169">
        <w:rPr>
          <w:rFonts w:ascii="Arial" w:hAnsi="Arial" w:cs="Arial"/>
          <w:color w:val="222222"/>
          <w:shd w:val="clear" w:color="auto" w:fill="FFFFFF"/>
        </w:rPr>
        <w:t>our team</w:t>
      </w:r>
      <w:r w:rsidR="00E6161C">
        <w:rPr>
          <w:rFonts w:ascii="Arial" w:hAnsi="Arial" w:cs="Arial"/>
          <w:color w:val="222222"/>
          <w:shd w:val="clear" w:color="auto" w:fill="FFFFFF"/>
        </w:rPr>
        <w:t>’</w:t>
      </w:r>
      <w:r w:rsidR="006D1169">
        <w:rPr>
          <w:rFonts w:ascii="Arial" w:hAnsi="Arial" w:cs="Arial"/>
          <w:color w:val="222222"/>
          <w:shd w:val="clear" w:color="auto" w:fill="FFFFFF"/>
        </w:rPr>
        <w:t>s</w:t>
      </w:r>
      <w:r w:rsidR="0095614C" w:rsidRPr="0095614C">
        <w:rPr>
          <w:rFonts w:ascii="Arial" w:hAnsi="Arial" w:cs="Arial"/>
          <w:color w:val="222222"/>
          <w:shd w:val="clear" w:color="auto" w:fill="FFFFFF"/>
        </w:rPr>
        <w:t xml:space="preserve"> contribution</w:t>
      </w:r>
      <w:r w:rsidR="00AF53D7">
        <w:rPr>
          <w:rFonts w:ascii="Arial" w:hAnsi="Arial" w:cs="Arial"/>
          <w:color w:val="222222"/>
          <w:shd w:val="clear" w:color="auto" w:fill="FFFFFF"/>
        </w:rPr>
        <w:t xml:space="preserve"> in building TEL into a leading provider of corporate trustee and supervisory services</w:t>
      </w:r>
      <w:r w:rsidR="0095614C" w:rsidRPr="0095614C">
        <w:rPr>
          <w:rFonts w:ascii="Arial" w:hAnsi="Arial" w:cs="Arial"/>
          <w:color w:val="222222"/>
          <w:shd w:val="clear" w:color="auto" w:fill="FFFFFF"/>
        </w:rPr>
        <w:t>. I am confident that this next chapter with</w:t>
      </w:r>
      <w:r w:rsidR="00FE71BA">
        <w:rPr>
          <w:rFonts w:ascii="Arial" w:hAnsi="Arial" w:cs="Arial"/>
          <w:color w:val="222222"/>
          <w:shd w:val="clear" w:color="auto" w:fill="FFFFFF"/>
        </w:rPr>
        <w:t xml:space="preserve"> </w:t>
      </w:r>
      <w:r w:rsidR="0095614C" w:rsidRPr="0095614C">
        <w:rPr>
          <w:rFonts w:ascii="Arial" w:hAnsi="Arial" w:cs="Arial"/>
          <w:color w:val="222222"/>
          <w:shd w:val="clear" w:color="auto" w:fill="FFFFFF"/>
        </w:rPr>
        <w:t>Perpetual Guardian Group presents exciting opportunities for the business</w:t>
      </w:r>
      <w:r w:rsidR="006D1169">
        <w:rPr>
          <w:rFonts w:ascii="Arial" w:hAnsi="Arial" w:cs="Arial"/>
          <w:color w:val="222222"/>
          <w:shd w:val="clear" w:color="auto" w:fill="FFFFFF"/>
        </w:rPr>
        <w:t>.”</w:t>
      </w:r>
    </w:p>
    <w:p w14:paraId="4BCC924E" w14:textId="77777777" w:rsidR="00BE0C94" w:rsidRDefault="00BE0C94" w:rsidP="00101ED0">
      <w:pPr>
        <w:shd w:val="clear" w:color="auto" w:fill="FFFFFF"/>
        <w:spacing w:line="360" w:lineRule="auto"/>
        <w:rPr>
          <w:rFonts w:ascii="Arial" w:hAnsi="Arial" w:cs="Arial"/>
          <w:color w:val="222222"/>
          <w:shd w:val="clear" w:color="auto" w:fill="FFFFFF"/>
        </w:rPr>
      </w:pPr>
    </w:p>
    <w:p w14:paraId="29A4CF82" w14:textId="6A8952F5" w:rsidR="00514EC8" w:rsidRDefault="00C20359" w:rsidP="00C20359">
      <w:pPr>
        <w:shd w:val="clear" w:color="auto" w:fill="FFFFFF"/>
        <w:spacing w:line="360" w:lineRule="auto"/>
        <w:rPr>
          <w:rFonts w:ascii="Arial" w:hAnsi="Arial" w:cs="Arial"/>
          <w:color w:val="222222"/>
          <w:shd w:val="clear" w:color="auto" w:fill="FFFFFF"/>
        </w:rPr>
      </w:pPr>
      <w:r w:rsidRPr="00E92B5E">
        <w:rPr>
          <w:rFonts w:ascii="Arial" w:hAnsi="Arial" w:cs="Arial"/>
          <w:color w:val="222222"/>
          <w:shd w:val="clear" w:color="auto" w:fill="FFFFFF"/>
        </w:rPr>
        <w:t xml:space="preserve">Trustees Executors oversees the fund administration and supervision of client investment assets </w:t>
      </w:r>
      <w:proofErr w:type="gramStart"/>
      <w:r w:rsidRPr="00E92B5E">
        <w:rPr>
          <w:rFonts w:ascii="Arial" w:hAnsi="Arial" w:cs="Arial"/>
          <w:color w:val="222222"/>
          <w:shd w:val="clear" w:color="auto" w:fill="FFFFFF"/>
        </w:rPr>
        <w:t>in excess of</w:t>
      </w:r>
      <w:proofErr w:type="gramEnd"/>
      <w:r w:rsidRPr="00E92B5E">
        <w:rPr>
          <w:rFonts w:ascii="Arial" w:hAnsi="Arial" w:cs="Arial"/>
          <w:color w:val="222222"/>
          <w:shd w:val="clear" w:color="auto" w:fill="FFFFFF"/>
        </w:rPr>
        <w:t xml:space="preserve"> </w:t>
      </w:r>
      <w:r w:rsidRPr="00D62B84">
        <w:rPr>
          <w:rFonts w:ascii="Arial" w:hAnsi="Arial" w:cs="Arial"/>
          <w:color w:val="222222"/>
          <w:shd w:val="clear" w:color="auto" w:fill="FFFFFF"/>
        </w:rPr>
        <w:t>$200 billion</w:t>
      </w:r>
      <w:r w:rsidRPr="00E92B5E">
        <w:rPr>
          <w:rFonts w:ascii="Arial" w:hAnsi="Arial" w:cs="Arial"/>
          <w:color w:val="222222"/>
          <w:shd w:val="clear" w:color="auto" w:fill="FFFFFF"/>
        </w:rPr>
        <w:t xml:space="preserve"> New Zealand dollars</w:t>
      </w:r>
      <w:r w:rsidR="00514EC8">
        <w:rPr>
          <w:rFonts w:ascii="Arial" w:hAnsi="Arial" w:cs="Arial"/>
          <w:color w:val="222222"/>
          <w:shd w:val="clear" w:color="auto" w:fill="FFFFFF"/>
        </w:rPr>
        <w:t xml:space="preserve">. </w:t>
      </w:r>
    </w:p>
    <w:p w14:paraId="6B6B90B4" w14:textId="77777777" w:rsidR="00172859" w:rsidRDefault="00172859" w:rsidP="00C20359">
      <w:pPr>
        <w:shd w:val="clear" w:color="auto" w:fill="FFFFFF"/>
        <w:spacing w:line="360" w:lineRule="auto"/>
      </w:pPr>
    </w:p>
    <w:p w14:paraId="397515B2" w14:textId="46D72F13" w:rsidR="00C20359" w:rsidRDefault="00C20359" w:rsidP="00C20359">
      <w:pPr>
        <w:shd w:val="clear" w:color="auto" w:fill="FFFFFF"/>
        <w:spacing w:line="360" w:lineRule="auto"/>
        <w:rPr>
          <w:rFonts w:ascii="Arial" w:hAnsi="Arial" w:cs="Arial"/>
          <w:color w:val="222222"/>
          <w:shd w:val="clear" w:color="auto" w:fill="FFFFFF"/>
        </w:rPr>
      </w:pPr>
      <w:r w:rsidRPr="00D7086B">
        <w:rPr>
          <w:rFonts w:ascii="Arial" w:hAnsi="Arial" w:cs="Arial"/>
          <w:color w:val="222222"/>
          <w:shd w:val="clear" w:color="auto" w:fill="FFFFFF"/>
        </w:rPr>
        <w:t>Perpetual Guardian Group is New Zealand’s leading and premier provider of the full suite of estate planning services</w:t>
      </w:r>
      <w:r w:rsidR="00FE71BA">
        <w:rPr>
          <w:rFonts w:ascii="Arial" w:hAnsi="Arial" w:cs="Arial"/>
          <w:color w:val="222222"/>
          <w:shd w:val="clear" w:color="auto" w:fill="FFFFFF"/>
        </w:rPr>
        <w:t>,</w:t>
      </w:r>
      <w:r w:rsidRPr="00D7086B">
        <w:t xml:space="preserve"> </w:t>
      </w:r>
      <w:r w:rsidRPr="00D7086B">
        <w:rPr>
          <w:rFonts w:ascii="Arial" w:hAnsi="Arial" w:cs="Arial"/>
          <w:color w:val="222222"/>
          <w:shd w:val="clear" w:color="auto" w:fill="FFFFFF"/>
        </w:rPr>
        <w:t>with over 125,000 client relationships, $2.8 billion in funds under management, and $8 billion in total assets under management</w:t>
      </w:r>
      <w:r w:rsidR="00F00D21">
        <w:rPr>
          <w:rFonts w:ascii="Arial" w:hAnsi="Arial" w:cs="Arial"/>
          <w:color w:val="222222"/>
          <w:shd w:val="clear" w:color="auto" w:fill="FFFFFF"/>
        </w:rPr>
        <w:t xml:space="preserve">. </w:t>
      </w:r>
    </w:p>
    <w:p w14:paraId="0F05297E" w14:textId="77777777" w:rsidR="00BE0C94" w:rsidRPr="0031295C" w:rsidRDefault="00BE0C94" w:rsidP="00C9165E">
      <w:pPr>
        <w:shd w:val="clear" w:color="auto" w:fill="FFFFFF"/>
        <w:spacing w:line="360" w:lineRule="auto"/>
        <w:rPr>
          <w:rFonts w:ascii="Arial" w:hAnsi="Arial" w:cs="Arial"/>
          <w:color w:val="222222"/>
          <w:shd w:val="clear" w:color="auto" w:fill="FFFFFF"/>
        </w:rPr>
      </w:pPr>
    </w:p>
    <w:p w14:paraId="24D16054" w14:textId="7D5803AD" w:rsidR="00F20FE0" w:rsidRDefault="0072122F" w:rsidP="00941455">
      <w:pPr>
        <w:shd w:val="clear" w:color="auto" w:fill="FFFFFF"/>
        <w:spacing w:line="360" w:lineRule="auto"/>
        <w:jc w:val="center"/>
        <w:rPr>
          <w:rFonts w:ascii="Arial" w:eastAsia="Arial" w:hAnsi="Arial" w:cs="Arial"/>
          <w:b/>
        </w:rPr>
      </w:pPr>
      <w:r>
        <w:rPr>
          <w:rFonts w:ascii="Arial" w:eastAsia="Arial" w:hAnsi="Arial" w:cs="Arial"/>
          <w:b/>
        </w:rPr>
        <w:t>e</w:t>
      </w:r>
      <w:r w:rsidR="00F20FE0" w:rsidRPr="00C9165E">
        <w:rPr>
          <w:rFonts w:ascii="Arial" w:eastAsia="Arial" w:hAnsi="Arial" w:cs="Arial"/>
          <w:b/>
        </w:rPr>
        <w:t>nds</w:t>
      </w:r>
      <w:bookmarkStart w:id="0" w:name="_gjdgxs"/>
      <w:bookmarkEnd w:id="0"/>
    </w:p>
    <w:p w14:paraId="08CAE9FA" w14:textId="77777777" w:rsidR="006D3572" w:rsidRDefault="006D3572" w:rsidP="006D3572">
      <w:pPr>
        <w:shd w:val="clear" w:color="auto" w:fill="FFFFFF"/>
        <w:spacing w:line="360" w:lineRule="auto"/>
        <w:jc w:val="center"/>
        <w:rPr>
          <w:rFonts w:ascii="Arial" w:eastAsia="Arial" w:hAnsi="Arial" w:cs="Arial"/>
          <w:b/>
        </w:rPr>
      </w:pPr>
    </w:p>
    <w:p w14:paraId="6B7EE27A" w14:textId="77777777" w:rsidR="006D3572" w:rsidRDefault="006D3572" w:rsidP="006D3572">
      <w:pPr>
        <w:spacing w:line="360" w:lineRule="auto"/>
        <w:rPr>
          <w:rFonts w:ascii="Arial" w:hAnsi="Arial" w:cs="Arial"/>
          <w:b/>
          <w:bCs/>
        </w:rPr>
      </w:pPr>
      <w:r>
        <w:rPr>
          <w:rFonts w:ascii="Arial" w:hAnsi="Arial" w:cs="Arial"/>
          <w:b/>
          <w:bCs/>
        </w:rPr>
        <w:t>For more information:</w:t>
      </w:r>
    </w:p>
    <w:tbl>
      <w:tblPr>
        <w:tblW w:w="43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6D3572" w:rsidRPr="00FE71BA" w14:paraId="0EC7A0B6" w14:textId="77777777" w:rsidTr="00BF46E4">
        <w:trPr>
          <w:trHeight w:val="1671"/>
        </w:trPr>
        <w:tc>
          <w:tcPr>
            <w:tcW w:w="4320" w:type="dxa"/>
          </w:tcPr>
          <w:p w14:paraId="7DC3472C" w14:textId="77777777" w:rsidR="006D3572" w:rsidRDefault="006D3572" w:rsidP="00BF46E4">
            <w:pPr>
              <w:spacing w:line="360" w:lineRule="auto"/>
              <w:rPr>
                <w:rFonts w:ascii="Arial" w:hAnsi="Arial" w:cs="Arial"/>
                <w:lang w:val="fr-FR"/>
              </w:rPr>
            </w:pPr>
            <w:r>
              <w:rPr>
                <w:rFonts w:ascii="Arial" w:hAnsi="Arial" w:cs="Arial"/>
                <w:lang w:val="fr-FR"/>
              </w:rPr>
              <w:t>Laura Air</w:t>
            </w:r>
          </w:p>
          <w:p w14:paraId="478E4FB5" w14:textId="77777777" w:rsidR="006D3572" w:rsidRPr="00E4532F" w:rsidRDefault="006D3572" w:rsidP="00BF46E4">
            <w:pPr>
              <w:spacing w:line="360" w:lineRule="auto"/>
              <w:rPr>
                <w:rFonts w:ascii="Arial" w:hAnsi="Arial" w:cs="Arial"/>
                <w:lang w:val="fr-FR"/>
              </w:rPr>
            </w:pPr>
            <w:r w:rsidRPr="00E4532F">
              <w:rPr>
                <w:rFonts w:ascii="Arial" w:hAnsi="Arial" w:cs="Arial"/>
                <w:lang w:val="fr-FR"/>
              </w:rPr>
              <w:t>Alexander PR</w:t>
            </w:r>
          </w:p>
          <w:p w14:paraId="39949BCF" w14:textId="77777777" w:rsidR="006D3572" w:rsidRPr="00E4532F" w:rsidRDefault="006D3572" w:rsidP="00BF46E4">
            <w:pPr>
              <w:spacing w:line="360" w:lineRule="auto"/>
              <w:rPr>
                <w:rFonts w:ascii="Arial" w:hAnsi="Arial" w:cs="Arial"/>
                <w:lang w:val="fr-FR"/>
              </w:rPr>
            </w:pPr>
            <w:r w:rsidRPr="00E4532F">
              <w:rPr>
                <w:rFonts w:ascii="Arial" w:hAnsi="Arial" w:cs="Arial"/>
                <w:lang w:val="fr-FR"/>
              </w:rPr>
              <w:t>+</w:t>
            </w:r>
            <w:r w:rsidRPr="005B0D63">
              <w:rPr>
                <w:rFonts w:ascii="Arial" w:hAnsi="Arial" w:cs="Arial"/>
                <w:lang w:val="fr-FR"/>
              </w:rPr>
              <w:t xml:space="preserve">64 </w:t>
            </w:r>
            <w:r>
              <w:rPr>
                <w:rFonts w:ascii="Arial" w:hAnsi="Arial" w:cs="Arial"/>
                <w:lang w:val="fr-FR"/>
              </w:rPr>
              <w:t>21 259 3242</w:t>
            </w:r>
          </w:p>
          <w:p w14:paraId="152A31DD" w14:textId="77777777" w:rsidR="006D3572" w:rsidRPr="00E4532F" w:rsidRDefault="006D3572" w:rsidP="00BF46E4">
            <w:pPr>
              <w:spacing w:line="360" w:lineRule="auto"/>
              <w:rPr>
                <w:rFonts w:ascii="Arial" w:hAnsi="Arial" w:cs="Arial"/>
                <w:lang w:val="fr-FR"/>
              </w:rPr>
            </w:pPr>
            <w:r>
              <w:rPr>
                <w:rStyle w:val="Hyperlink"/>
                <w:rFonts w:ascii="Arial" w:hAnsi="Arial" w:cs="Arial"/>
                <w:lang w:val="fr-FR"/>
              </w:rPr>
              <w:t>laura</w:t>
            </w:r>
            <w:r w:rsidRPr="005B0D63">
              <w:rPr>
                <w:rStyle w:val="Hyperlink"/>
                <w:rFonts w:ascii="Arial" w:hAnsi="Arial" w:cs="Arial"/>
                <w:lang w:val="fr-FR"/>
              </w:rPr>
              <w:t>@alexanderpr.co.nz</w:t>
            </w:r>
          </w:p>
        </w:tc>
      </w:tr>
    </w:tbl>
    <w:p w14:paraId="1CEC2BEE" w14:textId="77777777" w:rsidR="00494E65" w:rsidRPr="00FE71BA" w:rsidRDefault="00494E65" w:rsidP="005C2FF7">
      <w:pPr>
        <w:spacing w:line="360" w:lineRule="auto"/>
        <w:rPr>
          <w:rFonts w:ascii="Arial" w:hAnsi="Arial" w:cs="Arial"/>
          <w:b/>
          <w:bCs/>
          <w:color w:val="000000"/>
          <w:lang w:val="pt-BR"/>
        </w:rPr>
      </w:pPr>
    </w:p>
    <w:p w14:paraId="51E25C28" w14:textId="77777777" w:rsidR="00494E65" w:rsidRPr="00FE71BA" w:rsidRDefault="00494E65" w:rsidP="005C2FF7">
      <w:pPr>
        <w:spacing w:line="360" w:lineRule="auto"/>
        <w:rPr>
          <w:rFonts w:ascii="Arial" w:hAnsi="Arial" w:cs="Arial"/>
          <w:b/>
          <w:bCs/>
          <w:color w:val="000000"/>
          <w:lang w:val="pt-BR"/>
        </w:rPr>
      </w:pPr>
    </w:p>
    <w:p w14:paraId="5F65922F" w14:textId="64C3A53F" w:rsidR="005C2FF7" w:rsidRPr="000F418B" w:rsidRDefault="005C2FF7" w:rsidP="005C2FF7">
      <w:pPr>
        <w:spacing w:line="360" w:lineRule="auto"/>
        <w:rPr>
          <w:rFonts w:ascii="Arial" w:hAnsi="Arial" w:cs="Arial"/>
          <w:b/>
          <w:bCs/>
          <w:color w:val="000000"/>
          <w:lang w:val="en-GB"/>
        </w:rPr>
      </w:pPr>
      <w:r w:rsidRPr="000F418B">
        <w:rPr>
          <w:rFonts w:ascii="Arial" w:hAnsi="Arial" w:cs="Arial"/>
          <w:b/>
          <w:bCs/>
          <w:color w:val="000000"/>
          <w:lang w:val="en-GB"/>
        </w:rPr>
        <w:t>About Perpetual Guardian Group</w:t>
      </w:r>
    </w:p>
    <w:p w14:paraId="56A60CE2" w14:textId="00C5D48F" w:rsidR="005C2FF7" w:rsidRPr="000F418B" w:rsidRDefault="005C2FF7" w:rsidP="005C2FF7">
      <w:pPr>
        <w:spacing w:line="360" w:lineRule="auto"/>
        <w:rPr>
          <w:rFonts w:ascii="Arial" w:hAnsi="Arial" w:cs="Arial"/>
          <w:color w:val="000000"/>
          <w:lang w:val="en-GB"/>
        </w:rPr>
      </w:pPr>
      <w:r w:rsidRPr="000F418B">
        <w:rPr>
          <w:rFonts w:ascii="Arial" w:hAnsi="Arial" w:cs="Arial"/>
          <w:color w:val="000000"/>
          <w:lang w:val="en-GB"/>
        </w:rPr>
        <w:t>Perpetual Guardian Group is New Zealand’s leading and premier provider of the full suite of estate planning services including Wills, Trusts, Enduring Powers of Attorney, Investment Advisory, Investment Management</w:t>
      </w:r>
      <w:r>
        <w:rPr>
          <w:rFonts w:ascii="Arial" w:hAnsi="Arial" w:cs="Arial"/>
          <w:color w:val="000000"/>
          <w:lang w:val="en-GB"/>
        </w:rPr>
        <w:t>,</w:t>
      </w:r>
      <w:r w:rsidRPr="000F418B">
        <w:rPr>
          <w:rFonts w:ascii="Arial" w:hAnsi="Arial" w:cs="Arial"/>
          <w:color w:val="000000"/>
          <w:lang w:val="en-GB"/>
        </w:rPr>
        <w:t xml:space="preserve"> and Philanthropic ventures. </w:t>
      </w:r>
    </w:p>
    <w:p w14:paraId="3B4924F3" w14:textId="77777777" w:rsidR="005C2FF7" w:rsidRPr="000F418B" w:rsidRDefault="005C2FF7" w:rsidP="005C2FF7">
      <w:pPr>
        <w:spacing w:line="360" w:lineRule="auto"/>
        <w:rPr>
          <w:rFonts w:ascii="Arial" w:hAnsi="Arial" w:cs="Arial"/>
          <w:color w:val="000000"/>
          <w:lang w:val="en-GB"/>
        </w:rPr>
      </w:pPr>
    </w:p>
    <w:p w14:paraId="001B58DF" w14:textId="77777777" w:rsidR="005C2FF7" w:rsidRPr="000F418B" w:rsidRDefault="005C2FF7" w:rsidP="005C2FF7">
      <w:pPr>
        <w:spacing w:line="360" w:lineRule="auto"/>
        <w:rPr>
          <w:rFonts w:ascii="Arial" w:hAnsi="Arial" w:cs="Arial"/>
          <w:color w:val="000000"/>
          <w:lang w:val="en-GB"/>
        </w:rPr>
      </w:pPr>
      <w:r w:rsidRPr="000F418B">
        <w:rPr>
          <w:rFonts w:ascii="Arial" w:hAnsi="Arial" w:cs="Arial"/>
          <w:color w:val="000000"/>
          <w:lang w:val="en-GB"/>
        </w:rPr>
        <w:lastRenderedPageBreak/>
        <w:t xml:space="preserve">Our origins date back more than 140 years, and today we have offices nationwide, with over 125,000 client relationships, $2.8 billion in funds under management, and $8 billion in total assets under management. Innovation, fiduciary expertise and a rich history go </w:t>
      </w:r>
      <w:proofErr w:type="gramStart"/>
      <w:r w:rsidRPr="000F418B">
        <w:rPr>
          <w:rFonts w:ascii="Arial" w:hAnsi="Arial" w:cs="Arial"/>
          <w:color w:val="000000"/>
          <w:lang w:val="en-GB"/>
        </w:rPr>
        <w:t>hand-in-hand</w:t>
      </w:r>
      <w:proofErr w:type="gramEnd"/>
      <w:r w:rsidRPr="000F418B">
        <w:rPr>
          <w:rFonts w:ascii="Arial" w:hAnsi="Arial" w:cs="Arial"/>
          <w:color w:val="000000"/>
          <w:lang w:val="en-GB"/>
        </w:rPr>
        <w:t xml:space="preserve"> at Perpetual Guardian </w:t>
      </w:r>
      <w:proofErr w:type="gramStart"/>
      <w:r w:rsidRPr="000F418B">
        <w:rPr>
          <w:rFonts w:ascii="Arial" w:hAnsi="Arial" w:cs="Arial"/>
          <w:color w:val="000000"/>
          <w:lang w:val="en-GB"/>
        </w:rPr>
        <w:t>Group</w:t>
      </w:r>
      <w:proofErr w:type="gramEnd"/>
      <w:r w:rsidRPr="000F418B">
        <w:rPr>
          <w:rFonts w:ascii="Arial" w:hAnsi="Arial" w:cs="Arial"/>
          <w:color w:val="000000"/>
          <w:lang w:val="en-GB"/>
        </w:rPr>
        <w:t xml:space="preserve"> and we also stand as New Zealand’s largest Trustee for Charitable Trusts – supporting clients in their familial, financial, and philanthropic goals.</w:t>
      </w:r>
    </w:p>
    <w:p w14:paraId="342D0747" w14:textId="77777777" w:rsidR="005C2FF7" w:rsidRPr="000F418B" w:rsidRDefault="005C2FF7" w:rsidP="005C2FF7">
      <w:pPr>
        <w:spacing w:line="360" w:lineRule="auto"/>
        <w:rPr>
          <w:rFonts w:ascii="Arial" w:hAnsi="Arial" w:cs="Arial"/>
          <w:color w:val="000000"/>
          <w:lang w:val="en-GB"/>
        </w:rPr>
      </w:pPr>
    </w:p>
    <w:p w14:paraId="3E7D0556" w14:textId="40782471" w:rsidR="005C2FF7" w:rsidRPr="000F418B" w:rsidRDefault="005C2FF7" w:rsidP="005C2FF7">
      <w:pPr>
        <w:spacing w:line="360" w:lineRule="auto"/>
        <w:rPr>
          <w:rFonts w:ascii="Arial" w:hAnsi="Arial" w:cs="Arial"/>
          <w:color w:val="000000"/>
          <w:lang w:val="en-GB"/>
        </w:rPr>
      </w:pPr>
      <w:r w:rsidRPr="000F418B">
        <w:rPr>
          <w:rFonts w:ascii="Arial" w:hAnsi="Arial" w:cs="Arial"/>
          <w:color w:val="000000"/>
          <w:lang w:val="en-GB"/>
        </w:rPr>
        <w:t xml:space="preserve">Perpetual Guardian Group comprises organisations offering complementary specialist services to support clients at all stages of life, including Perpetual Guardian, PG Investments, New Zealand Trustee Services, and </w:t>
      </w:r>
      <w:proofErr w:type="spellStart"/>
      <w:r w:rsidRPr="000F418B">
        <w:rPr>
          <w:rFonts w:ascii="Arial" w:hAnsi="Arial" w:cs="Arial"/>
          <w:color w:val="000000"/>
          <w:lang w:val="en-GB"/>
        </w:rPr>
        <w:t>Givealittle</w:t>
      </w:r>
      <w:proofErr w:type="spellEnd"/>
      <w:r w:rsidRPr="000F418B">
        <w:rPr>
          <w:rFonts w:ascii="Arial" w:hAnsi="Arial" w:cs="Arial"/>
          <w:color w:val="000000"/>
          <w:lang w:val="en-GB"/>
        </w:rPr>
        <w:t xml:space="preserve">.  </w:t>
      </w:r>
    </w:p>
    <w:p w14:paraId="1CDC8341" w14:textId="77777777" w:rsidR="0072122F" w:rsidRPr="005C2FF7" w:rsidRDefault="0072122F" w:rsidP="0072122F">
      <w:pPr>
        <w:shd w:val="clear" w:color="auto" w:fill="FFFFFF"/>
        <w:spacing w:line="360" w:lineRule="auto"/>
        <w:rPr>
          <w:rFonts w:ascii="Arial" w:eastAsia="Times New Roman" w:hAnsi="Arial" w:cs="Arial"/>
          <w:color w:val="222222"/>
          <w:lang w:val="en-GB" w:eastAsia="en-NZ"/>
        </w:rPr>
      </w:pPr>
    </w:p>
    <w:sectPr w:rsidR="0072122F" w:rsidRPr="005C2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B03"/>
    <w:multiLevelType w:val="multilevel"/>
    <w:tmpl w:val="E902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E1887"/>
    <w:multiLevelType w:val="hybridMultilevel"/>
    <w:tmpl w:val="2BF84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B157AFA"/>
    <w:multiLevelType w:val="hybridMultilevel"/>
    <w:tmpl w:val="871485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ED5605D"/>
    <w:multiLevelType w:val="multilevel"/>
    <w:tmpl w:val="3C96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2321A"/>
    <w:multiLevelType w:val="multilevel"/>
    <w:tmpl w:val="871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0156FC"/>
    <w:multiLevelType w:val="multilevel"/>
    <w:tmpl w:val="A56E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56EF2"/>
    <w:multiLevelType w:val="multilevel"/>
    <w:tmpl w:val="2A2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332B2A"/>
    <w:multiLevelType w:val="hybridMultilevel"/>
    <w:tmpl w:val="C1627BAC"/>
    <w:lvl w:ilvl="0" w:tplc="865617F6">
      <w:numFmt w:val="bullet"/>
      <w:lvlText w:val="-"/>
      <w:lvlJc w:val="left"/>
      <w:pPr>
        <w:ind w:left="720" w:hanging="360"/>
      </w:pPr>
      <w:rPr>
        <w:rFonts w:ascii="Calibri" w:eastAsia="Calibri"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ED93B78"/>
    <w:multiLevelType w:val="hybridMultilevel"/>
    <w:tmpl w:val="61043148"/>
    <w:lvl w:ilvl="0" w:tplc="5DF64494">
      <w:start w:val="30"/>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77778667">
    <w:abstractNumId w:val="7"/>
  </w:num>
  <w:num w:numId="2" w16cid:durableId="784545059">
    <w:abstractNumId w:val="1"/>
  </w:num>
  <w:num w:numId="3" w16cid:durableId="976760837">
    <w:abstractNumId w:val="8"/>
  </w:num>
  <w:num w:numId="4" w16cid:durableId="1505172159">
    <w:abstractNumId w:val="6"/>
  </w:num>
  <w:num w:numId="5" w16cid:durableId="1178420358">
    <w:abstractNumId w:val="2"/>
  </w:num>
  <w:num w:numId="6" w16cid:durableId="611668248">
    <w:abstractNumId w:val="4"/>
  </w:num>
  <w:num w:numId="7" w16cid:durableId="350569971">
    <w:abstractNumId w:val="5"/>
  </w:num>
  <w:num w:numId="8" w16cid:durableId="493565452">
    <w:abstractNumId w:val="0"/>
  </w:num>
  <w:num w:numId="9" w16cid:durableId="27252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CA"/>
    <w:rsid w:val="00004B0A"/>
    <w:rsid w:val="00012251"/>
    <w:rsid w:val="00012737"/>
    <w:rsid w:val="000178D3"/>
    <w:rsid w:val="00022A68"/>
    <w:rsid w:val="00023F28"/>
    <w:rsid w:val="00025C06"/>
    <w:rsid w:val="00034892"/>
    <w:rsid w:val="0003499E"/>
    <w:rsid w:val="00044535"/>
    <w:rsid w:val="000513F7"/>
    <w:rsid w:val="000535E1"/>
    <w:rsid w:val="00057887"/>
    <w:rsid w:val="00062F58"/>
    <w:rsid w:val="000677C6"/>
    <w:rsid w:val="000705F3"/>
    <w:rsid w:val="00084B5A"/>
    <w:rsid w:val="0008648B"/>
    <w:rsid w:val="000917A7"/>
    <w:rsid w:val="00091C07"/>
    <w:rsid w:val="000A0FA6"/>
    <w:rsid w:val="000A14E7"/>
    <w:rsid w:val="000B01D1"/>
    <w:rsid w:val="000B1C11"/>
    <w:rsid w:val="000D5B54"/>
    <w:rsid w:val="000E0ED6"/>
    <w:rsid w:val="000E1C7E"/>
    <w:rsid w:val="000E6987"/>
    <w:rsid w:val="00101ED0"/>
    <w:rsid w:val="0010201F"/>
    <w:rsid w:val="00105F23"/>
    <w:rsid w:val="00115579"/>
    <w:rsid w:val="0012692C"/>
    <w:rsid w:val="00144C7E"/>
    <w:rsid w:val="00153576"/>
    <w:rsid w:val="001551BB"/>
    <w:rsid w:val="001567C2"/>
    <w:rsid w:val="0016584B"/>
    <w:rsid w:val="00170D33"/>
    <w:rsid w:val="00172859"/>
    <w:rsid w:val="00190D81"/>
    <w:rsid w:val="001944EE"/>
    <w:rsid w:val="001B3216"/>
    <w:rsid w:val="001C63B8"/>
    <w:rsid w:val="001E54CE"/>
    <w:rsid w:val="002410E7"/>
    <w:rsid w:val="00244500"/>
    <w:rsid w:val="00264760"/>
    <w:rsid w:val="00281D38"/>
    <w:rsid w:val="002C3D76"/>
    <w:rsid w:val="002D472E"/>
    <w:rsid w:val="002D4808"/>
    <w:rsid w:val="002D51E2"/>
    <w:rsid w:val="002E071D"/>
    <w:rsid w:val="002E2FD7"/>
    <w:rsid w:val="002E5723"/>
    <w:rsid w:val="002E58C9"/>
    <w:rsid w:val="00300D0F"/>
    <w:rsid w:val="003014B0"/>
    <w:rsid w:val="003017B7"/>
    <w:rsid w:val="0031295C"/>
    <w:rsid w:val="00321E6A"/>
    <w:rsid w:val="00330C47"/>
    <w:rsid w:val="00334442"/>
    <w:rsid w:val="003369BE"/>
    <w:rsid w:val="00344931"/>
    <w:rsid w:val="0037100C"/>
    <w:rsid w:val="0038233E"/>
    <w:rsid w:val="0038659D"/>
    <w:rsid w:val="003B419D"/>
    <w:rsid w:val="003B7BC1"/>
    <w:rsid w:val="003C3B15"/>
    <w:rsid w:val="003C5AA6"/>
    <w:rsid w:val="003E272A"/>
    <w:rsid w:val="003F044C"/>
    <w:rsid w:val="004160A2"/>
    <w:rsid w:val="0042454B"/>
    <w:rsid w:val="0043353B"/>
    <w:rsid w:val="00434907"/>
    <w:rsid w:val="00455EE6"/>
    <w:rsid w:val="00456F9C"/>
    <w:rsid w:val="00466A9F"/>
    <w:rsid w:val="00485711"/>
    <w:rsid w:val="00493ECA"/>
    <w:rsid w:val="00494E65"/>
    <w:rsid w:val="004979CD"/>
    <w:rsid w:val="004A17AF"/>
    <w:rsid w:val="004A1AE6"/>
    <w:rsid w:val="004D072B"/>
    <w:rsid w:val="004D48F9"/>
    <w:rsid w:val="004D4964"/>
    <w:rsid w:val="004E6BC3"/>
    <w:rsid w:val="004F12AA"/>
    <w:rsid w:val="00505CD4"/>
    <w:rsid w:val="00507590"/>
    <w:rsid w:val="00514EC8"/>
    <w:rsid w:val="0051562E"/>
    <w:rsid w:val="005220C9"/>
    <w:rsid w:val="0052223A"/>
    <w:rsid w:val="00531044"/>
    <w:rsid w:val="00531660"/>
    <w:rsid w:val="005354BC"/>
    <w:rsid w:val="005541B0"/>
    <w:rsid w:val="00556CEF"/>
    <w:rsid w:val="0056025A"/>
    <w:rsid w:val="00573488"/>
    <w:rsid w:val="005803A6"/>
    <w:rsid w:val="00594F0A"/>
    <w:rsid w:val="00596320"/>
    <w:rsid w:val="005B1E2E"/>
    <w:rsid w:val="005C2FF7"/>
    <w:rsid w:val="005D2FCF"/>
    <w:rsid w:val="005D6B21"/>
    <w:rsid w:val="005E49CA"/>
    <w:rsid w:val="005F51C3"/>
    <w:rsid w:val="00601DA3"/>
    <w:rsid w:val="006020EA"/>
    <w:rsid w:val="00604FD2"/>
    <w:rsid w:val="00614D6A"/>
    <w:rsid w:val="00632FB1"/>
    <w:rsid w:val="00640336"/>
    <w:rsid w:val="00641821"/>
    <w:rsid w:val="00651D5D"/>
    <w:rsid w:val="00651EB4"/>
    <w:rsid w:val="00674CAD"/>
    <w:rsid w:val="0067552C"/>
    <w:rsid w:val="00685665"/>
    <w:rsid w:val="006A20A7"/>
    <w:rsid w:val="006A4B8D"/>
    <w:rsid w:val="006B18F7"/>
    <w:rsid w:val="006B5A3A"/>
    <w:rsid w:val="006C317D"/>
    <w:rsid w:val="006C60D4"/>
    <w:rsid w:val="006D0AFB"/>
    <w:rsid w:val="006D1169"/>
    <w:rsid w:val="006D3572"/>
    <w:rsid w:val="006E7830"/>
    <w:rsid w:val="00711A5A"/>
    <w:rsid w:val="0072122F"/>
    <w:rsid w:val="00732AFD"/>
    <w:rsid w:val="007358FE"/>
    <w:rsid w:val="00736433"/>
    <w:rsid w:val="007404E2"/>
    <w:rsid w:val="007470F9"/>
    <w:rsid w:val="00760443"/>
    <w:rsid w:val="007631BE"/>
    <w:rsid w:val="007641E8"/>
    <w:rsid w:val="00781EC5"/>
    <w:rsid w:val="00782ACB"/>
    <w:rsid w:val="00786D67"/>
    <w:rsid w:val="00791B28"/>
    <w:rsid w:val="007A3FA5"/>
    <w:rsid w:val="007B1513"/>
    <w:rsid w:val="007C1176"/>
    <w:rsid w:val="007C3513"/>
    <w:rsid w:val="007C3E6F"/>
    <w:rsid w:val="007C6905"/>
    <w:rsid w:val="007C6B1F"/>
    <w:rsid w:val="007E2679"/>
    <w:rsid w:val="007E6E42"/>
    <w:rsid w:val="007F1C2C"/>
    <w:rsid w:val="007F1F2C"/>
    <w:rsid w:val="007F202E"/>
    <w:rsid w:val="0081068F"/>
    <w:rsid w:val="00810AE9"/>
    <w:rsid w:val="00817435"/>
    <w:rsid w:val="0082738E"/>
    <w:rsid w:val="00831AF9"/>
    <w:rsid w:val="00835BBF"/>
    <w:rsid w:val="0083742E"/>
    <w:rsid w:val="00850075"/>
    <w:rsid w:val="00857A45"/>
    <w:rsid w:val="0086418C"/>
    <w:rsid w:val="008648BD"/>
    <w:rsid w:val="00872111"/>
    <w:rsid w:val="0087254B"/>
    <w:rsid w:val="00874444"/>
    <w:rsid w:val="008779A1"/>
    <w:rsid w:val="00884255"/>
    <w:rsid w:val="008A2BBE"/>
    <w:rsid w:val="008B34B7"/>
    <w:rsid w:val="008C207E"/>
    <w:rsid w:val="008D6817"/>
    <w:rsid w:val="008E37C0"/>
    <w:rsid w:val="008F0FAB"/>
    <w:rsid w:val="008F74ED"/>
    <w:rsid w:val="00901285"/>
    <w:rsid w:val="00912BAA"/>
    <w:rsid w:val="00927377"/>
    <w:rsid w:val="0093072A"/>
    <w:rsid w:val="00941455"/>
    <w:rsid w:val="00942B84"/>
    <w:rsid w:val="0095614C"/>
    <w:rsid w:val="00956431"/>
    <w:rsid w:val="0096186D"/>
    <w:rsid w:val="00965E38"/>
    <w:rsid w:val="00973A04"/>
    <w:rsid w:val="009755F3"/>
    <w:rsid w:val="00994349"/>
    <w:rsid w:val="009B5E19"/>
    <w:rsid w:val="009D3236"/>
    <w:rsid w:val="009D3988"/>
    <w:rsid w:val="009D5C93"/>
    <w:rsid w:val="009D730E"/>
    <w:rsid w:val="009F2C61"/>
    <w:rsid w:val="009F3460"/>
    <w:rsid w:val="00A02EB2"/>
    <w:rsid w:val="00A06C08"/>
    <w:rsid w:val="00A1007B"/>
    <w:rsid w:val="00A111E6"/>
    <w:rsid w:val="00A23E66"/>
    <w:rsid w:val="00A23F35"/>
    <w:rsid w:val="00A422D0"/>
    <w:rsid w:val="00A56B61"/>
    <w:rsid w:val="00A57600"/>
    <w:rsid w:val="00A72278"/>
    <w:rsid w:val="00A77A0D"/>
    <w:rsid w:val="00A852B7"/>
    <w:rsid w:val="00A90A5D"/>
    <w:rsid w:val="00A92A9B"/>
    <w:rsid w:val="00A93A09"/>
    <w:rsid w:val="00A94A5F"/>
    <w:rsid w:val="00A96300"/>
    <w:rsid w:val="00AA1B63"/>
    <w:rsid w:val="00AC5C3C"/>
    <w:rsid w:val="00AF099B"/>
    <w:rsid w:val="00AF3AB0"/>
    <w:rsid w:val="00AF53D7"/>
    <w:rsid w:val="00B11448"/>
    <w:rsid w:val="00B12608"/>
    <w:rsid w:val="00B14642"/>
    <w:rsid w:val="00B155FC"/>
    <w:rsid w:val="00B17A1B"/>
    <w:rsid w:val="00B73166"/>
    <w:rsid w:val="00B743BE"/>
    <w:rsid w:val="00B74EB7"/>
    <w:rsid w:val="00B81D9F"/>
    <w:rsid w:val="00B944B8"/>
    <w:rsid w:val="00B9644F"/>
    <w:rsid w:val="00BA0D54"/>
    <w:rsid w:val="00BC60FE"/>
    <w:rsid w:val="00BD2088"/>
    <w:rsid w:val="00BD3F04"/>
    <w:rsid w:val="00BE0C94"/>
    <w:rsid w:val="00BE249B"/>
    <w:rsid w:val="00BE3123"/>
    <w:rsid w:val="00BF147A"/>
    <w:rsid w:val="00C14133"/>
    <w:rsid w:val="00C14460"/>
    <w:rsid w:val="00C15679"/>
    <w:rsid w:val="00C15741"/>
    <w:rsid w:val="00C16577"/>
    <w:rsid w:val="00C20359"/>
    <w:rsid w:val="00C23954"/>
    <w:rsid w:val="00C268D3"/>
    <w:rsid w:val="00C41716"/>
    <w:rsid w:val="00C463D9"/>
    <w:rsid w:val="00C5364B"/>
    <w:rsid w:val="00C563DA"/>
    <w:rsid w:val="00C62F3C"/>
    <w:rsid w:val="00C66167"/>
    <w:rsid w:val="00C9165E"/>
    <w:rsid w:val="00CA2312"/>
    <w:rsid w:val="00CA4408"/>
    <w:rsid w:val="00CB4DEB"/>
    <w:rsid w:val="00CD3B24"/>
    <w:rsid w:val="00CE102E"/>
    <w:rsid w:val="00CE31C2"/>
    <w:rsid w:val="00CF1A12"/>
    <w:rsid w:val="00CF356B"/>
    <w:rsid w:val="00D002C9"/>
    <w:rsid w:val="00D00AD9"/>
    <w:rsid w:val="00D074C5"/>
    <w:rsid w:val="00D13FBC"/>
    <w:rsid w:val="00D274B1"/>
    <w:rsid w:val="00D3175E"/>
    <w:rsid w:val="00D35B82"/>
    <w:rsid w:val="00D375EF"/>
    <w:rsid w:val="00D5666C"/>
    <w:rsid w:val="00D62B84"/>
    <w:rsid w:val="00D7086B"/>
    <w:rsid w:val="00D71FD0"/>
    <w:rsid w:val="00D8022A"/>
    <w:rsid w:val="00D845E3"/>
    <w:rsid w:val="00D937C8"/>
    <w:rsid w:val="00DC1345"/>
    <w:rsid w:val="00DC4B95"/>
    <w:rsid w:val="00DD6620"/>
    <w:rsid w:val="00DE3FCF"/>
    <w:rsid w:val="00DE4BD5"/>
    <w:rsid w:val="00DE6EF2"/>
    <w:rsid w:val="00DE7075"/>
    <w:rsid w:val="00DE7127"/>
    <w:rsid w:val="00DF1203"/>
    <w:rsid w:val="00DF15C0"/>
    <w:rsid w:val="00DF2085"/>
    <w:rsid w:val="00DF6DFB"/>
    <w:rsid w:val="00E03EA6"/>
    <w:rsid w:val="00E070E5"/>
    <w:rsid w:val="00E076C2"/>
    <w:rsid w:val="00E15049"/>
    <w:rsid w:val="00E1639E"/>
    <w:rsid w:val="00E33F50"/>
    <w:rsid w:val="00E36908"/>
    <w:rsid w:val="00E6161C"/>
    <w:rsid w:val="00E92B5E"/>
    <w:rsid w:val="00E947AC"/>
    <w:rsid w:val="00E94FC0"/>
    <w:rsid w:val="00EA09C2"/>
    <w:rsid w:val="00EA7472"/>
    <w:rsid w:val="00EC32ED"/>
    <w:rsid w:val="00ED6636"/>
    <w:rsid w:val="00F00D21"/>
    <w:rsid w:val="00F06780"/>
    <w:rsid w:val="00F14638"/>
    <w:rsid w:val="00F15132"/>
    <w:rsid w:val="00F20FE0"/>
    <w:rsid w:val="00F454AD"/>
    <w:rsid w:val="00F57045"/>
    <w:rsid w:val="00F57A1A"/>
    <w:rsid w:val="00F84340"/>
    <w:rsid w:val="00F849CB"/>
    <w:rsid w:val="00FA1A72"/>
    <w:rsid w:val="00FC0205"/>
    <w:rsid w:val="00FC3E56"/>
    <w:rsid w:val="00FE41A0"/>
    <w:rsid w:val="00FE4836"/>
    <w:rsid w:val="00FE5202"/>
    <w:rsid w:val="00FE71BA"/>
    <w:rsid w:val="00FE7B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6023"/>
  <w15:docId w15:val="{06DFD2C6-0972-4EBC-BC4E-90158F5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C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B5A"/>
    <w:pPr>
      <w:ind w:left="720"/>
      <w:contextualSpacing/>
    </w:pPr>
  </w:style>
  <w:style w:type="character" w:styleId="CommentReference">
    <w:name w:val="annotation reference"/>
    <w:basedOn w:val="DefaultParagraphFont"/>
    <w:uiPriority w:val="99"/>
    <w:semiHidden/>
    <w:unhideWhenUsed/>
    <w:rsid w:val="00850075"/>
    <w:rPr>
      <w:sz w:val="16"/>
      <w:szCs w:val="16"/>
    </w:rPr>
  </w:style>
  <w:style w:type="paragraph" w:styleId="CommentText">
    <w:name w:val="annotation text"/>
    <w:basedOn w:val="Normal"/>
    <w:link w:val="CommentTextChar"/>
    <w:uiPriority w:val="99"/>
    <w:unhideWhenUsed/>
    <w:rsid w:val="00850075"/>
    <w:rPr>
      <w:sz w:val="20"/>
      <w:szCs w:val="20"/>
    </w:rPr>
  </w:style>
  <w:style w:type="character" w:customStyle="1" w:styleId="CommentTextChar">
    <w:name w:val="Comment Text Char"/>
    <w:basedOn w:val="DefaultParagraphFont"/>
    <w:link w:val="CommentText"/>
    <w:uiPriority w:val="99"/>
    <w:rsid w:val="008500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0075"/>
    <w:rPr>
      <w:b/>
      <w:bCs/>
    </w:rPr>
  </w:style>
  <w:style w:type="character" w:customStyle="1" w:styleId="CommentSubjectChar">
    <w:name w:val="Comment Subject Char"/>
    <w:basedOn w:val="CommentTextChar"/>
    <w:link w:val="CommentSubject"/>
    <w:uiPriority w:val="99"/>
    <w:semiHidden/>
    <w:rsid w:val="0085007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0075"/>
    <w:rPr>
      <w:rFonts w:ascii="Tahoma" w:hAnsi="Tahoma" w:cs="Tahoma"/>
      <w:sz w:val="16"/>
      <w:szCs w:val="16"/>
    </w:rPr>
  </w:style>
  <w:style w:type="character" w:customStyle="1" w:styleId="BalloonTextChar">
    <w:name w:val="Balloon Text Char"/>
    <w:basedOn w:val="DefaultParagraphFont"/>
    <w:link w:val="BalloonText"/>
    <w:uiPriority w:val="99"/>
    <w:semiHidden/>
    <w:rsid w:val="00850075"/>
    <w:rPr>
      <w:rFonts w:ascii="Tahoma" w:eastAsia="Calibri" w:hAnsi="Tahoma" w:cs="Tahoma"/>
      <w:sz w:val="16"/>
      <w:szCs w:val="16"/>
    </w:rPr>
  </w:style>
  <w:style w:type="table" w:customStyle="1" w:styleId="2">
    <w:name w:val="2"/>
    <w:basedOn w:val="TableNormal"/>
    <w:rsid w:val="00004B0A"/>
    <w:pPr>
      <w:pBdr>
        <w:top w:val="nil"/>
        <w:left w:val="nil"/>
        <w:bottom w:val="nil"/>
        <w:right w:val="nil"/>
        <w:between w:val="nil"/>
      </w:pBdr>
      <w:spacing w:after="160" w:line="259" w:lineRule="auto"/>
    </w:pPr>
    <w:rPr>
      <w:rFonts w:ascii="Calibri" w:eastAsia="Calibri" w:hAnsi="Calibri" w:cs="Calibri"/>
      <w:color w:val="000000"/>
      <w:lang w:val="en-AU" w:eastAsia="en-NZ"/>
    </w:rPr>
    <w:tblPr>
      <w:tblStyleRowBandSize w:val="1"/>
      <w:tblStyleColBandSize w:val="1"/>
      <w:tblCellMar>
        <w:top w:w="15" w:type="dxa"/>
        <w:left w:w="115" w:type="dxa"/>
        <w:bottom w:w="15" w:type="dxa"/>
        <w:right w:w="115" w:type="dxa"/>
      </w:tblCellMar>
    </w:tblPr>
  </w:style>
  <w:style w:type="table" w:customStyle="1" w:styleId="1">
    <w:name w:val="1"/>
    <w:basedOn w:val="TableNormal"/>
    <w:rsid w:val="00F20FE0"/>
    <w:pPr>
      <w:pBdr>
        <w:top w:val="nil"/>
        <w:left w:val="nil"/>
        <w:bottom w:val="nil"/>
        <w:right w:val="nil"/>
        <w:between w:val="nil"/>
      </w:pBdr>
      <w:spacing w:after="160" w:line="259" w:lineRule="auto"/>
    </w:pPr>
    <w:rPr>
      <w:rFonts w:ascii="Calibri" w:eastAsia="Calibri" w:hAnsi="Calibri" w:cs="Calibri"/>
      <w:color w:val="000000"/>
      <w:lang w:val="en-AU" w:eastAsia="en-NZ"/>
    </w:rPr>
    <w:tblPr>
      <w:tblStyleRowBandSize w:val="1"/>
      <w:tblStyleColBandSize w:val="1"/>
      <w:tblCellMar>
        <w:top w:w="15" w:type="dxa"/>
        <w:left w:w="115" w:type="dxa"/>
        <w:bottom w:w="15" w:type="dxa"/>
        <w:right w:w="115" w:type="dxa"/>
      </w:tblCellMar>
    </w:tblPr>
  </w:style>
  <w:style w:type="character" w:styleId="Hyperlink">
    <w:name w:val="Hyperlink"/>
    <w:basedOn w:val="DefaultParagraphFont"/>
    <w:uiPriority w:val="99"/>
    <w:unhideWhenUsed/>
    <w:rsid w:val="00F20FE0"/>
    <w:rPr>
      <w:color w:val="0000FF" w:themeColor="hyperlink"/>
      <w:u w:val="single"/>
    </w:rPr>
  </w:style>
  <w:style w:type="paragraph" w:styleId="Revision">
    <w:name w:val="Revision"/>
    <w:hidden/>
    <w:uiPriority w:val="99"/>
    <w:semiHidden/>
    <w:rsid w:val="00BC60F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7742">
      <w:bodyDiv w:val="1"/>
      <w:marLeft w:val="0"/>
      <w:marRight w:val="0"/>
      <w:marTop w:val="0"/>
      <w:marBottom w:val="0"/>
      <w:divBdr>
        <w:top w:val="none" w:sz="0" w:space="0" w:color="auto"/>
        <w:left w:val="none" w:sz="0" w:space="0" w:color="auto"/>
        <w:bottom w:val="none" w:sz="0" w:space="0" w:color="auto"/>
        <w:right w:val="none" w:sz="0" w:space="0" w:color="auto"/>
      </w:divBdr>
    </w:div>
    <w:div w:id="343945425">
      <w:bodyDiv w:val="1"/>
      <w:marLeft w:val="0"/>
      <w:marRight w:val="0"/>
      <w:marTop w:val="0"/>
      <w:marBottom w:val="0"/>
      <w:divBdr>
        <w:top w:val="none" w:sz="0" w:space="0" w:color="auto"/>
        <w:left w:val="none" w:sz="0" w:space="0" w:color="auto"/>
        <w:bottom w:val="none" w:sz="0" w:space="0" w:color="auto"/>
        <w:right w:val="none" w:sz="0" w:space="0" w:color="auto"/>
      </w:divBdr>
    </w:div>
    <w:div w:id="432823897">
      <w:bodyDiv w:val="1"/>
      <w:marLeft w:val="0"/>
      <w:marRight w:val="0"/>
      <w:marTop w:val="0"/>
      <w:marBottom w:val="0"/>
      <w:divBdr>
        <w:top w:val="none" w:sz="0" w:space="0" w:color="auto"/>
        <w:left w:val="none" w:sz="0" w:space="0" w:color="auto"/>
        <w:bottom w:val="none" w:sz="0" w:space="0" w:color="auto"/>
        <w:right w:val="none" w:sz="0" w:space="0" w:color="auto"/>
      </w:divBdr>
    </w:div>
    <w:div w:id="676660833">
      <w:bodyDiv w:val="1"/>
      <w:marLeft w:val="0"/>
      <w:marRight w:val="0"/>
      <w:marTop w:val="0"/>
      <w:marBottom w:val="0"/>
      <w:divBdr>
        <w:top w:val="none" w:sz="0" w:space="0" w:color="auto"/>
        <w:left w:val="none" w:sz="0" w:space="0" w:color="auto"/>
        <w:bottom w:val="none" w:sz="0" w:space="0" w:color="auto"/>
        <w:right w:val="none" w:sz="0" w:space="0" w:color="auto"/>
      </w:divBdr>
    </w:div>
    <w:div w:id="1003051642">
      <w:bodyDiv w:val="1"/>
      <w:marLeft w:val="0"/>
      <w:marRight w:val="0"/>
      <w:marTop w:val="0"/>
      <w:marBottom w:val="0"/>
      <w:divBdr>
        <w:top w:val="none" w:sz="0" w:space="0" w:color="auto"/>
        <w:left w:val="none" w:sz="0" w:space="0" w:color="auto"/>
        <w:bottom w:val="none" w:sz="0" w:space="0" w:color="auto"/>
        <w:right w:val="none" w:sz="0" w:space="0" w:color="auto"/>
      </w:divBdr>
    </w:div>
    <w:div w:id="1209218525">
      <w:bodyDiv w:val="1"/>
      <w:marLeft w:val="0"/>
      <w:marRight w:val="0"/>
      <w:marTop w:val="0"/>
      <w:marBottom w:val="0"/>
      <w:divBdr>
        <w:top w:val="none" w:sz="0" w:space="0" w:color="auto"/>
        <w:left w:val="none" w:sz="0" w:space="0" w:color="auto"/>
        <w:bottom w:val="none" w:sz="0" w:space="0" w:color="auto"/>
        <w:right w:val="none" w:sz="0" w:space="0" w:color="auto"/>
      </w:divBdr>
    </w:div>
    <w:div w:id="1370254926">
      <w:bodyDiv w:val="1"/>
      <w:marLeft w:val="0"/>
      <w:marRight w:val="0"/>
      <w:marTop w:val="0"/>
      <w:marBottom w:val="0"/>
      <w:divBdr>
        <w:top w:val="none" w:sz="0" w:space="0" w:color="auto"/>
        <w:left w:val="none" w:sz="0" w:space="0" w:color="auto"/>
        <w:bottom w:val="none" w:sz="0" w:space="0" w:color="auto"/>
        <w:right w:val="none" w:sz="0" w:space="0" w:color="auto"/>
      </w:divBdr>
    </w:div>
    <w:div w:id="1451053582">
      <w:bodyDiv w:val="1"/>
      <w:marLeft w:val="0"/>
      <w:marRight w:val="0"/>
      <w:marTop w:val="0"/>
      <w:marBottom w:val="0"/>
      <w:divBdr>
        <w:top w:val="none" w:sz="0" w:space="0" w:color="auto"/>
        <w:left w:val="none" w:sz="0" w:space="0" w:color="auto"/>
        <w:bottom w:val="none" w:sz="0" w:space="0" w:color="auto"/>
        <w:right w:val="none" w:sz="0" w:space="0" w:color="auto"/>
      </w:divBdr>
    </w:div>
    <w:div w:id="1515849152">
      <w:bodyDiv w:val="1"/>
      <w:marLeft w:val="0"/>
      <w:marRight w:val="0"/>
      <w:marTop w:val="0"/>
      <w:marBottom w:val="0"/>
      <w:divBdr>
        <w:top w:val="none" w:sz="0" w:space="0" w:color="auto"/>
        <w:left w:val="none" w:sz="0" w:space="0" w:color="auto"/>
        <w:bottom w:val="none" w:sz="0" w:space="0" w:color="auto"/>
        <w:right w:val="none" w:sz="0" w:space="0" w:color="auto"/>
      </w:divBdr>
    </w:div>
    <w:div w:id="209821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0c7df4-5455-4d7f-a0d5-edbf1b51625d" xsi:nil="true"/>
    <LikesCount xmlns="http://schemas.microsoft.com/sharepoint/v3" xsi:nil="true"/>
    <lcf76f155ced4ddcb4097134ff3c332f xmlns="d262468b-8a39-4dd3-a545-897eab60266b">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TaxKeywordTaxHTField xmlns="910c7df4-5455-4d7f-a0d5-edbf1b51625d">
      <Terms xmlns="http://schemas.microsoft.com/office/infopath/2007/PartnerControls"/>
    </TaxKeywordTaxHTField>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C78FE1E4B4D42800767063E1D4FE4" ma:contentTypeVersion="24" ma:contentTypeDescription="Create a new document." ma:contentTypeScope="" ma:versionID="0ef7bd3fbb9de79817666459ff558625">
  <xsd:schema xmlns:xsd="http://www.w3.org/2001/XMLSchema" xmlns:xs="http://www.w3.org/2001/XMLSchema" xmlns:p="http://schemas.microsoft.com/office/2006/metadata/properties" xmlns:ns1="http://schemas.microsoft.com/sharepoint/v3" xmlns:ns2="d262468b-8a39-4dd3-a545-897eab60266b" xmlns:ns3="910c7df4-5455-4d7f-a0d5-edbf1b51625d" targetNamespace="http://schemas.microsoft.com/office/2006/metadata/properties" ma:root="true" ma:fieldsID="846f634c639b0c2c51cb55c3fa46973a" ns1:_="" ns2:_="" ns3:_="">
    <xsd:import namespace="http://schemas.microsoft.com/sharepoint/v3"/>
    <xsd:import namespace="d262468b-8a39-4dd3-a545-897eab60266b"/>
    <xsd:import namespace="910c7df4-5455-4d7f-a0d5-edbf1b51625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3:TaxKeywordTaxHTFiel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62468b-8a39-4dd3-a545-897eab6026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5b0a257-cb57-4d6a-ade4-57efffb73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c7df4-5455-4d7f-a0d5-edbf1b51625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75f6fa-d081-4ab9-b0a1-d2ab3772bf16}" ma:internalName="TaxCatchAll" ma:showField="CatchAllData" ma:web="910c7df4-5455-4d7f-a0d5-edbf1b5162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5" nillable="true" ma:taxonomy="true" ma:internalName="TaxKeywordTaxHTField" ma:taxonomyFieldName="TaxKeyword" ma:displayName="Enterprise Keywords" ma:fieldId="{23f27201-bee3-471e-b2e7-b64fd8b7ca38}" ma:taxonomyMulti="true" ma:sspId="9ce0def3-5b19-4b3b-9a8a-ae8507a6483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446EF-4321-44A4-A391-D9F3227C9240}">
  <ds:schemaRefs>
    <ds:schemaRef ds:uri="http://schemas.openxmlformats.org/officeDocument/2006/bibliography"/>
  </ds:schemaRefs>
</ds:datastoreItem>
</file>

<file path=customXml/itemProps2.xml><?xml version="1.0" encoding="utf-8"?>
<ds:datastoreItem xmlns:ds="http://schemas.openxmlformats.org/officeDocument/2006/customXml" ds:itemID="{828524F8-8A9C-4195-834F-B313125EC9F2}">
  <ds:schemaRefs>
    <ds:schemaRef ds:uri="http://schemas.microsoft.com/office/2006/metadata/properties"/>
    <ds:schemaRef ds:uri="http://schemas.microsoft.com/office/infopath/2007/PartnerControls"/>
    <ds:schemaRef ds:uri="910c7df4-5455-4d7f-a0d5-edbf1b51625d"/>
    <ds:schemaRef ds:uri="http://schemas.microsoft.com/sharepoint/v3"/>
    <ds:schemaRef ds:uri="d262468b-8a39-4dd3-a545-897eab60266b"/>
  </ds:schemaRefs>
</ds:datastoreItem>
</file>

<file path=customXml/itemProps3.xml><?xml version="1.0" encoding="utf-8"?>
<ds:datastoreItem xmlns:ds="http://schemas.openxmlformats.org/officeDocument/2006/customXml" ds:itemID="{CAC9FCE7-1507-4356-8F39-8DE77BCF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2468b-8a39-4dd3-a545-897eab60266b"/>
    <ds:schemaRef ds:uri="910c7df4-5455-4d7f-a0d5-edbf1b516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24AB8-BC0B-49FB-9EDC-94B4A0E21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Jephson</dc:creator>
  <cp:lastModifiedBy>Laura Air</cp:lastModifiedBy>
  <cp:revision>2</cp:revision>
  <cp:lastPrinted>2020-03-18T20:37:00Z</cp:lastPrinted>
  <dcterms:created xsi:type="dcterms:W3CDTF">2026-02-24T23:24:00Z</dcterms:created>
  <dcterms:modified xsi:type="dcterms:W3CDTF">2026-02-24T23:24:00Z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0x010100CFDC78FE1E4B4D42800767063E1D4FE4</vt:lpwstr>
  </property>
  <property fmtid="{D5CDD505-2E9C-101B-9397-08002B2CF9AE}" pid="3" name="TaxKeyword">
    <vt:lpwstr/>
  </property>
  <property fmtid="{D5CDD505-2E9C-101B-9397-08002B2CF9AE}" pid="4" name="MediaServiceImageTags">
    <vt:lpwstr/>
  </property>
</Properties>
</file>