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E7" w:rsidRPr="004523E7" w:rsidRDefault="004523E7" w:rsidP="004523E7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Since August 2014 AUSTRAC has taken the following enforcement actions:</w:t>
      </w:r>
    </w:p>
    <w:p w:rsidR="004523E7" w:rsidRPr="004523E7" w:rsidRDefault="004523E7" w:rsidP="00452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 </w:t>
      </w:r>
    </w:p>
    <w:p w:rsidR="004523E7" w:rsidRPr="004523E7" w:rsidRDefault="004523E7" w:rsidP="004523E7">
      <w:pPr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proofErr w:type="gramStart"/>
      <w:r w:rsidRPr="004523E7">
        <w:rPr>
          <w:rFonts w:ascii="Courier New" w:eastAsia="Times New Roman" w:hAnsi="Courier New" w:cs="Courier New"/>
          <w:color w:val="222222"/>
          <w:sz w:val="20"/>
          <w:szCs w:val="20"/>
          <w:lang w:eastAsia="en-NZ"/>
        </w:rPr>
        <w:t>o</w:t>
      </w:r>
      <w:proofErr w:type="gramEnd"/>
      <w:r w:rsidRPr="004523E7">
        <w:rPr>
          <w:rFonts w:ascii="Times New Roman" w:eastAsia="Times New Roman" w:hAnsi="Times New Roman" w:cs="Times New Roman"/>
          <w:color w:val="222222"/>
          <w:sz w:val="14"/>
          <w:szCs w:val="14"/>
          <w:lang w:eastAsia="en-NZ"/>
        </w:rPr>
        <w:t>    </w:t>
      </w: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In July 2015, AUSTRAC commenced proceedings in the Federal Court of Australia against three </w:t>
      </w:r>
      <w:proofErr w:type="spellStart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Tabcorp</w:t>
      </w:r>
      <w:proofErr w:type="spellEnd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 group companies for extensive, significant and systemic non-compliance with Australia’s anti-money laundering and counter-terrorism financing legislation. 236 contraventions of the AML/CTF Act are alleged. The </w:t>
      </w:r>
      <w:proofErr w:type="spellStart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Tabcorp</w:t>
      </w:r>
      <w:proofErr w:type="spellEnd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 group potentially faces a penalty of up to $18 million per contravention pleaded by AUSTRAC. In determining any penalty to be awarded, a court will take into account a range of factors, including whether any of the contraventions arise out of the same or similar conduct.</w:t>
      </w:r>
    </w:p>
    <w:p w:rsidR="004523E7" w:rsidRPr="004523E7" w:rsidRDefault="004523E7" w:rsidP="00452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 </w:t>
      </w:r>
    </w:p>
    <w:p w:rsidR="004523E7" w:rsidRPr="004523E7" w:rsidRDefault="004523E7" w:rsidP="004523E7">
      <w:pPr>
        <w:shd w:val="clear" w:color="auto" w:fill="FFFFFF"/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proofErr w:type="gramStart"/>
      <w:r w:rsidRPr="004523E7">
        <w:rPr>
          <w:rFonts w:ascii="Courier New" w:eastAsia="Times New Roman" w:hAnsi="Courier New" w:cs="Courier New"/>
          <w:color w:val="222222"/>
          <w:sz w:val="20"/>
          <w:szCs w:val="20"/>
          <w:lang w:eastAsia="en-NZ"/>
        </w:rPr>
        <w:t>o</w:t>
      </w:r>
      <w:proofErr w:type="gramEnd"/>
      <w:r w:rsidRPr="004523E7">
        <w:rPr>
          <w:rFonts w:ascii="Times New Roman" w:eastAsia="Times New Roman" w:hAnsi="Times New Roman" w:cs="Times New Roman"/>
          <w:color w:val="222222"/>
          <w:sz w:val="14"/>
          <w:szCs w:val="14"/>
          <w:lang w:eastAsia="en-NZ"/>
        </w:rPr>
        <w:t>    </w:t>
      </w: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AUSTRAC issued two fines to one of the world’s largest remittance network providers, MoneyGram Payment Systems, </w:t>
      </w:r>
      <w:proofErr w:type="spellStart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Inc</w:t>
      </w:r>
      <w:proofErr w:type="spellEnd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, for providing money remittance services through unregistered remittance businesses. A $336,600 infringement notice was paid in May 2015. A $122,400 infringement notice was paid in January 2015.</w:t>
      </w:r>
    </w:p>
    <w:p w:rsidR="004523E7" w:rsidRPr="004523E7" w:rsidRDefault="004523E7" w:rsidP="004523E7">
      <w:pPr>
        <w:shd w:val="clear" w:color="auto" w:fill="FFFFFF"/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proofErr w:type="gramStart"/>
      <w:r w:rsidRPr="004523E7">
        <w:rPr>
          <w:rFonts w:ascii="Courier New" w:eastAsia="Times New Roman" w:hAnsi="Courier New" w:cs="Courier New"/>
          <w:color w:val="222222"/>
          <w:sz w:val="20"/>
          <w:szCs w:val="20"/>
          <w:lang w:eastAsia="en-NZ"/>
        </w:rPr>
        <w:t>o</w:t>
      </w:r>
      <w:proofErr w:type="gramEnd"/>
      <w:r w:rsidRPr="004523E7">
        <w:rPr>
          <w:rFonts w:ascii="Times New Roman" w:eastAsia="Times New Roman" w:hAnsi="Times New Roman" w:cs="Times New Roman"/>
          <w:color w:val="222222"/>
          <w:sz w:val="14"/>
          <w:szCs w:val="14"/>
          <w:lang w:eastAsia="en-NZ"/>
        </w:rPr>
        <w:t>    </w:t>
      </w: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AUSTRAC issued an infringement notice for $10,200 to online bookmaker, </w:t>
      </w:r>
      <w:proofErr w:type="spellStart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ClassicBet</w:t>
      </w:r>
      <w:proofErr w:type="spellEnd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 Pty Limited, for failing to apply for enrolment within the required time period. The infringement was paid in January 2015.</w:t>
      </w:r>
    </w:p>
    <w:p w:rsidR="004523E7" w:rsidRPr="004523E7" w:rsidRDefault="004523E7" w:rsidP="004523E7">
      <w:pPr>
        <w:shd w:val="clear" w:color="auto" w:fill="FFFFFF"/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proofErr w:type="gramStart"/>
      <w:r w:rsidRPr="004523E7">
        <w:rPr>
          <w:rFonts w:ascii="Courier New" w:eastAsia="Times New Roman" w:hAnsi="Courier New" w:cs="Courier New"/>
          <w:color w:val="222222"/>
          <w:sz w:val="20"/>
          <w:szCs w:val="20"/>
          <w:lang w:eastAsia="en-NZ"/>
        </w:rPr>
        <w:t>o</w:t>
      </w:r>
      <w:proofErr w:type="gramEnd"/>
      <w:r w:rsidRPr="004523E7">
        <w:rPr>
          <w:rFonts w:ascii="Times New Roman" w:eastAsia="Times New Roman" w:hAnsi="Times New Roman" w:cs="Times New Roman"/>
          <w:color w:val="222222"/>
          <w:sz w:val="14"/>
          <w:szCs w:val="14"/>
          <w:lang w:eastAsia="en-NZ"/>
        </w:rPr>
        <w:t>    </w:t>
      </w: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In February 2015, AUSTRAC issued a written direction to </w:t>
      </w:r>
      <w:proofErr w:type="spellStart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ClassicBet</w:t>
      </w:r>
      <w:proofErr w:type="spellEnd"/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 xml:space="preserve"> Pty Limited requiring it to conduct an ML/TF risk assessment and develop and implement a compliant AML/CTF program.</w:t>
      </w:r>
    </w:p>
    <w:p w:rsidR="004523E7" w:rsidRPr="004523E7" w:rsidRDefault="004523E7" w:rsidP="004523E7">
      <w:pPr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4523E7">
        <w:rPr>
          <w:rFonts w:ascii="Courier New" w:eastAsia="Times New Roman" w:hAnsi="Courier New" w:cs="Courier New"/>
          <w:color w:val="222222"/>
          <w:sz w:val="20"/>
          <w:szCs w:val="20"/>
          <w:lang w:eastAsia="en-NZ"/>
        </w:rPr>
        <w:t>o</w:t>
      </w:r>
      <w:r w:rsidRPr="004523E7">
        <w:rPr>
          <w:rFonts w:ascii="Times New Roman" w:eastAsia="Times New Roman" w:hAnsi="Times New Roman" w:cs="Times New Roman"/>
          <w:color w:val="222222"/>
          <w:sz w:val="14"/>
          <w:szCs w:val="14"/>
          <w:lang w:eastAsia="en-NZ"/>
        </w:rPr>
        <w:t>    </w:t>
      </w: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In May 2015, AUSTRAC issued a notice to gaming machine venue, Canberra Southern Cross Club Limited, requiring it to appoint an external auditor to assess and help improve its compliance with anti-money laundering and counter-terrorism financing (AML/CTF) laws.</w:t>
      </w:r>
    </w:p>
    <w:p w:rsidR="004523E7" w:rsidRPr="004523E7" w:rsidRDefault="004523E7" w:rsidP="004523E7">
      <w:pPr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 </w:t>
      </w:r>
    </w:p>
    <w:p w:rsidR="004523E7" w:rsidRPr="004523E7" w:rsidRDefault="004523E7" w:rsidP="004523E7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4523E7">
        <w:rPr>
          <w:rFonts w:ascii="Symbol" w:eastAsia="Times New Roman" w:hAnsi="Symbol" w:cs="Times New Roman"/>
          <w:color w:val="222222"/>
          <w:sz w:val="20"/>
          <w:szCs w:val="20"/>
          <w:lang w:eastAsia="en-NZ"/>
        </w:rPr>
        <w:t></w:t>
      </w:r>
      <w:r w:rsidRPr="004523E7">
        <w:rPr>
          <w:rFonts w:ascii="Times New Roman" w:eastAsia="Times New Roman" w:hAnsi="Times New Roman" w:cs="Times New Roman"/>
          <w:color w:val="222222"/>
          <w:sz w:val="14"/>
          <w:szCs w:val="14"/>
          <w:lang w:eastAsia="en-NZ"/>
        </w:rPr>
        <w:t>         </w:t>
      </w:r>
      <w:r w:rsidRPr="004523E7">
        <w:rPr>
          <w:rFonts w:ascii="Times New Roman" w:eastAsia="Times New Roman" w:hAnsi="Times New Roman" w:cs="Times New Roman"/>
          <w:color w:val="222222"/>
          <w:sz w:val="20"/>
          <w:szCs w:val="20"/>
          <w:lang w:eastAsia="en-NZ"/>
        </w:rPr>
        <w:t>In addition, AUSTRAC has also taken a range of actions in respect of remittance service providers. Please see the following link for further information: </w:t>
      </w:r>
      <w:hyperlink r:id="rId4" w:tgtFrame="_blank" w:history="1">
        <w:r w:rsidRPr="004523E7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en-NZ"/>
          </w:rPr>
          <w:t>http://www.austrac.gov.au/enforcement-action/remittance-registration-actions</w:t>
        </w:r>
      </w:hyperlink>
    </w:p>
    <w:p w:rsidR="00A73C1B" w:rsidRDefault="00A73C1B">
      <w:bookmarkStart w:id="0" w:name="_GoBack"/>
      <w:bookmarkEnd w:id="0"/>
    </w:p>
    <w:sectPr w:rsidR="00A73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E7"/>
    <w:rsid w:val="004523E7"/>
    <w:rsid w:val="00A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1CB5D-EEB2-4344-9F61-B36AED58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4523E7"/>
  </w:style>
  <w:style w:type="character" w:styleId="Hyperlink">
    <w:name w:val="Hyperlink"/>
    <w:basedOn w:val="DefaultParagraphFont"/>
    <w:uiPriority w:val="99"/>
    <w:semiHidden/>
    <w:unhideWhenUsed/>
    <w:rsid w:val="00452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strac.gov.au/enforcement-action/remittance-registration-a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2016-08-24T03:23:00Z</dcterms:created>
  <dcterms:modified xsi:type="dcterms:W3CDTF">2016-08-24T03:24:00Z</dcterms:modified>
</cp:coreProperties>
</file>