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1D" w:rsidRPr="00815ACB" w:rsidRDefault="0018451D" w:rsidP="0018451D">
      <w:pPr>
        <w:rPr>
          <w:b/>
        </w:rPr>
      </w:pPr>
      <w:r>
        <w:rPr>
          <w:b/>
        </w:rPr>
        <w:t xml:space="preserve">Q Card Trust places NZ$50m in </w:t>
      </w:r>
      <w:r w:rsidRPr="00815ACB">
        <w:rPr>
          <w:b/>
        </w:rPr>
        <w:t xml:space="preserve">its </w:t>
      </w:r>
      <w:r>
        <w:rPr>
          <w:b/>
        </w:rPr>
        <w:t xml:space="preserve">first subsequent </w:t>
      </w:r>
      <w:r w:rsidRPr="00815ACB">
        <w:rPr>
          <w:b/>
        </w:rPr>
        <w:t xml:space="preserve">issue of </w:t>
      </w:r>
      <w:r>
        <w:rPr>
          <w:b/>
        </w:rPr>
        <w:t>Credit Card ABS</w:t>
      </w:r>
      <w:r w:rsidRPr="00815ACB">
        <w:rPr>
          <w:b/>
        </w:rPr>
        <w:t>.</w:t>
      </w:r>
    </w:p>
    <w:p w:rsidR="002024D6" w:rsidRDefault="001D1AEA"/>
    <w:p w:rsidR="0018451D" w:rsidRDefault="0032558F">
      <w:r>
        <w:t>Following its successful inaugural issuance of notes in August 2014, Q Card Trust today completed its first subsequent issue of notes by tapping the existing series</w:t>
      </w:r>
      <w:r w:rsidR="000D3A45">
        <w:t xml:space="preserve"> and taking the total volume on issuance to </w:t>
      </w:r>
      <w:r w:rsidR="007824F6">
        <w:t>NZ$343.25m</w:t>
      </w:r>
      <w:r>
        <w:t>.</w:t>
      </w:r>
    </w:p>
    <w:p w:rsidR="000D3A45" w:rsidRDefault="000D3A45"/>
    <w:p w:rsidR="000D3A45" w:rsidRDefault="000D3A45">
      <w:r>
        <w:t>Details of the additional notes:</w:t>
      </w:r>
    </w:p>
    <w:p w:rsidR="0018451D" w:rsidRDefault="0018451D"/>
    <w:tbl>
      <w:tblPr>
        <w:tblW w:w="5138" w:type="pct"/>
        <w:tblInd w:w="11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/>
      </w:tblPr>
      <w:tblGrid>
        <w:gridCol w:w="1226"/>
        <w:gridCol w:w="1181"/>
        <w:gridCol w:w="1559"/>
        <w:gridCol w:w="1419"/>
        <w:gridCol w:w="1415"/>
        <w:gridCol w:w="1417"/>
        <w:gridCol w:w="1280"/>
      </w:tblGrid>
      <w:tr w:rsidR="0032558F" w:rsidRPr="008117CD" w:rsidTr="0032558F">
        <w:tc>
          <w:tcPr>
            <w:tcW w:w="645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rPr>
                <w:b/>
              </w:rPr>
            </w:pPr>
            <w:r>
              <w:rPr>
                <w:b/>
              </w:rPr>
              <w:t>Series of Notes</w:t>
            </w:r>
          </w:p>
        </w:tc>
        <w:tc>
          <w:tcPr>
            <w:tcW w:w="622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>Face Value of subsequent Notes (NZ$)</w:t>
            </w:r>
          </w:p>
        </w:tc>
        <w:tc>
          <w:tcPr>
            <w:tcW w:w="821" w:type="pct"/>
            <w:shd w:val="clear" w:color="auto" w:fill="8C7D70"/>
          </w:tcPr>
          <w:p w:rsidR="0032558F" w:rsidRPr="00571670" w:rsidRDefault="0032558F" w:rsidP="0032558F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>Required Credit Enhancement</w:t>
            </w:r>
          </w:p>
        </w:tc>
        <w:tc>
          <w:tcPr>
            <w:tcW w:w="747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>Rating (Fitch)</w:t>
            </w:r>
          </w:p>
        </w:tc>
        <w:tc>
          <w:tcPr>
            <w:tcW w:w="745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 xml:space="preserve">Coupon </w:t>
            </w:r>
            <w:r>
              <w:rPr>
                <w:b/>
              </w:rPr>
              <w:br/>
              <w:t xml:space="preserve">(1 </w:t>
            </w:r>
            <w:proofErr w:type="spellStart"/>
            <w:r>
              <w:rPr>
                <w:b/>
              </w:rPr>
              <w:t>mth</w:t>
            </w:r>
            <w:proofErr w:type="spellEnd"/>
            <w:r>
              <w:rPr>
                <w:b/>
              </w:rPr>
              <w:t xml:space="preserve"> BKBM Bid + bps</w:t>
            </w:r>
          </w:p>
        </w:tc>
        <w:tc>
          <w:tcPr>
            <w:tcW w:w="746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>Soft Bullet Date</w:t>
            </w:r>
          </w:p>
        </w:tc>
        <w:tc>
          <w:tcPr>
            <w:tcW w:w="674" w:type="pct"/>
            <w:shd w:val="clear" w:color="auto" w:fill="8C7D70"/>
          </w:tcPr>
          <w:p w:rsidR="0032558F" w:rsidRPr="00571670" w:rsidRDefault="0032558F" w:rsidP="00FE5116">
            <w:pPr>
              <w:pStyle w:val="TableHeading"/>
              <w:jc w:val="right"/>
              <w:rPr>
                <w:b/>
              </w:rPr>
            </w:pPr>
            <w:r>
              <w:rPr>
                <w:b/>
              </w:rPr>
              <w:t>Final Maturity Date</w:t>
            </w:r>
          </w:p>
        </w:tc>
      </w:tr>
      <w:tr w:rsidR="0032558F" w:rsidRPr="00E23CB3" w:rsidTr="0032558F">
        <w:tc>
          <w:tcPr>
            <w:tcW w:w="645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</w:pPr>
            <w:r w:rsidRPr="00E23CB3">
              <w:t>A – 2014-1</w:t>
            </w:r>
          </w:p>
        </w:tc>
        <w:tc>
          <w:tcPr>
            <w:tcW w:w="622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31,500,000</w:t>
            </w:r>
          </w:p>
        </w:tc>
        <w:tc>
          <w:tcPr>
            <w:tcW w:w="821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35.5%</w:t>
            </w:r>
          </w:p>
        </w:tc>
        <w:tc>
          <w:tcPr>
            <w:tcW w:w="747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AAA(sf)</w:t>
            </w:r>
          </w:p>
        </w:tc>
        <w:tc>
          <w:tcPr>
            <w:tcW w:w="745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110</w:t>
            </w:r>
          </w:p>
        </w:tc>
        <w:tc>
          <w:tcPr>
            <w:tcW w:w="746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2016</w:t>
            </w:r>
          </w:p>
        </w:tc>
        <w:tc>
          <w:tcPr>
            <w:tcW w:w="674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16 Aug 2021</w:t>
            </w:r>
          </w:p>
        </w:tc>
      </w:tr>
      <w:tr w:rsidR="0032558F" w:rsidRPr="00E23CB3" w:rsidTr="0032558F">
        <w:tc>
          <w:tcPr>
            <w:tcW w:w="645" w:type="pct"/>
            <w:shd w:val="clear" w:color="auto" w:fill="auto"/>
          </w:tcPr>
          <w:p w:rsidR="0032558F" w:rsidRPr="00E23CB3" w:rsidRDefault="0032558F" w:rsidP="00FE5116">
            <w:pPr>
              <w:pStyle w:val="TableText"/>
            </w:pPr>
            <w:r w:rsidRPr="00E23CB3">
              <w:t>B – 2014-1</w:t>
            </w:r>
          </w:p>
        </w:tc>
        <w:tc>
          <w:tcPr>
            <w:tcW w:w="622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5,000,000</w:t>
            </w:r>
          </w:p>
        </w:tc>
        <w:tc>
          <w:tcPr>
            <w:tcW w:w="821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25.5%</w:t>
            </w:r>
          </w:p>
        </w:tc>
        <w:tc>
          <w:tcPr>
            <w:tcW w:w="747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AA(sf)</w:t>
            </w:r>
          </w:p>
        </w:tc>
        <w:tc>
          <w:tcPr>
            <w:tcW w:w="745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>
              <w:t>Undisclosed</w:t>
            </w:r>
          </w:p>
        </w:tc>
        <w:tc>
          <w:tcPr>
            <w:tcW w:w="746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Feb 2019</w:t>
            </w:r>
          </w:p>
        </w:tc>
        <w:tc>
          <w:tcPr>
            <w:tcW w:w="674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Feb 2024</w:t>
            </w:r>
          </w:p>
        </w:tc>
      </w:tr>
      <w:tr w:rsidR="0032558F" w:rsidRPr="00E23CB3" w:rsidTr="0032558F">
        <w:tc>
          <w:tcPr>
            <w:tcW w:w="645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</w:pPr>
            <w:r w:rsidRPr="00E23CB3">
              <w:t>C – 2014-1</w:t>
            </w:r>
          </w:p>
        </w:tc>
        <w:tc>
          <w:tcPr>
            <w:tcW w:w="622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3,500,000</w:t>
            </w:r>
          </w:p>
        </w:tc>
        <w:tc>
          <w:tcPr>
            <w:tcW w:w="821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18.5%</w:t>
            </w:r>
          </w:p>
        </w:tc>
        <w:tc>
          <w:tcPr>
            <w:tcW w:w="747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A(sf)</w:t>
            </w:r>
          </w:p>
        </w:tc>
        <w:tc>
          <w:tcPr>
            <w:tcW w:w="745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>
              <w:t>Undisclosed</w:t>
            </w:r>
          </w:p>
        </w:tc>
        <w:tc>
          <w:tcPr>
            <w:tcW w:w="746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Feb 2019</w:t>
            </w:r>
          </w:p>
        </w:tc>
        <w:tc>
          <w:tcPr>
            <w:tcW w:w="674" w:type="pct"/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Feb 2024</w:t>
            </w:r>
          </w:p>
        </w:tc>
      </w:tr>
      <w:tr w:rsidR="0032558F" w:rsidRPr="00E23CB3" w:rsidTr="0032558F">
        <w:tc>
          <w:tcPr>
            <w:tcW w:w="645" w:type="pct"/>
            <w:shd w:val="clear" w:color="auto" w:fill="auto"/>
          </w:tcPr>
          <w:p w:rsidR="0032558F" w:rsidRPr="00E23CB3" w:rsidRDefault="0032558F" w:rsidP="00FE5116">
            <w:pPr>
              <w:pStyle w:val="TableText"/>
            </w:pPr>
            <w:r w:rsidRPr="00E23CB3">
              <w:t>D – 2014-1</w:t>
            </w:r>
          </w:p>
        </w:tc>
        <w:tc>
          <w:tcPr>
            <w:tcW w:w="622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2,500,000</w:t>
            </w:r>
          </w:p>
        </w:tc>
        <w:tc>
          <w:tcPr>
            <w:tcW w:w="821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13.5%</w:t>
            </w:r>
          </w:p>
        </w:tc>
        <w:tc>
          <w:tcPr>
            <w:tcW w:w="747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BBB(sf)</w:t>
            </w:r>
          </w:p>
        </w:tc>
        <w:tc>
          <w:tcPr>
            <w:tcW w:w="745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>
              <w:t>Undisclosed</w:t>
            </w:r>
          </w:p>
        </w:tc>
        <w:tc>
          <w:tcPr>
            <w:tcW w:w="746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2019</w:t>
            </w:r>
          </w:p>
        </w:tc>
        <w:tc>
          <w:tcPr>
            <w:tcW w:w="674" w:type="pct"/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2024</w:t>
            </w:r>
          </w:p>
        </w:tc>
      </w:tr>
      <w:tr w:rsidR="0032558F" w:rsidRPr="00E23CB3" w:rsidTr="0032558F">
        <w:tc>
          <w:tcPr>
            <w:tcW w:w="645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</w:pPr>
            <w:r w:rsidRPr="00E23CB3">
              <w:t>E – 2014-1</w:t>
            </w:r>
          </w:p>
        </w:tc>
        <w:tc>
          <w:tcPr>
            <w:tcW w:w="622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2,750,000</w:t>
            </w:r>
          </w:p>
        </w:tc>
        <w:tc>
          <w:tcPr>
            <w:tcW w:w="821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8.0%</w:t>
            </w:r>
          </w:p>
        </w:tc>
        <w:tc>
          <w:tcPr>
            <w:tcW w:w="747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BB(sf)</w:t>
            </w:r>
          </w:p>
        </w:tc>
        <w:tc>
          <w:tcPr>
            <w:tcW w:w="745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>
              <w:t>Undisclosed</w:t>
            </w:r>
          </w:p>
        </w:tc>
        <w:tc>
          <w:tcPr>
            <w:tcW w:w="746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2019</w:t>
            </w:r>
          </w:p>
        </w:tc>
        <w:tc>
          <w:tcPr>
            <w:tcW w:w="674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2025</w:t>
            </w:r>
          </w:p>
        </w:tc>
      </w:tr>
      <w:tr w:rsidR="0032558F" w:rsidRPr="00E23CB3" w:rsidTr="0032558F">
        <w:tc>
          <w:tcPr>
            <w:tcW w:w="645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</w:pPr>
            <w:r w:rsidRPr="00E23CB3">
              <w:t>F – 2014-1</w:t>
            </w:r>
          </w:p>
        </w:tc>
        <w:tc>
          <w:tcPr>
            <w:tcW w:w="622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1,000,000</w:t>
            </w:r>
          </w:p>
        </w:tc>
        <w:tc>
          <w:tcPr>
            <w:tcW w:w="821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6.0%</w:t>
            </w:r>
          </w:p>
        </w:tc>
        <w:tc>
          <w:tcPr>
            <w:tcW w:w="747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UR</w:t>
            </w:r>
          </w:p>
        </w:tc>
        <w:tc>
          <w:tcPr>
            <w:tcW w:w="745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>
              <w:t>Undisclosed</w:t>
            </w:r>
          </w:p>
        </w:tc>
        <w:tc>
          <w:tcPr>
            <w:tcW w:w="746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2019</w:t>
            </w:r>
          </w:p>
        </w:tc>
        <w:tc>
          <w:tcPr>
            <w:tcW w:w="674" w:type="pct"/>
            <w:tcBorders>
              <w:bottom w:val="single" w:sz="2" w:space="0" w:color="FFFFFF"/>
            </w:tcBorders>
            <w:shd w:val="clear" w:color="auto" w:fill="FFFFFF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15 Aug 2025</w:t>
            </w:r>
          </w:p>
        </w:tc>
      </w:tr>
      <w:tr w:rsidR="0032558F" w:rsidRPr="00E23CB3" w:rsidTr="0032558F">
        <w:tc>
          <w:tcPr>
            <w:tcW w:w="645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</w:pPr>
            <w:r w:rsidRPr="00E23CB3">
              <w:t>S</w:t>
            </w:r>
          </w:p>
        </w:tc>
        <w:tc>
          <w:tcPr>
            <w:tcW w:w="622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3,750,000</w:t>
            </w:r>
          </w:p>
        </w:tc>
        <w:tc>
          <w:tcPr>
            <w:tcW w:w="821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NIL</w:t>
            </w:r>
          </w:p>
        </w:tc>
        <w:tc>
          <w:tcPr>
            <w:tcW w:w="747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UR</w:t>
            </w:r>
          </w:p>
        </w:tc>
        <w:tc>
          <w:tcPr>
            <w:tcW w:w="745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Undisclosed</w:t>
            </w:r>
          </w:p>
        </w:tc>
        <w:tc>
          <w:tcPr>
            <w:tcW w:w="746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N/A</w:t>
            </w:r>
          </w:p>
        </w:tc>
        <w:tc>
          <w:tcPr>
            <w:tcW w:w="674" w:type="pct"/>
            <w:tcBorders>
              <w:bottom w:val="single" w:sz="2" w:space="0" w:color="FFFFFF"/>
            </w:tcBorders>
            <w:shd w:val="clear" w:color="auto" w:fill="E9E3DB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16 Aug 2094</w:t>
            </w:r>
          </w:p>
        </w:tc>
      </w:tr>
      <w:tr w:rsidR="0032558F" w:rsidRPr="008117CD" w:rsidTr="0032558F">
        <w:tc>
          <w:tcPr>
            <w:tcW w:w="645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</w:pPr>
            <w:r w:rsidRPr="00E23CB3">
              <w:t>Total</w:t>
            </w:r>
          </w:p>
        </w:tc>
        <w:tc>
          <w:tcPr>
            <w:tcW w:w="622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  <w:r w:rsidRPr="00E23CB3">
              <w:t>50,000,000</w:t>
            </w:r>
          </w:p>
        </w:tc>
        <w:tc>
          <w:tcPr>
            <w:tcW w:w="821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</w:p>
        </w:tc>
        <w:tc>
          <w:tcPr>
            <w:tcW w:w="747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</w:p>
        </w:tc>
        <w:tc>
          <w:tcPr>
            <w:tcW w:w="745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</w:p>
        </w:tc>
        <w:tc>
          <w:tcPr>
            <w:tcW w:w="746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</w:p>
        </w:tc>
        <w:tc>
          <w:tcPr>
            <w:tcW w:w="674" w:type="pct"/>
            <w:tcBorders>
              <w:bottom w:val="double" w:sz="4" w:space="0" w:color="DDD9C3"/>
            </w:tcBorders>
            <w:shd w:val="clear" w:color="auto" w:fill="auto"/>
          </w:tcPr>
          <w:p w:rsidR="0032558F" w:rsidRPr="00E23CB3" w:rsidRDefault="0032558F" w:rsidP="00FE5116">
            <w:pPr>
              <w:pStyle w:val="TableText"/>
              <w:jc w:val="right"/>
            </w:pPr>
          </w:p>
        </w:tc>
      </w:tr>
    </w:tbl>
    <w:p w:rsidR="0018451D" w:rsidRDefault="0018451D"/>
    <w:p w:rsidR="000D3A45" w:rsidRDefault="000D3A45" w:rsidP="000D3A45">
      <w:r>
        <w:t xml:space="preserve">The issuance was in response to a reverse enquiry and highlights the strong support from third party investors for the programme.  Fisher &amp; </w:t>
      </w:r>
      <w:proofErr w:type="spellStart"/>
      <w:r>
        <w:t>Paykel</w:t>
      </w:r>
      <w:proofErr w:type="spellEnd"/>
      <w:r>
        <w:t xml:space="preserve"> Finance will retain the Class S Notes.</w:t>
      </w:r>
    </w:p>
    <w:p w:rsidR="000D3A45" w:rsidRDefault="000D3A45"/>
    <w:p w:rsidR="000D3A45" w:rsidRDefault="000D3A45">
      <w:r>
        <w:t xml:space="preserve">Paul Jamieson, Treasurer commented “the programme was developed to </w:t>
      </w:r>
      <w:r w:rsidR="00A45BF4">
        <w:t xml:space="preserve">be flexible and </w:t>
      </w:r>
      <w:r>
        <w:t xml:space="preserve">make subsequent issuances as </w:t>
      </w:r>
      <w:r w:rsidR="00A45BF4">
        <w:t xml:space="preserve">straightforward </w:t>
      </w:r>
      <w:r>
        <w:t>as possible</w:t>
      </w:r>
      <w:r w:rsidR="00A45BF4">
        <w:t>.  Given this flexibility and the strong growth in Q Card</w:t>
      </w:r>
      <w:r w:rsidR="00497970">
        <w:t xml:space="preserve">, </w:t>
      </w:r>
      <w:r>
        <w:t>it is pleasing to be able to respond to</w:t>
      </w:r>
      <w:r w:rsidR="00343965">
        <w:t xml:space="preserve"> </w:t>
      </w:r>
      <w:r>
        <w:t>investor</w:t>
      </w:r>
      <w:r w:rsidR="00A45BF4">
        <w:t xml:space="preserve"> demand</w:t>
      </w:r>
      <w:r w:rsidR="00343965">
        <w:t xml:space="preserve"> </w:t>
      </w:r>
      <w:r w:rsidR="00A45BF4">
        <w:t>and issue further notes with a relatively quick tu</w:t>
      </w:r>
      <w:bookmarkStart w:id="0" w:name="_GoBack"/>
      <w:bookmarkEnd w:id="0"/>
      <w:r w:rsidR="00A45BF4">
        <w:t>rnaround</w:t>
      </w:r>
      <w:r w:rsidR="00343965">
        <w:t xml:space="preserve">.” </w:t>
      </w:r>
    </w:p>
    <w:p w:rsidR="000D3A45" w:rsidRDefault="000D3A45"/>
    <w:p w:rsidR="000D3A45" w:rsidRDefault="000D3A45"/>
    <w:p w:rsidR="000D3A45" w:rsidRDefault="000D3A45"/>
    <w:sectPr w:rsidR="000D3A45" w:rsidSect="0074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451D"/>
    <w:rsid w:val="000D3A45"/>
    <w:rsid w:val="0018451D"/>
    <w:rsid w:val="001D1AEA"/>
    <w:rsid w:val="0032558F"/>
    <w:rsid w:val="00343965"/>
    <w:rsid w:val="00497970"/>
    <w:rsid w:val="005840F0"/>
    <w:rsid w:val="00735EC5"/>
    <w:rsid w:val="00742BC7"/>
    <w:rsid w:val="007824F6"/>
    <w:rsid w:val="008C6B90"/>
    <w:rsid w:val="00967CF9"/>
    <w:rsid w:val="00A4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1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unhideWhenUsed/>
    <w:qFormat/>
    <w:rsid w:val="0032558F"/>
    <w:pPr>
      <w:spacing w:before="60" w:after="60" w:line="240" w:lineRule="auto"/>
    </w:pPr>
    <w:rPr>
      <w:rFonts w:ascii="Arial" w:eastAsia="Times New Roman" w:hAnsi="Arial" w:cs="Times New Roman"/>
      <w:color w:val="FFFFFF"/>
      <w:sz w:val="17"/>
      <w:szCs w:val="24"/>
      <w:lang w:val="en-US"/>
    </w:rPr>
  </w:style>
  <w:style w:type="paragraph" w:customStyle="1" w:styleId="TableText">
    <w:name w:val="Table Text"/>
    <w:basedOn w:val="BodyText"/>
    <w:unhideWhenUsed/>
    <w:qFormat/>
    <w:rsid w:val="0032558F"/>
    <w:pPr>
      <w:spacing w:before="60" w:after="60" w:line="240" w:lineRule="exact"/>
    </w:pPr>
    <w:rPr>
      <w:rFonts w:cs="Times New Roman"/>
      <w:color w:val="495761"/>
      <w:sz w:val="16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255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558F"/>
    <w:rPr>
      <w:rFonts w:ascii="Arial" w:eastAsia="Times New Roman" w:hAnsi="Arial" w:cs="Arial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1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unhideWhenUsed/>
    <w:qFormat/>
    <w:rsid w:val="0032558F"/>
    <w:pPr>
      <w:spacing w:before="60" w:after="60" w:line="240" w:lineRule="auto"/>
    </w:pPr>
    <w:rPr>
      <w:rFonts w:ascii="Arial" w:eastAsia="Times New Roman" w:hAnsi="Arial" w:cs="Times New Roman"/>
      <w:color w:val="FFFFFF"/>
      <w:sz w:val="17"/>
      <w:szCs w:val="24"/>
      <w:lang w:val="en-US"/>
    </w:rPr>
  </w:style>
  <w:style w:type="paragraph" w:customStyle="1" w:styleId="TableText">
    <w:name w:val="Table Text"/>
    <w:basedOn w:val="BodyText"/>
    <w:unhideWhenUsed/>
    <w:qFormat/>
    <w:rsid w:val="0032558F"/>
    <w:pPr>
      <w:spacing w:before="60" w:after="60" w:line="240" w:lineRule="exact"/>
    </w:pPr>
    <w:rPr>
      <w:rFonts w:cs="Times New Roman"/>
      <w:color w:val="495761"/>
      <w:sz w:val="16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255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558F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Westpac New Zealand Limited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O'Connell</dc:creator>
  <cp:lastModifiedBy>Gareth</cp:lastModifiedBy>
  <cp:revision>2</cp:revision>
  <dcterms:created xsi:type="dcterms:W3CDTF">2015-07-15T09:06:00Z</dcterms:created>
  <dcterms:modified xsi:type="dcterms:W3CDTF">2015-07-15T09:06:00Z</dcterms:modified>
</cp:coreProperties>
</file>