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97D" w:rsidRPr="00571DBD" w:rsidRDefault="008D397D" w:rsidP="00B85339">
      <w:pPr>
        <w:jc w:val="both"/>
        <w:rPr>
          <w:rFonts w:ascii="Calibri" w:hAnsi="Calibri" w:cstheme="minorHAnsi"/>
          <w:b/>
          <w:bCs/>
          <w:sz w:val="22"/>
          <w:szCs w:val="22"/>
        </w:rPr>
      </w:pPr>
      <w:r w:rsidRPr="00B53928">
        <w:rPr>
          <w:rFonts w:ascii="Calibri" w:hAnsi="Calibri" w:cstheme="minorHAnsi"/>
          <w:b/>
          <w:bCs/>
          <w:noProof/>
          <w:sz w:val="22"/>
          <w:szCs w:val="22"/>
          <w:highlight w:val="yellow"/>
          <w:lang w:val="en-NZ" w:eastAsia="en-NZ"/>
        </w:rPr>
        <w:drawing>
          <wp:anchor distT="0" distB="0" distL="114300" distR="114300" simplePos="0" relativeHeight="251666432" behindDoc="1" locked="0" layoutInCell="1" allowOverlap="1" wp14:anchorId="23F97743" wp14:editId="346101F5">
            <wp:simplePos x="0" y="0"/>
            <wp:positionH relativeFrom="column">
              <wp:posOffset>3608070</wp:posOffset>
            </wp:positionH>
            <wp:positionV relativeFrom="paragraph">
              <wp:posOffset>-120650</wp:posOffset>
            </wp:positionV>
            <wp:extent cx="2609850" cy="517525"/>
            <wp:effectExtent l="0" t="0" r="0" b="0"/>
            <wp:wrapNone/>
            <wp:docPr id="2" name="Picture 2" descr="property 2010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perty 2010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9850" cy="517525"/>
                    </a:xfrm>
                    <a:prstGeom prst="rect">
                      <a:avLst/>
                    </a:prstGeom>
                    <a:noFill/>
                  </pic:spPr>
                </pic:pic>
              </a:graphicData>
            </a:graphic>
            <wp14:sizeRelH relativeFrom="page">
              <wp14:pctWidth>0</wp14:pctWidth>
            </wp14:sizeRelH>
            <wp14:sizeRelV relativeFrom="page">
              <wp14:pctHeight>0</wp14:pctHeight>
            </wp14:sizeRelV>
          </wp:anchor>
        </w:drawing>
      </w:r>
      <w:r w:rsidRPr="00571DBD">
        <w:rPr>
          <w:rFonts w:ascii="Calibri" w:hAnsi="Calibri" w:cstheme="minorHAnsi"/>
          <w:b/>
          <w:bCs/>
          <w:sz w:val="22"/>
          <w:szCs w:val="22"/>
        </w:rPr>
        <w:t xml:space="preserve">Media Release </w:t>
      </w:r>
    </w:p>
    <w:p w:rsidR="008D397D" w:rsidRPr="00FE24A9" w:rsidRDefault="00AE19E5" w:rsidP="00B85339">
      <w:pPr>
        <w:jc w:val="both"/>
        <w:rPr>
          <w:rFonts w:ascii="Calibri" w:hAnsi="Calibri" w:cstheme="minorHAnsi"/>
          <w:b/>
          <w:bCs/>
          <w:sz w:val="22"/>
          <w:szCs w:val="22"/>
        </w:rPr>
      </w:pPr>
      <w:r>
        <w:rPr>
          <w:rFonts w:ascii="Calibri" w:hAnsi="Calibri" w:cstheme="minorHAnsi"/>
          <w:b/>
          <w:bCs/>
          <w:sz w:val="22"/>
          <w:szCs w:val="22"/>
        </w:rPr>
        <w:t>1</w:t>
      </w:r>
      <w:r w:rsidR="009366A8">
        <w:rPr>
          <w:rFonts w:ascii="Calibri" w:hAnsi="Calibri" w:cstheme="minorHAnsi"/>
          <w:b/>
          <w:bCs/>
          <w:sz w:val="22"/>
          <w:szCs w:val="22"/>
        </w:rPr>
        <w:t>3</w:t>
      </w:r>
      <w:r>
        <w:rPr>
          <w:rFonts w:ascii="Calibri" w:hAnsi="Calibri" w:cstheme="minorHAnsi"/>
          <w:b/>
          <w:bCs/>
          <w:sz w:val="22"/>
          <w:szCs w:val="22"/>
        </w:rPr>
        <w:t xml:space="preserve"> </w:t>
      </w:r>
      <w:r w:rsidR="009366A8">
        <w:rPr>
          <w:rFonts w:ascii="Calibri" w:hAnsi="Calibri" w:cstheme="minorHAnsi"/>
          <w:b/>
          <w:bCs/>
          <w:sz w:val="22"/>
          <w:szCs w:val="22"/>
        </w:rPr>
        <w:t>May</w:t>
      </w:r>
      <w:r w:rsidR="00B16D16">
        <w:rPr>
          <w:rFonts w:ascii="Calibri" w:hAnsi="Calibri" w:cstheme="minorHAnsi"/>
          <w:b/>
          <w:bCs/>
          <w:sz w:val="22"/>
          <w:szCs w:val="22"/>
        </w:rPr>
        <w:t xml:space="preserve"> 20</w:t>
      </w:r>
      <w:r w:rsidR="00F40D63">
        <w:rPr>
          <w:rFonts w:ascii="Calibri" w:hAnsi="Calibri" w:cstheme="minorHAnsi"/>
          <w:b/>
          <w:bCs/>
          <w:sz w:val="22"/>
          <w:szCs w:val="22"/>
        </w:rPr>
        <w:t>1</w:t>
      </w:r>
      <w:r w:rsidR="00B16D16">
        <w:rPr>
          <w:rFonts w:ascii="Calibri" w:hAnsi="Calibri" w:cstheme="minorHAnsi"/>
          <w:b/>
          <w:bCs/>
          <w:sz w:val="22"/>
          <w:szCs w:val="22"/>
        </w:rPr>
        <w:t>5</w:t>
      </w:r>
    </w:p>
    <w:p w:rsidR="008D397D" w:rsidRPr="00B85339" w:rsidRDefault="008D397D" w:rsidP="00B85339">
      <w:pPr>
        <w:pStyle w:val="Body"/>
        <w:jc w:val="both"/>
        <w:rPr>
          <w:rFonts w:ascii="Calibri" w:hAnsi="Calibri"/>
        </w:rPr>
      </w:pPr>
    </w:p>
    <w:p w:rsidR="008D397D" w:rsidRPr="00B85339" w:rsidRDefault="008D397D" w:rsidP="00B85339">
      <w:pPr>
        <w:pStyle w:val="Body"/>
        <w:jc w:val="both"/>
        <w:rPr>
          <w:rFonts w:ascii="Calibri" w:hAnsi="Calibri"/>
        </w:rPr>
      </w:pPr>
    </w:p>
    <w:p w:rsidR="008D397D" w:rsidRPr="004C031A" w:rsidRDefault="009235E8" w:rsidP="00571DBD">
      <w:pPr>
        <w:pStyle w:val="Body"/>
        <w:jc w:val="center"/>
        <w:rPr>
          <w:rFonts w:ascii="Calibri" w:hAnsi="Calibri"/>
          <w:b/>
          <w:color w:val="000000" w:themeColor="text1"/>
          <w:sz w:val="40"/>
          <w:szCs w:val="40"/>
        </w:rPr>
      </w:pPr>
      <w:r>
        <w:rPr>
          <w:rFonts w:ascii="Calibri" w:hAnsi="Calibri"/>
          <w:b/>
          <w:color w:val="000000" w:themeColor="text1"/>
          <w:sz w:val="40"/>
          <w:szCs w:val="40"/>
        </w:rPr>
        <w:t>A</w:t>
      </w:r>
      <w:r w:rsidR="006F5144">
        <w:rPr>
          <w:rFonts w:ascii="Calibri" w:hAnsi="Calibri"/>
          <w:b/>
          <w:color w:val="000000" w:themeColor="text1"/>
          <w:sz w:val="40"/>
          <w:szCs w:val="40"/>
        </w:rPr>
        <w:t>pril a</w:t>
      </w:r>
      <w:r>
        <w:rPr>
          <w:rFonts w:ascii="Calibri" w:hAnsi="Calibri"/>
          <w:b/>
          <w:color w:val="000000" w:themeColor="text1"/>
          <w:sz w:val="40"/>
          <w:szCs w:val="40"/>
        </w:rPr>
        <w:t>sking prices jump $25,000 to new record high</w:t>
      </w:r>
      <w:r w:rsidR="007446A2" w:rsidRPr="004C031A">
        <w:rPr>
          <w:rFonts w:ascii="Calibri" w:hAnsi="Calibri"/>
          <w:b/>
          <w:color w:val="000000" w:themeColor="text1"/>
          <w:sz w:val="40"/>
          <w:szCs w:val="40"/>
        </w:rPr>
        <w:t xml:space="preserve"> </w:t>
      </w:r>
      <w:r w:rsidR="00F40D63" w:rsidRPr="004C031A">
        <w:rPr>
          <w:rFonts w:ascii="Calibri" w:hAnsi="Calibri"/>
          <w:b/>
          <w:color w:val="000000" w:themeColor="text1"/>
          <w:sz w:val="40"/>
          <w:szCs w:val="40"/>
        </w:rPr>
        <w:t xml:space="preserve"> </w:t>
      </w:r>
    </w:p>
    <w:p w:rsidR="003532F0" w:rsidRPr="00B85339" w:rsidRDefault="003532F0" w:rsidP="00B85339">
      <w:pPr>
        <w:pStyle w:val="Body"/>
        <w:jc w:val="both"/>
        <w:rPr>
          <w:rFonts w:ascii="Calibri" w:hAnsi="Calibri"/>
        </w:rPr>
      </w:pPr>
    </w:p>
    <w:p w:rsidR="00C30A12" w:rsidRDefault="00D262A4" w:rsidP="005D4B58">
      <w:pPr>
        <w:pStyle w:val="Body"/>
        <w:jc w:val="both"/>
        <w:rPr>
          <w:rFonts w:ascii="Calibri" w:hAnsi="Calibri"/>
        </w:rPr>
      </w:pPr>
      <w:r>
        <w:rPr>
          <w:rFonts w:ascii="Calibri" w:hAnsi="Calibri"/>
        </w:rPr>
        <w:t xml:space="preserve">The </w:t>
      </w:r>
      <w:r w:rsidR="006F5144">
        <w:rPr>
          <w:rFonts w:ascii="Calibri" w:hAnsi="Calibri"/>
        </w:rPr>
        <w:t xml:space="preserve">average </w:t>
      </w:r>
      <w:r>
        <w:rPr>
          <w:rFonts w:ascii="Calibri" w:hAnsi="Calibri"/>
        </w:rPr>
        <w:t xml:space="preserve">asking price for </w:t>
      </w:r>
      <w:r w:rsidR="006F5144">
        <w:rPr>
          <w:rFonts w:ascii="Calibri" w:hAnsi="Calibri"/>
        </w:rPr>
        <w:t xml:space="preserve">a </w:t>
      </w:r>
      <w:r w:rsidR="009235E8">
        <w:rPr>
          <w:rFonts w:ascii="Calibri" w:hAnsi="Calibri"/>
        </w:rPr>
        <w:t>home</w:t>
      </w:r>
      <w:r w:rsidR="006F5144">
        <w:rPr>
          <w:rFonts w:ascii="Calibri" w:hAnsi="Calibri"/>
        </w:rPr>
        <w:t xml:space="preserve"> in New Zealand soared to $539,750 in the three months to April,</w:t>
      </w:r>
      <w:r w:rsidR="00BE73DA">
        <w:rPr>
          <w:rFonts w:ascii="Calibri" w:hAnsi="Calibri"/>
        </w:rPr>
        <w:t xml:space="preserve"> more than </w:t>
      </w:r>
      <w:r w:rsidR="006F427E">
        <w:rPr>
          <w:rFonts w:ascii="Calibri" w:hAnsi="Calibri"/>
        </w:rPr>
        <w:t>$25,000</w:t>
      </w:r>
      <w:r w:rsidR="00BE73DA">
        <w:rPr>
          <w:rFonts w:ascii="Calibri" w:hAnsi="Calibri"/>
        </w:rPr>
        <w:t xml:space="preserve"> higher than a month ago and </w:t>
      </w:r>
      <w:r w:rsidR="009235E8">
        <w:rPr>
          <w:rFonts w:ascii="Calibri" w:hAnsi="Calibri"/>
        </w:rPr>
        <w:t xml:space="preserve">the highest </w:t>
      </w:r>
      <w:r w:rsidR="006F5144">
        <w:rPr>
          <w:rFonts w:ascii="Calibri" w:hAnsi="Calibri"/>
        </w:rPr>
        <w:t xml:space="preserve">month-on-month </w:t>
      </w:r>
      <w:r w:rsidR="009235E8">
        <w:rPr>
          <w:rFonts w:ascii="Calibri" w:hAnsi="Calibri"/>
        </w:rPr>
        <w:t xml:space="preserve">rise </w:t>
      </w:r>
      <w:r w:rsidR="006F5144">
        <w:rPr>
          <w:rFonts w:ascii="Calibri" w:hAnsi="Calibri"/>
        </w:rPr>
        <w:t xml:space="preserve">recorded </w:t>
      </w:r>
      <w:r w:rsidR="009235E8">
        <w:rPr>
          <w:rFonts w:ascii="Calibri" w:hAnsi="Calibri"/>
        </w:rPr>
        <w:t xml:space="preserve">in the past </w:t>
      </w:r>
      <w:r w:rsidR="006F5144">
        <w:rPr>
          <w:rFonts w:ascii="Calibri" w:hAnsi="Calibri"/>
        </w:rPr>
        <w:t>five</w:t>
      </w:r>
      <w:r w:rsidR="009235E8">
        <w:rPr>
          <w:rFonts w:ascii="Calibri" w:hAnsi="Calibri"/>
        </w:rPr>
        <w:t xml:space="preserve"> years</w:t>
      </w:r>
      <w:r w:rsidR="00BE73DA">
        <w:rPr>
          <w:rFonts w:ascii="Calibri" w:hAnsi="Calibri"/>
        </w:rPr>
        <w:t>.</w:t>
      </w:r>
      <w:r w:rsidR="00EF6C9A">
        <w:rPr>
          <w:rFonts w:ascii="Calibri" w:hAnsi="Calibri"/>
        </w:rPr>
        <w:t xml:space="preserve"> </w:t>
      </w:r>
    </w:p>
    <w:p w:rsidR="00C30A12" w:rsidRDefault="00C30A12" w:rsidP="005D4B58">
      <w:pPr>
        <w:pStyle w:val="Body"/>
        <w:jc w:val="both"/>
        <w:rPr>
          <w:rFonts w:ascii="Calibri" w:hAnsi="Calibri"/>
        </w:rPr>
      </w:pPr>
    </w:p>
    <w:p w:rsidR="00F7443D" w:rsidRDefault="00BE73DA" w:rsidP="005D4B58">
      <w:pPr>
        <w:pStyle w:val="Body"/>
        <w:jc w:val="both"/>
        <w:rPr>
          <w:rFonts w:ascii="Calibri" w:hAnsi="Calibri"/>
        </w:rPr>
      </w:pPr>
      <w:r>
        <w:rPr>
          <w:rFonts w:ascii="Calibri" w:hAnsi="Calibri"/>
        </w:rPr>
        <w:t>A</w:t>
      </w:r>
      <w:r w:rsidR="006F5144">
        <w:rPr>
          <w:rFonts w:ascii="Calibri" w:hAnsi="Calibri"/>
        </w:rPr>
        <w:t>verage</w:t>
      </w:r>
      <w:r w:rsidR="009235E8">
        <w:rPr>
          <w:rFonts w:ascii="Calibri" w:hAnsi="Calibri"/>
        </w:rPr>
        <w:t xml:space="preserve"> </w:t>
      </w:r>
      <w:r w:rsidR="00AA78F2">
        <w:rPr>
          <w:rFonts w:ascii="Calibri" w:hAnsi="Calibri"/>
        </w:rPr>
        <w:t xml:space="preserve">asking prices </w:t>
      </w:r>
      <w:r w:rsidR="00352C38">
        <w:rPr>
          <w:rFonts w:ascii="Calibri" w:hAnsi="Calibri"/>
        </w:rPr>
        <w:t>are now over 35 per cent higher than they were</w:t>
      </w:r>
      <w:r w:rsidR="006F5144">
        <w:rPr>
          <w:rFonts w:ascii="Calibri" w:hAnsi="Calibri"/>
        </w:rPr>
        <w:t xml:space="preserve"> in 2010</w:t>
      </w:r>
      <w:r>
        <w:rPr>
          <w:rFonts w:ascii="Calibri" w:hAnsi="Calibri"/>
        </w:rPr>
        <w:t>,</w:t>
      </w:r>
      <w:r w:rsidR="006F5144">
        <w:rPr>
          <w:rFonts w:ascii="Calibri" w:hAnsi="Calibri"/>
        </w:rPr>
        <w:t xml:space="preserve"> </w:t>
      </w:r>
      <w:r w:rsidR="00515861">
        <w:rPr>
          <w:rFonts w:ascii="Calibri" w:hAnsi="Calibri"/>
        </w:rPr>
        <w:t xml:space="preserve">according to </w:t>
      </w:r>
      <w:r w:rsidR="00EF6C9A">
        <w:rPr>
          <w:rFonts w:ascii="Calibri" w:hAnsi="Calibri"/>
        </w:rPr>
        <w:t xml:space="preserve">the Trade Me </w:t>
      </w:r>
      <w:r w:rsidR="00EF6C9A" w:rsidRPr="005C469E">
        <w:rPr>
          <w:rFonts w:ascii="Calibri" w:hAnsi="Calibri"/>
        </w:rPr>
        <w:t>Property Price Index</w:t>
      </w:r>
      <w:r w:rsidR="00EF6C9A">
        <w:rPr>
          <w:rFonts w:ascii="Calibri" w:hAnsi="Calibri"/>
        </w:rPr>
        <w:t>’s</w:t>
      </w:r>
      <w:r w:rsidR="00515861">
        <w:rPr>
          <w:rFonts w:ascii="Calibri" w:hAnsi="Calibri"/>
        </w:rPr>
        <w:t xml:space="preserve"> analysis of </w:t>
      </w:r>
      <w:r w:rsidR="001318B0">
        <w:rPr>
          <w:rFonts w:ascii="Calibri" w:hAnsi="Calibri"/>
        </w:rPr>
        <w:t xml:space="preserve">new listings </w:t>
      </w:r>
      <w:r>
        <w:rPr>
          <w:rFonts w:ascii="Calibri" w:hAnsi="Calibri"/>
        </w:rPr>
        <w:t xml:space="preserve">over </w:t>
      </w:r>
      <w:r w:rsidR="00515861">
        <w:rPr>
          <w:rFonts w:ascii="Calibri" w:hAnsi="Calibri"/>
        </w:rPr>
        <w:t xml:space="preserve">the </w:t>
      </w:r>
      <w:r w:rsidR="001318B0">
        <w:rPr>
          <w:rFonts w:ascii="Calibri" w:hAnsi="Calibri"/>
        </w:rPr>
        <w:t xml:space="preserve">past </w:t>
      </w:r>
      <w:r w:rsidR="00515861">
        <w:rPr>
          <w:rFonts w:ascii="Calibri" w:hAnsi="Calibri"/>
        </w:rPr>
        <w:t xml:space="preserve">three months. </w:t>
      </w:r>
    </w:p>
    <w:p w:rsidR="00F7443D" w:rsidRDefault="00F7443D" w:rsidP="00DC5346">
      <w:pPr>
        <w:pStyle w:val="Body"/>
        <w:jc w:val="both"/>
        <w:rPr>
          <w:rFonts w:ascii="Calibri" w:hAnsi="Calibri"/>
        </w:rPr>
      </w:pPr>
    </w:p>
    <w:p w:rsidR="00BE73DA" w:rsidRDefault="00AA78F2" w:rsidP="00B85339">
      <w:pPr>
        <w:pStyle w:val="Body"/>
        <w:jc w:val="both"/>
        <w:rPr>
          <w:rFonts w:ascii="Calibri" w:hAnsi="Calibri"/>
        </w:rPr>
      </w:pPr>
      <w:r>
        <w:rPr>
          <w:rFonts w:ascii="Calibri" w:hAnsi="Calibri"/>
        </w:rPr>
        <w:t xml:space="preserve">Auckland continues to be the powerhouse of the property market with </w:t>
      </w:r>
      <w:r w:rsidR="006F5144">
        <w:rPr>
          <w:rFonts w:ascii="Calibri" w:hAnsi="Calibri"/>
        </w:rPr>
        <w:t xml:space="preserve">a </w:t>
      </w:r>
      <w:r>
        <w:rPr>
          <w:rFonts w:ascii="Calibri" w:hAnsi="Calibri"/>
        </w:rPr>
        <w:t xml:space="preserve">16 per cent </w:t>
      </w:r>
      <w:r w:rsidR="00060E74">
        <w:rPr>
          <w:rFonts w:ascii="Calibri" w:hAnsi="Calibri"/>
        </w:rPr>
        <w:t xml:space="preserve">annual </w:t>
      </w:r>
      <w:r>
        <w:rPr>
          <w:rFonts w:ascii="Calibri" w:hAnsi="Calibri"/>
        </w:rPr>
        <w:t xml:space="preserve">rise in </w:t>
      </w:r>
      <w:r w:rsidR="006F5144">
        <w:rPr>
          <w:rFonts w:ascii="Calibri" w:hAnsi="Calibri"/>
        </w:rPr>
        <w:t xml:space="preserve">average </w:t>
      </w:r>
      <w:r>
        <w:rPr>
          <w:rFonts w:ascii="Calibri" w:hAnsi="Calibri"/>
        </w:rPr>
        <w:t>asking price</w:t>
      </w:r>
      <w:r w:rsidR="006F5144">
        <w:rPr>
          <w:rFonts w:ascii="Calibri" w:hAnsi="Calibri"/>
        </w:rPr>
        <w:t>s</w:t>
      </w:r>
      <w:r w:rsidR="00BE73DA">
        <w:rPr>
          <w:rFonts w:ascii="Calibri" w:hAnsi="Calibri"/>
        </w:rPr>
        <w:t>,</w:t>
      </w:r>
      <w:r w:rsidR="006F5144">
        <w:rPr>
          <w:rFonts w:ascii="Calibri" w:hAnsi="Calibri"/>
        </w:rPr>
        <w:t xml:space="preserve"> </w:t>
      </w:r>
      <w:r w:rsidR="00BE73DA">
        <w:rPr>
          <w:rFonts w:ascii="Calibri" w:hAnsi="Calibri"/>
        </w:rPr>
        <w:t xml:space="preserve">up to </w:t>
      </w:r>
      <w:r w:rsidR="006F5144">
        <w:rPr>
          <w:rFonts w:ascii="Calibri" w:hAnsi="Calibri"/>
        </w:rPr>
        <w:t xml:space="preserve">yet another all-time </w:t>
      </w:r>
      <w:r>
        <w:rPr>
          <w:rFonts w:ascii="Calibri" w:hAnsi="Calibri"/>
        </w:rPr>
        <w:t>high of $740,600</w:t>
      </w:r>
      <w:r w:rsidR="00BE73DA">
        <w:rPr>
          <w:rFonts w:ascii="Calibri" w:hAnsi="Calibri"/>
        </w:rPr>
        <w:t xml:space="preserve">. </w:t>
      </w:r>
      <w:r w:rsidR="00060E74">
        <w:rPr>
          <w:rFonts w:ascii="Calibri" w:hAnsi="Calibri"/>
        </w:rPr>
        <w:t xml:space="preserve"> </w:t>
      </w:r>
    </w:p>
    <w:p w:rsidR="00BE73DA" w:rsidRDefault="00BE73DA" w:rsidP="00B85339">
      <w:pPr>
        <w:pStyle w:val="Body"/>
        <w:jc w:val="both"/>
        <w:rPr>
          <w:rFonts w:ascii="Calibri" w:hAnsi="Calibri"/>
        </w:rPr>
      </w:pPr>
    </w:p>
    <w:p w:rsidR="00C30A12" w:rsidRDefault="008D397D" w:rsidP="00C30A12">
      <w:pPr>
        <w:pStyle w:val="Body"/>
        <w:jc w:val="both"/>
        <w:rPr>
          <w:rFonts w:ascii="Calibri" w:hAnsi="Calibri"/>
        </w:rPr>
      </w:pPr>
      <w:r w:rsidRPr="00F20DF9">
        <w:rPr>
          <w:rFonts w:ascii="Calibri" w:hAnsi="Calibri"/>
        </w:rPr>
        <w:t>Head of Trade Me Property Nigel Jeffries said</w:t>
      </w:r>
      <w:r w:rsidR="00BE73DA">
        <w:rPr>
          <w:rFonts w:ascii="Calibri" w:hAnsi="Calibri"/>
        </w:rPr>
        <w:t xml:space="preserve"> it wasn’t all about Auckland though</w:t>
      </w:r>
      <w:r w:rsidR="00C30A12">
        <w:rPr>
          <w:rFonts w:ascii="Calibri" w:hAnsi="Calibri"/>
        </w:rPr>
        <w:t>, with</w:t>
      </w:r>
      <w:r w:rsidRPr="00F20DF9">
        <w:rPr>
          <w:rFonts w:ascii="Calibri" w:hAnsi="Calibri"/>
        </w:rPr>
        <w:t xml:space="preserve"> </w:t>
      </w:r>
      <w:r w:rsidR="00C30A12">
        <w:rPr>
          <w:rFonts w:ascii="Calibri" w:hAnsi="Calibri"/>
        </w:rPr>
        <w:t xml:space="preserve">all three major metropolitan regions posted new record highs in asking price: with Wellington (+4.3% to $458,750) and Canterbury (+11.3 per cent to $468,000) joining Auckland. </w:t>
      </w:r>
    </w:p>
    <w:p w:rsidR="00C30A12" w:rsidRDefault="00C30A12" w:rsidP="00B85339">
      <w:pPr>
        <w:pStyle w:val="Body"/>
        <w:jc w:val="both"/>
        <w:rPr>
          <w:rFonts w:ascii="Calibri" w:hAnsi="Calibri"/>
        </w:rPr>
      </w:pPr>
    </w:p>
    <w:p w:rsidR="00F40D63" w:rsidRDefault="00F7443D" w:rsidP="00B85339">
      <w:pPr>
        <w:pStyle w:val="Body"/>
        <w:jc w:val="both"/>
        <w:rPr>
          <w:rFonts w:ascii="Calibri" w:hAnsi="Calibri"/>
        </w:rPr>
      </w:pPr>
      <w:r>
        <w:rPr>
          <w:rFonts w:ascii="Calibri" w:hAnsi="Calibri"/>
        </w:rPr>
        <w:t>“</w:t>
      </w:r>
      <w:r w:rsidR="00BE73DA">
        <w:rPr>
          <w:rFonts w:ascii="Calibri" w:hAnsi="Calibri"/>
        </w:rPr>
        <w:t>R</w:t>
      </w:r>
      <w:r w:rsidR="00AA78F2">
        <w:rPr>
          <w:rFonts w:ascii="Calibri" w:hAnsi="Calibri"/>
        </w:rPr>
        <w:t xml:space="preserve">egions outside </w:t>
      </w:r>
      <w:r w:rsidR="00BE73DA">
        <w:rPr>
          <w:rFonts w:ascii="Calibri" w:hAnsi="Calibri"/>
        </w:rPr>
        <w:t xml:space="preserve">the </w:t>
      </w:r>
      <w:r w:rsidR="00C30A12">
        <w:rPr>
          <w:rFonts w:ascii="Calibri" w:hAnsi="Calibri"/>
        </w:rPr>
        <w:t xml:space="preserve">largest regions </w:t>
      </w:r>
      <w:r w:rsidR="00BE73DA">
        <w:rPr>
          <w:rFonts w:ascii="Calibri" w:hAnsi="Calibri"/>
        </w:rPr>
        <w:t xml:space="preserve">are </w:t>
      </w:r>
      <w:r w:rsidR="00C30A12">
        <w:rPr>
          <w:rFonts w:ascii="Calibri" w:hAnsi="Calibri"/>
        </w:rPr>
        <w:t xml:space="preserve">also </w:t>
      </w:r>
      <w:r w:rsidR="00AA78F2">
        <w:rPr>
          <w:rFonts w:ascii="Calibri" w:hAnsi="Calibri"/>
        </w:rPr>
        <w:t>picking up steam</w:t>
      </w:r>
      <w:r w:rsidR="00BE73DA">
        <w:rPr>
          <w:rFonts w:ascii="Calibri" w:hAnsi="Calibri"/>
        </w:rPr>
        <w:t xml:space="preserve"> with </w:t>
      </w:r>
      <w:r w:rsidR="00AA78F2">
        <w:rPr>
          <w:rFonts w:ascii="Calibri" w:hAnsi="Calibri"/>
        </w:rPr>
        <w:t>Taranaki, Bay of Plenty, Hawke</w:t>
      </w:r>
      <w:r w:rsidR="00BE73DA">
        <w:rPr>
          <w:rFonts w:ascii="Calibri" w:hAnsi="Calibri"/>
        </w:rPr>
        <w:t>’</w:t>
      </w:r>
      <w:r w:rsidR="00AA78F2">
        <w:rPr>
          <w:rFonts w:ascii="Calibri" w:hAnsi="Calibri"/>
        </w:rPr>
        <w:t xml:space="preserve">s Bay, Northland and Canterbury </w:t>
      </w:r>
      <w:r w:rsidR="00EF6C9A">
        <w:rPr>
          <w:rFonts w:ascii="Calibri" w:hAnsi="Calibri"/>
        </w:rPr>
        <w:t xml:space="preserve">each delivering </w:t>
      </w:r>
      <w:r w:rsidR="00AA78F2">
        <w:rPr>
          <w:rFonts w:ascii="Calibri" w:hAnsi="Calibri"/>
        </w:rPr>
        <w:t>asking price</w:t>
      </w:r>
      <w:r w:rsidR="00EF6C9A">
        <w:rPr>
          <w:rFonts w:ascii="Calibri" w:hAnsi="Calibri"/>
        </w:rPr>
        <w:t xml:space="preserve"> growth</w:t>
      </w:r>
      <w:r w:rsidR="00AA78F2">
        <w:rPr>
          <w:rFonts w:ascii="Calibri" w:hAnsi="Calibri"/>
        </w:rPr>
        <w:t xml:space="preserve"> </w:t>
      </w:r>
      <w:r w:rsidR="00EF6C9A">
        <w:rPr>
          <w:rFonts w:ascii="Calibri" w:hAnsi="Calibri"/>
        </w:rPr>
        <w:t xml:space="preserve">in excess of </w:t>
      </w:r>
      <w:r w:rsidR="00AA78F2">
        <w:rPr>
          <w:rFonts w:ascii="Calibri" w:hAnsi="Calibri"/>
        </w:rPr>
        <w:t xml:space="preserve">$30,000 </w:t>
      </w:r>
      <w:r w:rsidR="00EF6C9A">
        <w:rPr>
          <w:rFonts w:ascii="Calibri" w:hAnsi="Calibri"/>
        </w:rPr>
        <w:t>year-on-year</w:t>
      </w:r>
      <w:r w:rsidR="00C30A12">
        <w:rPr>
          <w:rFonts w:ascii="Calibri" w:hAnsi="Calibri"/>
        </w:rPr>
        <w:t>,</w:t>
      </w:r>
      <w:r w:rsidR="00AA78F2">
        <w:rPr>
          <w:rFonts w:ascii="Calibri" w:hAnsi="Calibri"/>
        </w:rPr>
        <w:t>”</w:t>
      </w:r>
      <w:r w:rsidR="00C30A12">
        <w:rPr>
          <w:rFonts w:ascii="Calibri" w:hAnsi="Calibri"/>
        </w:rPr>
        <w:t xml:space="preserve"> he said.</w:t>
      </w:r>
    </w:p>
    <w:p w:rsidR="00C30A12" w:rsidRDefault="00C30A12" w:rsidP="00B85339">
      <w:pPr>
        <w:pStyle w:val="Body"/>
        <w:jc w:val="both"/>
        <w:rPr>
          <w:rFonts w:ascii="Calibri" w:hAnsi="Calibri"/>
        </w:rPr>
      </w:pPr>
    </w:p>
    <w:p w:rsidR="00C30A12" w:rsidRDefault="00C30A12" w:rsidP="00C30A12">
      <w:pPr>
        <w:pStyle w:val="Body"/>
        <w:jc w:val="both"/>
        <w:rPr>
          <w:rFonts w:ascii="Calibri" w:hAnsi="Calibri"/>
        </w:rPr>
      </w:pPr>
      <w:r>
        <w:rPr>
          <w:rFonts w:ascii="Calibri" w:hAnsi="Calibri"/>
        </w:rPr>
        <w:t>The largest rise across the regions was in Taranaki, up 25 per cent ($74,850) in the past 12 months to $380,550 in April. In Hawke’s Bay, asking prices were up by 9 per cent ($34,100) over the past year to $398,050 in April.</w:t>
      </w:r>
    </w:p>
    <w:p w:rsidR="00C30A12" w:rsidRDefault="00C30A12" w:rsidP="00B85339">
      <w:pPr>
        <w:pStyle w:val="Body"/>
        <w:jc w:val="both"/>
        <w:rPr>
          <w:rFonts w:ascii="Calibri" w:hAnsi="Calibri"/>
        </w:rPr>
      </w:pPr>
    </w:p>
    <w:p w:rsidR="00C30A12" w:rsidRDefault="00C30A12" w:rsidP="00C30A12">
      <w:pPr>
        <w:pStyle w:val="Body"/>
        <w:jc w:val="both"/>
        <w:rPr>
          <w:rFonts w:ascii="Calibri" w:hAnsi="Calibri"/>
        </w:rPr>
      </w:pPr>
      <w:proofErr w:type="spellStart"/>
      <w:r>
        <w:rPr>
          <w:rFonts w:ascii="Calibri" w:hAnsi="Calibri"/>
        </w:rPr>
        <w:t>Mr</w:t>
      </w:r>
      <w:proofErr w:type="spellEnd"/>
      <w:r>
        <w:rPr>
          <w:rFonts w:ascii="Calibri" w:hAnsi="Calibri"/>
        </w:rPr>
        <w:t xml:space="preserve"> Jeffries said there appeared to be an “ever-growing confidence” in vendors’ expectation of price appreciation, with 12 regions showing growth of over 5 per cent in the past year, and only Otago in decline. </w:t>
      </w:r>
    </w:p>
    <w:p w:rsidR="00C30A12" w:rsidRDefault="00C30A12" w:rsidP="00C30A12">
      <w:pPr>
        <w:pStyle w:val="Body"/>
        <w:jc w:val="both"/>
        <w:rPr>
          <w:rFonts w:ascii="Calibri" w:hAnsi="Calibri"/>
        </w:rPr>
      </w:pPr>
    </w:p>
    <w:p w:rsidR="00C30A12" w:rsidRDefault="00C30A12" w:rsidP="00C30A12">
      <w:pPr>
        <w:pStyle w:val="Body"/>
        <w:jc w:val="both"/>
        <w:rPr>
          <w:rFonts w:ascii="Calibri" w:hAnsi="Calibri"/>
        </w:rPr>
      </w:pPr>
      <w:r>
        <w:rPr>
          <w:rFonts w:ascii="Calibri" w:hAnsi="Calibri"/>
        </w:rPr>
        <w:t xml:space="preserve">Otago continues to be the weakest across the country, down 2.6 per cent over the past year, its third consecutive dip. In the past 12 months the average asking price in the region has fallen by $10,750 from $411,300 to $400,550. </w:t>
      </w:r>
    </w:p>
    <w:p w:rsidR="00C30A12" w:rsidRDefault="00C30A12" w:rsidP="00C30A12">
      <w:pPr>
        <w:pStyle w:val="Body"/>
        <w:jc w:val="both"/>
        <w:rPr>
          <w:rFonts w:ascii="Calibri" w:hAnsi="Calibri"/>
        </w:rPr>
      </w:pPr>
    </w:p>
    <w:p w:rsidR="00DF4A1D" w:rsidRDefault="00DF4A1D" w:rsidP="00D816BB">
      <w:pPr>
        <w:pStyle w:val="Body"/>
        <w:jc w:val="both"/>
        <w:rPr>
          <w:rFonts w:ascii="Calibri" w:hAnsi="Calibri"/>
        </w:rPr>
      </w:pPr>
    </w:p>
    <w:p w:rsidR="00F40D63" w:rsidRDefault="00F40D63" w:rsidP="00B85339">
      <w:pPr>
        <w:pStyle w:val="Body"/>
        <w:jc w:val="both"/>
        <w:rPr>
          <w:rFonts w:ascii="Calibri" w:hAnsi="Calibri"/>
        </w:rPr>
      </w:pPr>
    </w:p>
    <w:p w:rsidR="00654FDF" w:rsidRPr="00060E74" w:rsidRDefault="000C46B4" w:rsidP="00060E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Helvetica" w:hAnsi="Helvetica" w:cs="Helvetica"/>
        </w:rPr>
      </w:pPr>
      <w:r>
        <w:rPr>
          <w:rFonts w:ascii="Helvetica" w:hAnsi="Helvetica" w:cs="Helvetica"/>
          <w:noProof/>
          <w:lang w:val="en-NZ" w:eastAsia="en-NZ"/>
        </w:rPr>
        <w:drawing>
          <wp:inline distT="0" distB="0" distL="0" distR="0" wp14:anchorId="1810328E" wp14:editId="40703C11">
            <wp:extent cx="6120130" cy="30664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nthly variance.png"/>
                    <pic:cNvPicPr/>
                  </pic:nvPicPr>
                  <pic:blipFill>
                    <a:blip r:embed="rId9">
                      <a:extLst>
                        <a:ext uri="{28A0092B-C50C-407E-A947-70E740481C1C}">
                          <a14:useLocalDpi xmlns:a14="http://schemas.microsoft.com/office/drawing/2010/main" val="0"/>
                        </a:ext>
                      </a:extLst>
                    </a:blip>
                    <a:stretch>
                      <a:fillRect/>
                    </a:stretch>
                  </pic:blipFill>
                  <pic:spPr>
                    <a:xfrm>
                      <a:off x="0" y="0"/>
                      <a:ext cx="6120130" cy="3066415"/>
                    </a:xfrm>
                    <a:prstGeom prst="rect">
                      <a:avLst/>
                    </a:prstGeom>
                  </pic:spPr>
                </pic:pic>
              </a:graphicData>
            </a:graphic>
          </wp:inline>
        </w:drawing>
      </w:r>
      <w:r w:rsidR="00F41392">
        <w:rPr>
          <w:rFonts w:ascii="Helvetica" w:hAnsi="Helvetica" w:cs="Helvetica"/>
          <w:noProof/>
          <w:lang w:val="en-NZ" w:eastAsia="en-NZ"/>
        </w:rPr>
        <w:t xml:space="preserve"> </w:t>
      </w:r>
    </w:p>
    <w:p w:rsidR="00654FDF" w:rsidRDefault="00654FDF" w:rsidP="00B85339">
      <w:pPr>
        <w:pStyle w:val="Body"/>
        <w:jc w:val="both"/>
        <w:rPr>
          <w:rFonts w:ascii="Calibri" w:hAnsi="Calibri"/>
          <w:b/>
        </w:rPr>
      </w:pPr>
    </w:p>
    <w:p w:rsidR="00654FDF" w:rsidRDefault="00654FDF" w:rsidP="00B85339">
      <w:pPr>
        <w:pStyle w:val="Body"/>
        <w:jc w:val="both"/>
        <w:rPr>
          <w:rFonts w:ascii="Calibri" w:hAnsi="Calibri"/>
          <w:b/>
        </w:rPr>
      </w:pPr>
    </w:p>
    <w:p w:rsidR="00654FDF" w:rsidRDefault="00654FDF" w:rsidP="00B85339">
      <w:pPr>
        <w:pStyle w:val="Body"/>
        <w:jc w:val="both"/>
        <w:rPr>
          <w:rFonts w:ascii="Calibri" w:hAnsi="Calibri"/>
          <w:b/>
        </w:rPr>
      </w:pPr>
    </w:p>
    <w:p w:rsidR="00EF3D7F" w:rsidRDefault="000C46B4" w:rsidP="00EF3D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Helvetica" w:hAnsi="Helvetica" w:cs="Helvetica"/>
        </w:rPr>
      </w:pPr>
      <w:r>
        <w:rPr>
          <w:rFonts w:ascii="Helvetica" w:hAnsi="Helvetica" w:cs="Helvetica"/>
          <w:noProof/>
          <w:lang w:val="en-NZ" w:eastAsia="en-NZ"/>
        </w:rPr>
        <w:drawing>
          <wp:inline distT="0" distB="0" distL="0" distR="0" wp14:anchorId="2CBD20C8" wp14:editId="6E9F72DE">
            <wp:extent cx="6120130" cy="5638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gions.png"/>
                    <pic:cNvPicPr/>
                  </pic:nvPicPr>
                  <pic:blipFill>
                    <a:blip r:embed="rId10">
                      <a:extLst>
                        <a:ext uri="{28A0092B-C50C-407E-A947-70E740481C1C}">
                          <a14:useLocalDpi xmlns:a14="http://schemas.microsoft.com/office/drawing/2010/main" val="0"/>
                        </a:ext>
                      </a:extLst>
                    </a:blip>
                    <a:stretch>
                      <a:fillRect/>
                    </a:stretch>
                  </pic:blipFill>
                  <pic:spPr>
                    <a:xfrm>
                      <a:off x="0" y="0"/>
                      <a:ext cx="6120130" cy="5638800"/>
                    </a:xfrm>
                    <a:prstGeom prst="rect">
                      <a:avLst/>
                    </a:prstGeom>
                  </pic:spPr>
                </pic:pic>
              </a:graphicData>
            </a:graphic>
          </wp:inline>
        </w:drawing>
      </w:r>
    </w:p>
    <w:p w:rsidR="003532F0" w:rsidRDefault="003532F0" w:rsidP="00B85339">
      <w:pPr>
        <w:pStyle w:val="Body"/>
        <w:jc w:val="both"/>
        <w:rPr>
          <w:rFonts w:ascii="Calibri" w:hAnsi="Calibri"/>
        </w:rPr>
      </w:pPr>
    </w:p>
    <w:p w:rsidR="00F40D63" w:rsidRDefault="00F40D63" w:rsidP="00B85339">
      <w:pPr>
        <w:pStyle w:val="Body"/>
        <w:jc w:val="both"/>
        <w:rPr>
          <w:rFonts w:ascii="Calibri" w:hAnsi="Calibri"/>
        </w:rPr>
      </w:pPr>
    </w:p>
    <w:p w:rsidR="003532F0" w:rsidRPr="00B85339" w:rsidRDefault="00C94364" w:rsidP="00B85339">
      <w:pPr>
        <w:pStyle w:val="Body"/>
        <w:jc w:val="both"/>
        <w:rPr>
          <w:rFonts w:ascii="Calibri" w:hAnsi="Calibri"/>
          <w:b/>
        </w:rPr>
      </w:pPr>
      <w:r>
        <w:rPr>
          <w:rFonts w:ascii="Calibri" w:hAnsi="Calibri"/>
          <w:b/>
        </w:rPr>
        <w:t>P</w:t>
      </w:r>
      <w:r w:rsidR="00440888">
        <w:rPr>
          <w:rFonts w:ascii="Calibri" w:hAnsi="Calibri"/>
          <w:b/>
        </w:rPr>
        <w:t>rice expectation</w:t>
      </w:r>
      <w:r w:rsidR="00F41392">
        <w:rPr>
          <w:rFonts w:ascii="Calibri" w:hAnsi="Calibri"/>
          <w:b/>
        </w:rPr>
        <w:t xml:space="preserve"> </w:t>
      </w:r>
      <w:r w:rsidR="00C30A12">
        <w:rPr>
          <w:rFonts w:ascii="Calibri" w:hAnsi="Calibri"/>
          <w:b/>
        </w:rPr>
        <w:t>for</w:t>
      </w:r>
      <w:r>
        <w:rPr>
          <w:rFonts w:ascii="Calibri" w:hAnsi="Calibri"/>
          <w:b/>
        </w:rPr>
        <w:t xml:space="preserve"> </w:t>
      </w:r>
      <w:r w:rsidR="007F5FC1">
        <w:rPr>
          <w:rFonts w:ascii="Calibri" w:hAnsi="Calibri"/>
          <w:b/>
        </w:rPr>
        <w:t xml:space="preserve">larger houses takes off </w:t>
      </w:r>
    </w:p>
    <w:p w:rsidR="003532F0" w:rsidRPr="00B85339" w:rsidRDefault="003532F0" w:rsidP="00B85339">
      <w:pPr>
        <w:pStyle w:val="Body"/>
        <w:jc w:val="both"/>
        <w:rPr>
          <w:rFonts w:ascii="Calibri" w:hAnsi="Calibri"/>
        </w:rPr>
      </w:pPr>
    </w:p>
    <w:p w:rsidR="00902FEC" w:rsidRDefault="00902FEC" w:rsidP="00902FEC">
      <w:pPr>
        <w:pStyle w:val="Body"/>
        <w:jc w:val="both"/>
        <w:rPr>
          <w:rFonts w:ascii="Calibri" w:hAnsi="Calibri"/>
        </w:rPr>
      </w:pPr>
      <w:r>
        <w:rPr>
          <w:rFonts w:ascii="Calibri" w:hAnsi="Calibri"/>
        </w:rPr>
        <w:t>Medium-sized houses constitute the majority of homes on the market and drive overall market activity. In April, the average asking price for 3-4 bedroom homes again reached a new record high – $545,050, up 9.9 per cent compared to a year ago.</w:t>
      </w:r>
    </w:p>
    <w:p w:rsidR="00902FEC" w:rsidRDefault="00902FEC" w:rsidP="006B3C60">
      <w:pPr>
        <w:pStyle w:val="Body"/>
        <w:jc w:val="both"/>
        <w:rPr>
          <w:rFonts w:ascii="Calibri" w:hAnsi="Calibri"/>
        </w:rPr>
      </w:pPr>
    </w:p>
    <w:p w:rsidR="00A50A62" w:rsidRDefault="00C30A12" w:rsidP="006B3C60">
      <w:pPr>
        <w:pStyle w:val="Body"/>
        <w:jc w:val="both"/>
        <w:rPr>
          <w:rFonts w:ascii="Calibri" w:hAnsi="Calibri"/>
        </w:rPr>
      </w:pPr>
      <w:r>
        <w:rPr>
          <w:rFonts w:ascii="Calibri" w:hAnsi="Calibri"/>
        </w:rPr>
        <w:t>Asking price expectations for l</w:t>
      </w:r>
      <w:r w:rsidR="007F5FC1">
        <w:rPr>
          <w:rFonts w:ascii="Calibri" w:hAnsi="Calibri"/>
        </w:rPr>
        <w:t>arge</w:t>
      </w:r>
      <w:r>
        <w:rPr>
          <w:rFonts w:ascii="Calibri" w:hAnsi="Calibri"/>
        </w:rPr>
        <w:t>r</w:t>
      </w:r>
      <w:r w:rsidR="007F5FC1">
        <w:rPr>
          <w:rFonts w:ascii="Calibri" w:hAnsi="Calibri"/>
        </w:rPr>
        <w:t xml:space="preserve"> </w:t>
      </w:r>
      <w:r>
        <w:rPr>
          <w:rFonts w:ascii="Calibri" w:hAnsi="Calibri"/>
        </w:rPr>
        <w:t xml:space="preserve">homes </w:t>
      </w:r>
      <w:r w:rsidR="00902FEC">
        <w:rPr>
          <w:rFonts w:ascii="Calibri" w:hAnsi="Calibri"/>
        </w:rPr>
        <w:t xml:space="preserve">which comprise </w:t>
      </w:r>
      <w:r w:rsidR="00A50A62">
        <w:rPr>
          <w:rFonts w:ascii="Calibri" w:hAnsi="Calibri"/>
        </w:rPr>
        <w:t xml:space="preserve">around 10% of all listings in the past three months have </w:t>
      </w:r>
      <w:r>
        <w:rPr>
          <w:rFonts w:ascii="Calibri" w:hAnsi="Calibri"/>
        </w:rPr>
        <w:t>ramped up</w:t>
      </w:r>
      <w:r w:rsidR="00902FEC">
        <w:rPr>
          <w:rFonts w:ascii="Calibri" w:hAnsi="Calibri"/>
        </w:rPr>
        <w:t xml:space="preserve"> too</w:t>
      </w:r>
      <w:r w:rsidR="00A50A62">
        <w:rPr>
          <w:rFonts w:ascii="Calibri" w:hAnsi="Calibri"/>
        </w:rPr>
        <w:t xml:space="preserve">. </w:t>
      </w:r>
      <w:r w:rsidR="007F5FC1">
        <w:rPr>
          <w:rFonts w:ascii="Calibri" w:hAnsi="Calibri"/>
        </w:rPr>
        <w:t>Across the country</w:t>
      </w:r>
      <w:r w:rsidR="00A50A62">
        <w:rPr>
          <w:rFonts w:ascii="Calibri" w:hAnsi="Calibri"/>
        </w:rPr>
        <w:t xml:space="preserve">, the average asking price for one of these homes is now up more than </w:t>
      </w:r>
      <w:r w:rsidR="007F5FC1">
        <w:rPr>
          <w:rFonts w:ascii="Calibri" w:hAnsi="Calibri"/>
        </w:rPr>
        <w:t>13</w:t>
      </w:r>
      <w:r w:rsidR="00A50A62">
        <w:rPr>
          <w:rFonts w:ascii="Calibri" w:hAnsi="Calibri"/>
        </w:rPr>
        <w:t xml:space="preserve"> p</w:t>
      </w:r>
      <w:r w:rsidR="007F5FC1">
        <w:rPr>
          <w:rFonts w:ascii="Calibri" w:hAnsi="Calibri"/>
        </w:rPr>
        <w:t xml:space="preserve">er cent since April </w:t>
      </w:r>
      <w:r w:rsidR="00A50A62">
        <w:rPr>
          <w:rFonts w:ascii="Calibri" w:hAnsi="Calibri"/>
        </w:rPr>
        <w:t xml:space="preserve">2014 or </w:t>
      </w:r>
      <w:r w:rsidR="00060E74">
        <w:rPr>
          <w:rFonts w:ascii="Calibri" w:hAnsi="Calibri"/>
        </w:rPr>
        <w:t xml:space="preserve">$112,650. </w:t>
      </w:r>
    </w:p>
    <w:p w:rsidR="00A50A62" w:rsidRDefault="00A50A62" w:rsidP="006B3C60">
      <w:pPr>
        <w:pStyle w:val="Body"/>
        <w:jc w:val="both"/>
        <w:rPr>
          <w:rFonts w:ascii="Calibri" w:hAnsi="Calibri"/>
        </w:rPr>
      </w:pPr>
    </w:p>
    <w:p w:rsidR="006B3C60" w:rsidRDefault="00060E74" w:rsidP="006B3C60">
      <w:pPr>
        <w:pStyle w:val="Body"/>
        <w:jc w:val="both"/>
        <w:rPr>
          <w:rFonts w:ascii="Calibri" w:hAnsi="Calibri"/>
        </w:rPr>
      </w:pPr>
      <w:r>
        <w:rPr>
          <w:rFonts w:ascii="Calibri" w:hAnsi="Calibri"/>
        </w:rPr>
        <w:t>In</w:t>
      </w:r>
      <w:r w:rsidR="007F5FC1">
        <w:rPr>
          <w:rFonts w:ascii="Calibri" w:hAnsi="Calibri"/>
        </w:rPr>
        <w:t xml:space="preserve"> Auckland</w:t>
      </w:r>
      <w:r w:rsidR="00A50A62">
        <w:rPr>
          <w:rFonts w:ascii="Calibri" w:hAnsi="Calibri"/>
        </w:rPr>
        <w:t>,</w:t>
      </w:r>
      <w:r w:rsidR="007F5FC1">
        <w:rPr>
          <w:rFonts w:ascii="Calibri" w:hAnsi="Calibri"/>
        </w:rPr>
        <w:t xml:space="preserve"> the asking price for 5+ bedroom homes has risen by $189,150 in the past year</w:t>
      </w:r>
      <w:r>
        <w:rPr>
          <w:rFonts w:ascii="Calibri" w:hAnsi="Calibri"/>
        </w:rPr>
        <w:t>,</w:t>
      </w:r>
      <w:r w:rsidR="007F5FC1">
        <w:rPr>
          <w:rFonts w:ascii="Calibri" w:hAnsi="Calibri"/>
        </w:rPr>
        <w:t xml:space="preserve"> up 19.1 per cent</w:t>
      </w:r>
      <w:r w:rsidR="00A50A62">
        <w:rPr>
          <w:rFonts w:ascii="Calibri" w:hAnsi="Calibri"/>
        </w:rPr>
        <w:t xml:space="preserve"> from </w:t>
      </w:r>
      <w:r w:rsidR="007F5FC1">
        <w:rPr>
          <w:rFonts w:ascii="Calibri" w:hAnsi="Calibri"/>
        </w:rPr>
        <w:t>$988,700</w:t>
      </w:r>
      <w:r w:rsidR="00A50A62">
        <w:rPr>
          <w:rFonts w:ascii="Calibri" w:hAnsi="Calibri"/>
        </w:rPr>
        <w:t xml:space="preserve"> in April 2014 to </w:t>
      </w:r>
      <w:r w:rsidR="007F5FC1">
        <w:rPr>
          <w:rFonts w:ascii="Calibri" w:hAnsi="Calibri"/>
        </w:rPr>
        <w:t xml:space="preserve">$1,177,850 </w:t>
      </w:r>
      <w:r w:rsidR="00A50A62">
        <w:rPr>
          <w:rFonts w:ascii="Calibri" w:hAnsi="Calibri"/>
        </w:rPr>
        <w:t>in April 2015</w:t>
      </w:r>
      <w:r w:rsidR="007F5FC1">
        <w:rPr>
          <w:rFonts w:ascii="Calibri" w:hAnsi="Calibri"/>
        </w:rPr>
        <w:t>.</w:t>
      </w:r>
    </w:p>
    <w:p w:rsidR="006B143F" w:rsidRDefault="006B143F" w:rsidP="0060062F">
      <w:pPr>
        <w:pStyle w:val="Body"/>
        <w:jc w:val="both"/>
        <w:rPr>
          <w:rFonts w:ascii="Calibri" w:hAnsi="Calibri"/>
        </w:rPr>
      </w:pPr>
    </w:p>
    <w:p w:rsidR="00FA2C2B" w:rsidRDefault="00797E17" w:rsidP="0060062F">
      <w:pPr>
        <w:pStyle w:val="Body"/>
        <w:jc w:val="both"/>
        <w:rPr>
          <w:rFonts w:ascii="Calibri" w:hAnsi="Calibri"/>
        </w:rPr>
      </w:pPr>
      <w:r>
        <w:rPr>
          <w:rFonts w:ascii="Calibri" w:hAnsi="Calibri"/>
        </w:rPr>
        <w:t>The asking price expectation f</w:t>
      </w:r>
      <w:r w:rsidR="00902FEC">
        <w:rPr>
          <w:rFonts w:ascii="Calibri" w:hAnsi="Calibri"/>
        </w:rPr>
        <w:t>or</w:t>
      </w:r>
      <w:r>
        <w:rPr>
          <w:rFonts w:ascii="Calibri" w:hAnsi="Calibri"/>
        </w:rPr>
        <w:t xml:space="preserve"> smaller</w:t>
      </w:r>
      <w:r w:rsidR="00902FEC">
        <w:rPr>
          <w:rFonts w:ascii="Calibri" w:hAnsi="Calibri"/>
        </w:rPr>
        <w:t xml:space="preserve"> homes</w:t>
      </w:r>
      <w:r>
        <w:rPr>
          <w:rFonts w:ascii="Calibri" w:hAnsi="Calibri"/>
        </w:rPr>
        <w:t xml:space="preserve"> continue</w:t>
      </w:r>
      <w:r w:rsidR="00902FEC">
        <w:rPr>
          <w:rFonts w:ascii="Calibri" w:hAnsi="Calibri"/>
        </w:rPr>
        <w:t>s</w:t>
      </w:r>
      <w:r>
        <w:rPr>
          <w:rFonts w:ascii="Calibri" w:hAnsi="Calibri"/>
        </w:rPr>
        <w:t xml:space="preserve"> to reflect the strong demand in the property-tight Auckland market</w:t>
      </w:r>
      <w:r w:rsidR="00902FEC">
        <w:rPr>
          <w:rFonts w:ascii="Calibri" w:hAnsi="Calibri"/>
        </w:rPr>
        <w:t>,</w:t>
      </w:r>
      <w:r>
        <w:rPr>
          <w:rFonts w:ascii="Calibri" w:hAnsi="Calibri"/>
        </w:rPr>
        <w:t xml:space="preserve"> rising 17 per cent in the past year to $569,500 </w:t>
      </w:r>
      <w:r w:rsidR="00902FEC">
        <w:rPr>
          <w:rFonts w:ascii="Calibri" w:hAnsi="Calibri"/>
        </w:rPr>
        <w:t xml:space="preserve">– with </w:t>
      </w:r>
      <w:r>
        <w:rPr>
          <w:rFonts w:ascii="Calibri" w:hAnsi="Calibri"/>
        </w:rPr>
        <w:t>price expectation</w:t>
      </w:r>
      <w:r w:rsidR="00902FEC">
        <w:rPr>
          <w:rFonts w:ascii="Calibri" w:hAnsi="Calibri"/>
        </w:rPr>
        <w:t xml:space="preserve">s up $82,750 over </w:t>
      </w:r>
      <w:r>
        <w:rPr>
          <w:rFonts w:ascii="Calibri" w:hAnsi="Calibri"/>
        </w:rPr>
        <w:t>the past year</w:t>
      </w:r>
      <w:r w:rsidR="0060062F">
        <w:rPr>
          <w:rFonts w:ascii="Calibri" w:hAnsi="Calibri"/>
        </w:rPr>
        <w:t>.</w:t>
      </w:r>
    </w:p>
    <w:p w:rsidR="00B85339" w:rsidRDefault="00B85339" w:rsidP="00B85339">
      <w:pPr>
        <w:pStyle w:val="Body"/>
        <w:jc w:val="both"/>
        <w:rPr>
          <w:rFonts w:ascii="Calibri" w:hAnsi="Calibri"/>
        </w:rPr>
      </w:pPr>
    </w:p>
    <w:p w:rsidR="00060E74" w:rsidRDefault="00060E74" w:rsidP="00B85339">
      <w:pPr>
        <w:pStyle w:val="Body"/>
        <w:jc w:val="both"/>
        <w:rPr>
          <w:rFonts w:ascii="Calibri" w:hAnsi="Calibri"/>
        </w:rPr>
      </w:pPr>
    </w:p>
    <w:p w:rsidR="005C21AC" w:rsidRPr="0040184F" w:rsidRDefault="005C21AC" w:rsidP="005C21AC">
      <w:pPr>
        <w:pStyle w:val="Body"/>
        <w:rPr>
          <w:rFonts w:ascii="Calibri" w:hAnsi="Calibri"/>
          <w:i/>
          <w:sz w:val="20"/>
          <w:szCs w:val="20"/>
        </w:rPr>
      </w:pPr>
      <w:r w:rsidRPr="0040184F">
        <w:rPr>
          <w:rFonts w:ascii="Calibri" w:hAnsi="Calibri"/>
          <w:i/>
          <w:sz w:val="20"/>
          <w:szCs w:val="20"/>
        </w:rPr>
        <w:t xml:space="preserve">Table 1: </w:t>
      </w:r>
      <w:r>
        <w:rPr>
          <w:rFonts w:ascii="Calibri" w:hAnsi="Calibri"/>
          <w:i/>
          <w:sz w:val="20"/>
          <w:szCs w:val="20"/>
        </w:rPr>
        <w:t>Truncated mean expected sales price</w:t>
      </w:r>
      <w:r w:rsidRPr="0040184F">
        <w:rPr>
          <w:rFonts w:ascii="Calibri" w:hAnsi="Calibri"/>
          <w:i/>
          <w:sz w:val="20"/>
          <w:szCs w:val="20"/>
        </w:rPr>
        <w:t xml:space="preserve"> by property size &amp; region</w:t>
      </w:r>
    </w:p>
    <w:p w:rsidR="005C21AC" w:rsidRPr="0040184F" w:rsidRDefault="005C21AC" w:rsidP="005C21AC">
      <w:pPr>
        <w:pStyle w:val="Body"/>
        <w:rPr>
          <w:rFonts w:ascii="Calibri" w:hAnsi="Calibri"/>
          <w:i/>
          <w:sz w:val="20"/>
          <w:szCs w:val="20"/>
        </w:rPr>
      </w:pPr>
    </w:p>
    <w:tbl>
      <w:tblPr>
        <w:tblStyle w:val="LightShading-Accent1"/>
        <w:tblW w:w="0" w:type="auto"/>
        <w:tblCellSpacing w:w="57" w:type="dxa"/>
        <w:tblCellMar>
          <w:top w:w="115" w:type="dxa"/>
          <w:left w:w="115" w:type="dxa"/>
          <w:bottom w:w="115" w:type="dxa"/>
          <w:right w:w="115" w:type="dxa"/>
        </w:tblCellMar>
        <w:tblLook w:val="04A0" w:firstRow="1" w:lastRow="0" w:firstColumn="1" w:lastColumn="0" w:noHBand="0" w:noVBand="1"/>
      </w:tblPr>
      <w:tblGrid>
        <w:gridCol w:w="1949"/>
        <w:gridCol w:w="1877"/>
        <w:gridCol w:w="1909"/>
        <w:gridCol w:w="1910"/>
        <w:gridCol w:w="1993"/>
      </w:tblGrid>
      <w:tr w:rsidR="005C21AC" w:rsidRPr="0040184F" w:rsidTr="00B56A6E">
        <w:trPr>
          <w:cnfStyle w:val="100000000000" w:firstRow="1" w:lastRow="0" w:firstColumn="0" w:lastColumn="0" w:oddVBand="0" w:evenVBand="0" w:oddHBand="0" w:evenHBand="0" w:firstRowFirstColumn="0" w:firstRowLastColumn="0" w:lastRowFirstColumn="0" w:lastRowLastColumn="0"/>
          <w:tblCellSpacing w:w="57" w:type="dxa"/>
        </w:trPr>
        <w:tc>
          <w:tcPr>
            <w:cnfStyle w:val="001000000000" w:firstRow="0" w:lastRow="0" w:firstColumn="1" w:lastColumn="0" w:oddVBand="0" w:evenVBand="0" w:oddHBand="0" w:evenHBand="0" w:firstRowFirstColumn="0" w:firstRowLastColumn="0" w:lastRowFirstColumn="0" w:lastRowLastColumn="0"/>
            <w:tcW w:w="1875" w:type="dxa"/>
          </w:tcPr>
          <w:p w:rsidR="005C21AC" w:rsidRPr="0040184F" w:rsidRDefault="005C21AC" w:rsidP="005C21A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sz w:val="20"/>
                <w:szCs w:val="20"/>
              </w:rPr>
            </w:pPr>
          </w:p>
        </w:tc>
        <w:tc>
          <w:tcPr>
            <w:tcW w:w="1869" w:type="dxa"/>
            <w:shd w:val="clear" w:color="auto" w:fill="E5E5E5" w:themeFill="background2" w:themeFillTint="66"/>
          </w:tcPr>
          <w:p w:rsidR="005C21AC" w:rsidRPr="0040184F" w:rsidRDefault="005C21AC" w:rsidP="005C21A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40184F">
              <w:rPr>
                <w:rFonts w:ascii="Calibri" w:hAnsi="Calibri"/>
                <w:sz w:val="20"/>
                <w:szCs w:val="20"/>
              </w:rPr>
              <w:t>New Zealand</w:t>
            </w:r>
          </w:p>
        </w:tc>
        <w:tc>
          <w:tcPr>
            <w:tcW w:w="1885" w:type="dxa"/>
            <w:shd w:val="clear" w:color="auto" w:fill="E5E5E5" w:themeFill="background2" w:themeFillTint="66"/>
          </w:tcPr>
          <w:p w:rsidR="005C21AC" w:rsidRPr="0040184F" w:rsidRDefault="005C21AC" w:rsidP="005C21A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40184F">
              <w:rPr>
                <w:rFonts w:ascii="Calibri" w:hAnsi="Calibri"/>
                <w:sz w:val="20"/>
                <w:szCs w:val="20"/>
              </w:rPr>
              <w:t>Auckland</w:t>
            </w:r>
          </w:p>
        </w:tc>
        <w:tc>
          <w:tcPr>
            <w:tcW w:w="1885" w:type="dxa"/>
            <w:shd w:val="clear" w:color="auto" w:fill="E5E5E5" w:themeFill="background2" w:themeFillTint="66"/>
          </w:tcPr>
          <w:p w:rsidR="005C21AC" w:rsidRPr="0040184F" w:rsidRDefault="005C21AC" w:rsidP="005C21A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40184F">
              <w:rPr>
                <w:rFonts w:ascii="Calibri" w:hAnsi="Calibri"/>
                <w:sz w:val="20"/>
                <w:szCs w:val="20"/>
              </w:rPr>
              <w:t>Wellington</w:t>
            </w:r>
          </w:p>
        </w:tc>
        <w:tc>
          <w:tcPr>
            <w:tcW w:w="1898" w:type="dxa"/>
            <w:shd w:val="clear" w:color="auto" w:fill="E5E5E5" w:themeFill="background2" w:themeFillTint="66"/>
          </w:tcPr>
          <w:p w:rsidR="005C21AC" w:rsidRPr="0040184F" w:rsidRDefault="005C21AC" w:rsidP="005C21A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40184F">
              <w:rPr>
                <w:rFonts w:ascii="Calibri" w:hAnsi="Calibri"/>
                <w:sz w:val="20"/>
                <w:szCs w:val="20"/>
              </w:rPr>
              <w:t>Christchurch</w:t>
            </w:r>
          </w:p>
        </w:tc>
      </w:tr>
      <w:tr w:rsidR="005C21AC" w:rsidRPr="0040184F" w:rsidTr="00B56A6E">
        <w:trPr>
          <w:cnfStyle w:val="000000100000" w:firstRow="0" w:lastRow="0" w:firstColumn="0" w:lastColumn="0" w:oddVBand="0" w:evenVBand="0" w:oddHBand="1" w:evenHBand="0" w:firstRowFirstColumn="0" w:firstRowLastColumn="0" w:lastRowFirstColumn="0" w:lastRowLastColumn="0"/>
          <w:tblCellSpacing w:w="57" w:type="dxa"/>
        </w:trPr>
        <w:tc>
          <w:tcPr>
            <w:cnfStyle w:val="001000000000" w:firstRow="0" w:lastRow="0" w:firstColumn="1" w:lastColumn="0" w:oddVBand="0" w:evenVBand="0" w:oddHBand="0" w:evenHBand="0" w:firstRowFirstColumn="0" w:firstRowLastColumn="0" w:lastRowFirstColumn="0" w:lastRowLastColumn="0"/>
            <w:tcW w:w="1875" w:type="dxa"/>
            <w:shd w:val="clear" w:color="auto" w:fill="D8D8D8" w:themeFill="background2" w:themeFillTint="99"/>
          </w:tcPr>
          <w:p w:rsidR="005C21AC" w:rsidRPr="00E159E1" w:rsidRDefault="005C21AC" w:rsidP="005C21A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0"/>
                <w:szCs w:val="20"/>
              </w:rPr>
            </w:pPr>
            <w:r w:rsidRPr="00E159E1">
              <w:rPr>
                <w:rFonts w:ascii="Calibri" w:hAnsi="Calibri"/>
                <w:sz w:val="20"/>
                <w:szCs w:val="20"/>
              </w:rPr>
              <w:t>Large houses</w:t>
            </w:r>
            <w:r w:rsidRPr="00E159E1">
              <w:rPr>
                <w:rFonts w:ascii="Calibri" w:hAnsi="Calibri"/>
                <w:sz w:val="20"/>
                <w:szCs w:val="20"/>
              </w:rPr>
              <w:br/>
              <w:t>5+ bedrooms</w:t>
            </w:r>
          </w:p>
        </w:tc>
        <w:tc>
          <w:tcPr>
            <w:tcW w:w="1869" w:type="dxa"/>
            <w:shd w:val="clear" w:color="auto" w:fill="auto"/>
          </w:tcPr>
          <w:p w:rsidR="005C21AC" w:rsidRPr="00E159E1" w:rsidRDefault="009366A8" w:rsidP="009366A8">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$955,850</w:t>
            </w:r>
            <w:r>
              <w:rPr>
                <w:rFonts w:ascii="Calibri" w:hAnsi="Calibri"/>
                <w:sz w:val="20"/>
                <w:szCs w:val="20"/>
              </w:rPr>
              <w:br/>
              <w:t>+ 13.4</w:t>
            </w:r>
            <w:r w:rsidR="005C21AC" w:rsidRPr="00E159E1">
              <w:rPr>
                <w:rFonts w:ascii="Calibri" w:hAnsi="Calibri"/>
                <w:sz w:val="20"/>
                <w:szCs w:val="20"/>
              </w:rPr>
              <w:t>%</w:t>
            </w:r>
          </w:p>
        </w:tc>
        <w:tc>
          <w:tcPr>
            <w:tcW w:w="1885" w:type="dxa"/>
            <w:shd w:val="clear" w:color="auto" w:fill="auto"/>
          </w:tcPr>
          <w:p w:rsidR="005C21AC" w:rsidRPr="00E159E1" w:rsidRDefault="009366A8" w:rsidP="005C21A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$1,177,850</w:t>
            </w:r>
            <w:r>
              <w:rPr>
                <w:rFonts w:ascii="Calibri" w:hAnsi="Calibri"/>
                <w:sz w:val="20"/>
                <w:szCs w:val="20"/>
              </w:rPr>
              <w:br/>
              <w:t>+ 19.1</w:t>
            </w:r>
            <w:r w:rsidR="005C21AC" w:rsidRPr="00E159E1">
              <w:rPr>
                <w:rFonts w:ascii="Calibri" w:hAnsi="Calibri"/>
                <w:sz w:val="20"/>
                <w:szCs w:val="20"/>
              </w:rPr>
              <w:t>%</w:t>
            </w:r>
          </w:p>
        </w:tc>
        <w:tc>
          <w:tcPr>
            <w:tcW w:w="1885" w:type="dxa"/>
            <w:shd w:val="clear" w:color="auto" w:fill="auto"/>
          </w:tcPr>
          <w:p w:rsidR="005C21AC" w:rsidRPr="00E159E1" w:rsidRDefault="009366A8" w:rsidP="005C21A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alibri" w:hAnsi="Calibri"/>
                <w:color w:val="auto"/>
                <w:sz w:val="20"/>
                <w:szCs w:val="20"/>
              </w:rPr>
            </w:pPr>
            <w:r>
              <w:rPr>
                <w:rFonts w:ascii="Calibri" w:hAnsi="Calibri"/>
                <w:color w:val="auto"/>
                <w:sz w:val="20"/>
                <w:szCs w:val="20"/>
              </w:rPr>
              <w:t>$739,000</w:t>
            </w:r>
            <w:r>
              <w:rPr>
                <w:rFonts w:ascii="Calibri" w:hAnsi="Calibri"/>
                <w:color w:val="auto"/>
                <w:sz w:val="20"/>
                <w:szCs w:val="20"/>
              </w:rPr>
              <w:br/>
              <w:t>+ 8</w:t>
            </w:r>
            <w:r w:rsidR="0026207F">
              <w:rPr>
                <w:rFonts w:ascii="Calibri" w:hAnsi="Calibri"/>
                <w:color w:val="auto"/>
                <w:sz w:val="20"/>
                <w:szCs w:val="20"/>
              </w:rPr>
              <w:t>.0</w:t>
            </w:r>
            <w:r w:rsidR="005C21AC" w:rsidRPr="00E159E1">
              <w:rPr>
                <w:rFonts w:ascii="Calibri" w:hAnsi="Calibri"/>
                <w:color w:val="auto"/>
                <w:sz w:val="20"/>
                <w:szCs w:val="20"/>
              </w:rPr>
              <w:t>%</w:t>
            </w:r>
            <w:r w:rsidR="005C21AC" w:rsidRPr="00E159E1">
              <w:rPr>
                <w:rFonts w:ascii="Calibri" w:hAnsi="Calibri"/>
                <w:color w:val="auto"/>
                <w:sz w:val="20"/>
                <w:szCs w:val="20"/>
              </w:rPr>
              <w:tab/>
            </w:r>
          </w:p>
        </w:tc>
        <w:tc>
          <w:tcPr>
            <w:tcW w:w="1898" w:type="dxa"/>
            <w:shd w:val="clear" w:color="auto" w:fill="auto"/>
          </w:tcPr>
          <w:p w:rsidR="005C21AC" w:rsidRPr="00E159E1" w:rsidRDefault="009366A8" w:rsidP="005C21A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$761,800</w:t>
            </w:r>
            <w:r w:rsidR="005C21AC" w:rsidRPr="00E159E1">
              <w:rPr>
                <w:rFonts w:ascii="Calibri" w:hAnsi="Calibri"/>
                <w:sz w:val="20"/>
                <w:szCs w:val="20"/>
              </w:rPr>
              <w:br/>
            </w:r>
            <w:r>
              <w:rPr>
                <w:rFonts w:ascii="Calibri" w:hAnsi="Calibri"/>
                <w:color w:val="FF0000"/>
                <w:sz w:val="20"/>
                <w:szCs w:val="20"/>
              </w:rPr>
              <w:t>- 2.7</w:t>
            </w:r>
            <w:r w:rsidR="005C21AC" w:rsidRPr="00B56A6E">
              <w:rPr>
                <w:rFonts w:ascii="Calibri" w:hAnsi="Calibri"/>
                <w:color w:val="FF0000"/>
                <w:sz w:val="20"/>
                <w:szCs w:val="20"/>
              </w:rPr>
              <w:t>%</w:t>
            </w:r>
          </w:p>
        </w:tc>
      </w:tr>
      <w:tr w:rsidR="005C21AC" w:rsidRPr="0040184F" w:rsidTr="00B56A6E">
        <w:trPr>
          <w:tblCellSpacing w:w="57" w:type="dxa"/>
        </w:trPr>
        <w:tc>
          <w:tcPr>
            <w:cnfStyle w:val="001000000000" w:firstRow="0" w:lastRow="0" w:firstColumn="1" w:lastColumn="0" w:oddVBand="0" w:evenVBand="0" w:oddHBand="0" w:evenHBand="0" w:firstRowFirstColumn="0" w:firstRowLastColumn="0" w:lastRowFirstColumn="0" w:lastRowLastColumn="0"/>
            <w:tcW w:w="1875" w:type="dxa"/>
            <w:shd w:val="clear" w:color="auto" w:fill="D8D8D8" w:themeFill="background2" w:themeFillTint="99"/>
          </w:tcPr>
          <w:p w:rsidR="005C21AC" w:rsidRPr="00E159E1" w:rsidRDefault="005C21AC" w:rsidP="005C21A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0"/>
                <w:szCs w:val="20"/>
              </w:rPr>
            </w:pPr>
            <w:r w:rsidRPr="00E159E1">
              <w:rPr>
                <w:rFonts w:ascii="Calibri" w:hAnsi="Calibri"/>
                <w:sz w:val="20"/>
                <w:szCs w:val="20"/>
              </w:rPr>
              <w:t>Medium houses</w:t>
            </w:r>
          </w:p>
          <w:p w:rsidR="005C21AC" w:rsidRPr="00E159E1" w:rsidRDefault="005C21AC" w:rsidP="005C21A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b w:val="0"/>
                <w:sz w:val="20"/>
                <w:szCs w:val="20"/>
              </w:rPr>
            </w:pPr>
            <w:r w:rsidRPr="00E159E1">
              <w:rPr>
                <w:rFonts w:ascii="Calibri" w:hAnsi="Calibri"/>
                <w:sz w:val="20"/>
                <w:szCs w:val="20"/>
              </w:rPr>
              <w:t>3-4 bedrooms</w:t>
            </w:r>
          </w:p>
        </w:tc>
        <w:tc>
          <w:tcPr>
            <w:tcW w:w="1869" w:type="dxa"/>
            <w:shd w:val="clear" w:color="auto" w:fill="auto"/>
          </w:tcPr>
          <w:p w:rsidR="005C21AC" w:rsidRPr="00E159E1" w:rsidRDefault="009366A8" w:rsidP="005C21A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$545,050</w:t>
            </w:r>
            <w:r>
              <w:rPr>
                <w:rFonts w:ascii="Calibri" w:hAnsi="Calibri"/>
                <w:sz w:val="20"/>
                <w:szCs w:val="20"/>
              </w:rPr>
              <w:br/>
              <w:t>+ 9.9</w:t>
            </w:r>
            <w:r w:rsidR="005C21AC" w:rsidRPr="00E159E1">
              <w:rPr>
                <w:rFonts w:ascii="Calibri" w:hAnsi="Calibri"/>
                <w:sz w:val="20"/>
                <w:szCs w:val="20"/>
              </w:rPr>
              <w:t>%</w:t>
            </w:r>
          </w:p>
        </w:tc>
        <w:tc>
          <w:tcPr>
            <w:tcW w:w="1885" w:type="dxa"/>
            <w:shd w:val="clear" w:color="auto" w:fill="auto"/>
          </w:tcPr>
          <w:p w:rsidR="005C21AC" w:rsidRPr="00E159E1" w:rsidRDefault="009366A8" w:rsidP="005C21A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$761,950</w:t>
            </w:r>
            <w:r>
              <w:rPr>
                <w:rFonts w:ascii="Calibri" w:hAnsi="Calibri"/>
                <w:sz w:val="20"/>
                <w:szCs w:val="20"/>
              </w:rPr>
              <w:br/>
              <w:t>+ 15.8</w:t>
            </w:r>
            <w:r w:rsidR="005C21AC" w:rsidRPr="00E159E1">
              <w:rPr>
                <w:rFonts w:ascii="Calibri" w:hAnsi="Calibri"/>
                <w:sz w:val="20"/>
                <w:szCs w:val="20"/>
              </w:rPr>
              <w:t>%</w:t>
            </w:r>
          </w:p>
        </w:tc>
        <w:tc>
          <w:tcPr>
            <w:tcW w:w="1885" w:type="dxa"/>
            <w:shd w:val="clear" w:color="auto" w:fill="auto"/>
          </w:tcPr>
          <w:p w:rsidR="005C21AC" w:rsidRPr="00E159E1" w:rsidRDefault="009366A8" w:rsidP="005C21A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$474,300</w:t>
            </w:r>
            <w:r>
              <w:rPr>
                <w:rFonts w:ascii="Calibri" w:hAnsi="Calibri"/>
                <w:sz w:val="20"/>
                <w:szCs w:val="20"/>
              </w:rPr>
              <w:br/>
              <w:t>+ 3.0</w:t>
            </w:r>
            <w:r w:rsidR="005C21AC" w:rsidRPr="00E159E1">
              <w:rPr>
                <w:rFonts w:ascii="Calibri" w:hAnsi="Calibri"/>
                <w:sz w:val="20"/>
                <w:szCs w:val="20"/>
              </w:rPr>
              <w:t>%</w:t>
            </w:r>
          </w:p>
        </w:tc>
        <w:tc>
          <w:tcPr>
            <w:tcW w:w="1898" w:type="dxa"/>
            <w:shd w:val="clear" w:color="auto" w:fill="auto"/>
          </w:tcPr>
          <w:p w:rsidR="005C21AC" w:rsidRPr="00E159E1" w:rsidRDefault="009366A8" w:rsidP="005C21A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$499,150</w:t>
            </w:r>
            <w:r>
              <w:rPr>
                <w:rFonts w:ascii="Calibri" w:hAnsi="Calibri"/>
                <w:sz w:val="20"/>
                <w:szCs w:val="20"/>
              </w:rPr>
              <w:br/>
              <w:t>+ 9.8</w:t>
            </w:r>
            <w:r w:rsidR="005C21AC" w:rsidRPr="00E159E1">
              <w:rPr>
                <w:rFonts w:ascii="Calibri" w:hAnsi="Calibri"/>
                <w:sz w:val="20"/>
                <w:szCs w:val="20"/>
              </w:rPr>
              <w:t>%</w:t>
            </w:r>
          </w:p>
        </w:tc>
      </w:tr>
      <w:tr w:rsidR="005C21AC" w:rsidRPr="0040184F" w:rsidTr="00B56A6E">
        <w:trPr>
          <w:cnfStyle w:val="000000100000" w:firstRow="0" w:lastRow="0" w:firstColumn="0" w:lastColumn="0" w:oddVBand="0" w:evenVBand="0" w:oddHBand="1" w:evenHBand="0" w:firstRowFirstColumn="0" w:firstRowLastColumn="0" w:lastRowFirstColumn="0" w:lastRowLastColumn="0"/>
          <w:trHeight w:val="242"/>
          <w:tblCellSpacing w:w="57" w:type="dxa"/>
        </w:trPr>
        <w:tc>
          <w:tcPr>
            <w:cnfStyle w:val="001000000000" w:firstRow="0" w:lastRow="0" w:firstColumn="1" w:lastColumn="0" w:oddVBand="0" w:evenVBand="0" w:oddHBand="0" w:evenHBand="0" w:firstRowFirstColumn="0" w:firstRowLastColumn="0" w:lastRowFirstColumn="0" w:lastRowLastColumn="0"/>
            <w:tcW w:w="1875" w:type="dxa"/>
            <w:shd w:val="clear" w:color="auto" w:fill="D8D8D8" w:themeFill="background2" w:themeFillTint="99"/>
          </w:tcPr>
          <w:p w:rsidR="005C21AC" w:rsidRPr="00E159E1" w:rsidRDefault="005C21AC" w:rsidP="005C21A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0"/>
                <w:szCs w:val="20"/>
              </w:rPr>
            </w:pPr>
            <w:r w:rsidRPr="00E159E1">
              <w:rPr>
                <w:rFonts w:ascii="Calibri" w:hAnsi="Calibri"/>
                <w:sz w:val="20"/>
                <w:szCs w:val="20"/>
              </w:rPr>
              <w:t>Small houses</w:t>
            </w:r>
          </w:p>
          <w:p w:rsidR="005C21AC" w:rsidRPr="00E159E1" w:rsidRDefault="005C21AC" w:rsidP="005C21A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b w:val="0"/>
                <w:sz w:val="20"/>
                <w:szCs w:val="20"/>
              </w:rPr>
            </w:pPr>
            <w:r w:rsidRPr="00E159E1">
              <w:rPr>
                <w:rFonts w:ascii="Calibri" w:hAnsi="Calibri"/>
                <w:sz w:val="20"/>
                <w:szCs w:val="20"/>
              </w:rPr>
              <w:t>1-2 bedrooms</w:t>
            </w:r>
          </w:p>
        </w:tc>
        <w:tc>
          <w:tcPr>
            <w:tcW w:w="1869" w:type="dxa"/>
            <w:shd w:val="clear" w:color="auto" w:fill="auto"/>
          </w:tcPr>
          <w:p w:rsidR="005C21AC" w:rsidRPr="00E159E1" w:rsidRDefault="009366A8" w:rsidP="005C21A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$359,300</w:t>
            </w:r>
            <w:r>
              <w:rPr>
                <w:rFonts w:ascii="Calibri" w:hAnsi="Calibri"/>
                <w:sz w:val="20"/>
                <w:szCs w:val="20"/>
              </w:rPr>
              <w:br/>
              <w:t>+ 12.2</w:t>
            </w:r>
            <w:r w:rsidR="005C21AC" w:rsidRPr="00E159E1">
              <w:rPr>
                <w:rFonts w:ascii="Calibri" w:hAnsi="Calibri"/>
                <w:sz w:val="20"/>
                <w:szCs w:val="20"/>
              </w:rPr>
              <w:t>%</w:t>
            </w:r>
            <w:r w:rsidR="005C21AC" w:rsidRPr="00E159E1">
              <w:rPr>
                <w:rFonts w:ascii="Calibri" w:hAnsi="Calibri"/>
                <w:sz w:val="20"/>
                <w:szCs w:val="20"/>
              </w:rPr>
              <w:tab/>
            </w:r>
          </w:p>
        </w:tc>
        <w:tc>
          <w:tcPr>
            <w:tcW w:w="1885" w:type="dxa"/>
            <w:shd w:val="clear" w:color="auto" w:fill="auto"/>
          </w:tcPr>
          <w:p w:rsidR="005C21AC" w:rsidRPr="00E159E1" w:rsidRDefault="009366A8" w:rsidP="005C21A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$569,500</w:t>
            </w:r>
            <w:r>
              <w:rPr>
                <w:rFonts w:ascii="Calibri" w:hAnsi="Calibri"/>
                <w:sz w:val="20"/>
                <w:szCs w:val="20"/>
              </w:rPr>
              <w:br/>
              <w:t>+ 17.0</w:t>
            </w:r>
            <w:r w:rsidR="005C21AC" w:rsidRPr="00E159E1">
              <w:rPr>
                <w:rFonts w:ascii="Calibri" w:hAnsi="Calibri"/>
                <w:sz w:val="20"/>
                <w:szCs w:val="20"/>
              </w:rPr>
              <w:t>%</w:t>
            </w:r>
          </w:p>
        </w:tc>
        <w:tc>
          <w:tcPr>
            <w:tcW w:w="1885" w:type="dxa"/>
            <w:shd w:val="clear" w:color="auto" w:fill="auto"/>
          </w:tcPr>
          <w:p w:rsidR="005C21AC" w:rsidRPr="00E159E1" w:rsidRDefault="009366A8" w:rsidP="005C21A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$328,350</w:t>
            </w:r>
            <w:r>
              <w:rPr>
                <w:rFonts w:ascii="Calibri" w:hAnsi="Calibri"/>
                <w:sz w:val="20"/>
                <w:szCs w:val="20"/>
              </w:rPr>
              <w:br/>
              <w:t>+ 4.4</w:t>
            </w:r>
            <w:r w:rsidR="005C21AC" w:rsidRPr="00E159E1">
              <w:rPr>
                <w:rFonts w:ascii="Calibri" w:hAnsi="Calibri"/>
                <w:sz w:val="20"/>
                <w:szCs w:val="20"/>
              </w:rPr>
              <w:t>%</w:t>
            </w:r>
            <w:r w:rsidR="005C21AC" w:rsidRPr="00E159E1">
              <w:rPr>
                <w:rFonts w:ascii="Calibri" w:hAnsi="Calibri"/>
                <w:sz w:val="20"/>
                <w:szCs w:val="20"/>
              </w:rPr>
              <w:tab/>
            </w:r>
          </w:p>
        </w:tc>
        <w:tc>
          <w:tcPr>
            <w:tcW w:w="1898" w:type="dxa"/>
            <w:shd w:val="clear" w:color="auto" w:fill="auto"/>
          </w:tcPr>
          <w:p w:rsidR="005C21AC" w:rsidRPr="00E159E1" w:rsidRDefault="00EA4001" w:rsidP="005C21A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$326,150</w:t>
            </w:r>
            <w:r>
              <w:rPr>
                <w:rFonts w:ascii="Calibri" w:hAnsi="Calibri"/>
                <w:sz w:val="20"/>
                <w:szCs w:val="20"/>
              </w:rPr>
              <w:br/>
              <w:t>+ 9.7</w:t>
            </w:r>
            <w:r w:rsidR="005C21AC" w:rsidRPr="00E159E1">
              <w:rPr>
                <w:rFonts w:ascii="Calibri" w:hAnsi="Calibri"/>
                <w:sz w:val="20"/>
                <w:szCs w:val="20"/>
              </w:rPr>
              <w:t>%</w:t>
            </w:r>
          </w:p>
        </w:tc>
      </w:tr>
      <w:tr w:rsidR="005C21AC" w:rsidRPr="0040184F" w:rsidTr="00B56A6E">
        <w:trPr>
          <w:trHeight w:val="242"/>
          <w:tblCellSpacing w:w="57" w:type="dxa"/>
        </w:trPr>
        <w:tc>
          <w:tcPr>
            <w:cnfStyle w:val="001000000000" w:firstRow="0" w:lastRow="0" w:firstColumn="1" w:lastColumn="0" w:oddVBand="0" w:evenVBand="0" w:oddHBand="0" w:evenHBand="0" w:firstRowFirstColumn="0" w:firstRowLastColumn="0" w:lastRowFirstColumn="0" w:lastRowLastColumn="0"/>
            <w:tcW w:w="1875" w:type="dxa"/>
            <w:shd w:val="clear" w:color="auto" w:fill="E5E5E5" w:themeFill="background2" w:themeFillTint="66"/>
          </w:tcPr>
          <w:p w:rsidR="005C21AC" w:rsidRPr="005D4B58" w:rsidRDefault="005C21AC" w:rsidP="005C21A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0"/>
                <w:szCs w:val="20"/>
              </w:rPr>
            </w:pPr>
            <w:r w:rsidRPr="005D4B58">
              <w:rPr>
                <w:rFonts w:ascii="Calibri" w:hAnsi="Calibri"/>
                <w:sz w:val="20"/>
                <w:szCs w:val="20"/>
              </w:rPr>
              <w:t>All property types</w:t>
            </w:r>
          </w:p>
        </w:tc>
        <w:tc>
          <w:tcPr>
            <w:tcW w:w="1869" w:type="dxa"/>
            <w:shd w:val="clear" w:color="auto" w:fill="auto"/>
          </w:tcPr>
          <w:p w:rsidR="005C21AC" w:rsidRPr="005D4B58" w:rsidRDefault="00EA4001" w:rsidP="005C21A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alibri" w:hAnsi="Calibri"/>
                <w:b/>
                <w:sz w:val="20"/>
                <w:szCs w:val="20"/>
              </w:rPr>
            </w:pPr>
            <w:r w:rsidRPr="005D4B58">
              <w:rPr>
                <w:rFonts w:ascii="Calibri" w:hAnsi="Calibri"/>
                <w:b/>
                <w:sz w:val="20"/>
                <w:szCs w:val="20"/>
              </w:rPr>
              <w:t>$539,750</w:t>
            </w:r>
            <w:r w:rsidR="005C21AC" w:rsidRPr="005D4B58">
              <w:rPr>
                <w:rFonts w:ascii="Calibri" w:hAnsi="Calibri"/>
                <w:b/>
                <w:sz w:val="20"/>
                <w:szCs w:val="20"/>
              </w:rPr>
              <w:br/>
            </w:r>
            <w:r w:rsidRPr="005D4B58">
              <w:rPr>
                <w:rFonts w:ascii="Calibri" w:hAnsi="Calibri"/>
                <w:b/>
                <w:sz w:val="20"/>
                <w:szCs w:val="20"/>
              </w:rPr>
              <w:t>+ 10.3</w:t>
            </w:r>
            <w:r w:rsidR="005C21AC" w:rsidRPr="005D4B58">
              <w:rPr>
                <w:rFonts w:ascii="Calibri" w:hAnsi="Calibri"/>
                <w:b/>
                <w:sz w:val="20"/>
                <w:szCs w:val="20"/>
              </w:rPr>
              <w:t>%</w:t>
            </w:r>
          </w:p>
        </w:tc>
        <w:tc>
          <w:tcPr>
            <w:tcW w:w="1885" w:type="dxa"/>
            <w:shd w:val="clear" w:color="auto" w:fill="auto"/>
          </w:tcPr>
          <w:p w:rsidR="005C21AC" w:rsidRPr="005D4B58" w:rsidRDefault="005C21AC" w:rsidP="005C21A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alibri" w:hAnsi="Calibri"/>
                <w:b/>
                <w:sz w:val="20"/>
                <w:szCs w:val="20"/>
              </w:rPr>
            </w:pPr>
            <w:r w:rsidRPr="005D4B58">
              <w:rPr>
                <w:rFonts w:ascii="Calibri" w:hAnsi="Calibri"/>
                <w:b/>
                <w:sz w:val="20"/>
                <w:szCs w:val="20"/>
              </w:rPr>
              <w:t>$</w:t>
            </w:r>
            <w:r w:rsidR="00EA4001" w:rsidRPr="005D4B58">
              <w:rPr>
                <w:rFonts w:ascii="Calibri" w:hAnsi="Calibri"/>
                <w:b/>
                <w:sz w:val="20"/>
                <w:szCs w:val="20"/>
              </w:rPr>
              <w:t>740,600</w:t>
            </w:r>
            <w:r w:rsidRPr="005D4B58">
              <w:rPr>
                <w:rFonts w:ascii="Calibri" w:hAnsi="Calibri"/>
                <w:b/>
                <w:sz w:val="20"/>
                <w:szCs w:val="20"/>
              </w:rPr>
              <w:br/>
              <w:t xml:space="preserve">+ </w:t>
            </w:r>
            <w:r w:rsidR="00EA4001" w:rsidRPr="005D4B58">
              <w:rPr>
                <w:rFonts w:ascii="Calibri" w:hAnsi="Calibri"/>
                <w:b/>
                <w:sz w:val="20"/>
                <w:szCs w:val="20"/>
              </w:rPr>
              <w:t>16.0</w:t>
            </w:r>
            <w:r w:rsidRPr="005D4B58">
              <w:rPr>
                <w:rFonts w:ascii="Calibri" w:hAnsi="Calibri"/>
                <w:b/>
                <w:sz w:val="20"/>
                <w:szCs w:val="20"/>
              </w:rPr>
              <w:t>%</w:t>
            </w:r>
          </w:p>
        </w:tc>
        <w:tc>
          <w:tcPr>
            <w:tcW w:w="1885" w:type="dxa"/>
            <w:shd w:val="clear" w:color="auto" w:fill="auto"/>
          </w:tcPr>
          <w:p w:rsidR="005C21AC" w:rsidRPr="005D4B58" w:rsidRDefault="00EA4001" w:rsidP="005C21A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alibri" w:hAnsi="Calibri"/>
                <w:b/>
                <w:sz w:val="20"/>
                <w:szCs w:val="20"/>
              </w:rPr>
            </w:pPr>
            <w:r w:rsidRPr="005D4B58">
              <w:rPr>
                <w:rFonts w:ascii="Calibri" w:hAnsi="Calibri"/>
                <w:b/>
                <w:sz w:val="20"/>
                <w:szCs w:val="20"/>
              </w:rPr>
              <w:t>$458,750</w:t>
            </w:r>
            <w:r w:rsidRPr="005D4B58">
              <w:rPr>
                <w:rFonts w:ascii="Calibri" w:hAnsi="Calibri"/>
                <w:b/>
                <w:sz w:val="20"/>
                <w:szCs w:val="20"/>
              </w:rPr>
              <w:br/>
              <w:t>+ 4.3</w:t>
            </w:r>
            <w:r w:rsidR="005C21AC" w:rsidRPr="005D4B58">
              <w:rPr>
                <w:rFonts w:ascii="Calibri" w:hAnsi="Calibri"/>
                <w:b/>
                <w:sz w:val="20"/>
                <w:szCs w:val="20"/>
              </w:rPr>
              <w:t>%</w:t>
            </w:r>
          </w:p>
        </w:tc>
        <w:tc>
          <w:tcPr>
            <w:tcW w:w="1898" w:type="dxa"/>
            <w:shd w:val="clear" w:color="auto" w:fill="auto"/>
          </w:tcPr>
          <w:p w:rsidR="005C21AC" w:rsidRPr="005D4B58" w:rsidRDefault="00EA4001" w:rsidP="005C21A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alibri" w:hAnsi="Calibri"/>
                <w:b/>
                <w:sz w:val="20"/>
                <w:szCs w:val="20"/>
              </w:rPr>
            </w:pPr>
            <w:r w:rsidRPr="005D4B58">
              <w:rPr>
                <w:rFonts w:ascii="Calibri" w:hAnsi="Calibri"/>
                <w:b/>
                <w:sz w:val="20"/>
                <w:szCs w:val="20"/>
              </w:rPr>
              <w:t>$468,250</w:t>
            </w:r>
            <w:r w:rsidRPr="005D4B58">
              <w:rPr>
                <w:rFonts w:ascii="Calibri" w:hAnsi="Calibri"/>
                <w:b/>
                <w:sz w:val="20"/>
                <w:szCs w:val="20"/>
              </w:rPr>
              <w:br/>
              <w:t>+ 9.9</w:t>
            </w:r>
            <w:r w:rsidR="005C21AC" w:rsidRPr="005D4B58">
              <w:rPr>
                <w:rFonts w:ascii="Calibri" w:hAnsi="Calibri"/>
                <w:b/>
                <w:sz w:val="20"/>
                <w:szCs w:val="20"/>
              </w:rPr>
              <w:t>%</w:t>
            </w:r>
          </w:p>
        </w:tc>
      </w:tr>
    </w:tbl>
    <w:p w:rsidR="005C21AC" w:rsidRDefault="005C21AC" w:rsidP="005C21AC">
      <w:pPr>
        <w:pStyle w:val="Body"/>
        <w:rPr>
          <w:rFonts w:ascii="Calibri" w:hAnsi="Calibri"/>
          <w:i/>
          <w:sz w:val="20"/>
          <w:szCs w:val="20"/>
        </w:rPr>
      </w:pPr>
    </w:p>
    <w:p w:rsidR="00060E74" w:rsidRDefault="00060E74" w:rsidP="00B85339">
      <w:pPr>
        <w:pStyle w:val="Body"/>
        <w:jc w:val="both"/>
        <w:rPr>
          <w:rFonts w:ascii="Calibri" w:hAnsi="Calibri"/>
          <w:b/>
        </w:rPr>
      </w:pPr>
    </w:p>
    <w:p w:rsidR="000053A5" w:rsidRDefault="000E100D" w:rsidP="00B85339">
      <w:pPr>
        <w:pStyle w:val="Body"/>
        <w:jc w:val="both"/>
        <w:rPr>
          <w:rFonts w:ascii="Calibri" w:hAnsi="Calibri"/>
          <w:b/>
        </w:rPr>
      </w:pPr>
      <w:r>
        <w:rPr>
          <w:rFonts w:ascii="Calibri" w:hAnsi="Calibri"/>
          <w:b/>
        </w:rPr>
        <w:t>Auckland a</w:t>
      </w:r>
      <w:r w:rsidR="000053A5" w:rsidRPr="00B53928">
        <w:rPr>
          <w:rFonts w:ascii="Calibri" w:hAnsi="Calibri"/>
          <w:b/>
        </w:rPr>
        <w:t xml:space="preserve">partment </w:t>
      </w:r>
      <w:r w:rsidR="00B00D82">
        <w:rPr>
          <w:rFonts w:ascii="Calibri" w:hAnsi="Calibri"/>
          <w:b/>
        </w:rPr>
        <w:t>market delivering more in price appreciation than rents</w:t>
      </w:r>
      <w:r w:rsidR="000053A5" w:rsidRPr="00B53928">
        <w:rPr>
          <w:rFonts w:ascii="Calibri" w:hAnsi="Calibri"/>
          <w:b/>
        </w:rPr>
        <w:t xml:space="preserve"> </w:t>
      </w:r>
    </w:p>
    <w:p w:rsidR="003532F0" w:rsidRDefault="003532F0" w:rsidP="00B85339">
      <w:pPr>
        <w:pStyle w:val="Body"/>
        <w:jc w:val="both"/>
        <w:rPr>
          <w:rFonts w:ascii="Calibri" w:hAnsi="Calibri"/>
        </w:rPr>
      </w:pPr>
    </w:p>
    <w:p w:rsidR="000E100D" w:rsidRDefault="006B143F" w:rsidP="00B85339">
      <w:pPr>
        <w:pStyle w:val="Body"/>
        <w:jc w:val="both"/>
        <w:rPr>
          <w:rFonts w:ascii="Calibri" w:hAnsi="Calibri"/>
        </w:rPr>
      </w:pPr>
      <w:proofErr w:type="spellStart"/>
      <w:r>
        <w:rPr>
          <w:rFonts w:ascii="Calibri" w:hAnsi="Calibri"/>
        </w:rPr>
        <w:t>Mr</w:t>
      </w:r>
      <w:proofErr w:type="spellEnd"/>
      <w:r>
        <w:rPr>
          <w:rFonts w:ascii="Calibri" w:hAnsi="Calibri"/>
        </w:rPr>
        <w:t xml:space="preserve"> Jeffries said t</w:t>
      </w:r>
      <w:r w:rsidR="000053A5">
        <w:rPr>
          <w:rFonts w:ascii="Calibri" w:hAnsi="Calibri"/>
        </w:rPr>
        <w:t xml:space="preserve">he </w:t>
      </w:r>
      <w:r w:rsidR="000E100D">
        <w:rPr>
          <w:rFonts w:ascii="Calibri" w:hAnsi="Calibri"/>
        </w:rPr>
        <w:t xml:space="preserve">Auckland </w:t>
      </w:r>
      <w:r w:rsidR="000053A5">
        <w:rPr>
          <w:rFonts w:ascii="Calibri" w:hAnsi="Calibri"/>
        </w:rPr>
        <w:t xml:space="preserve">apartment market </w:t>
      </w:r>
      <w:r w:rsidR="00FB3B59">
        <w:rPr>
          <w:rFonts w:ascii="Calibri" w:hAnsi="Calibri"/>
        </w:rPr>
        <w:t>continue</w:t>
      </w:r>
      <w:r w:rsidR="00902FEC">
        <w:rPr>
          <w:rFonts w:ascii="Calibri" w:hAnsi="Calibri"/>
        </w:rPr>
        <w:t>d</w:t>
      </w:r>
      <w:r w:rsidR="00FB3B59">
        <w:rPr>
          <w:rFonts w:ascii="Calibri" w:hAnsi="Calibri"/>
        </w:rPr>
        <w:t xml:space="preserve"> to </w:t>
      </w:r>
      <w:r w:rsidR="00902FEC">
        <w:rPr>
          <w:rFonts w:ascii="Calibri" w:hAnsi="Calibri"/>
        </w:rPr>
        <w:t>“</w:t>
      </w:r>
      <w:r w:rsidR="00FB3B59">
        <w:rPr>
          <w:rFonts w:ascii="Calibri" w:hAnsi="Calibri"/>
        </w:rPr>
        <w:t xml:space="preserve">power </w:t>
      </w:r>
      <w:r w:rsidR="00902FEC">
        <w:rPr>
          <w:rFonts w:ascii="Calibri" w:hAnsi="Calibri"/>
        </w:rPr>
        <w:t>on”</w:t>
      </w:r>
      <w:r w:rsidR="00060E74">
        <w:rPr>
          <w:rFonts w:ascii="Calibri" w:hAnsi="Calibri"/>
        </w:rPr>
        <w:t>,</w:t>
      </w:r>
      <w:r w:rsidR="00FB3B59">
        <w:rPr>
          <w:rFonts w:ascii="Calibri" w:hAnsi="Calibri"/>
        </w:rPr>
        <w:t xml:space="preserve"> reflective of a strong supply pipeline of new apartments </w:t>
      </w:r>
      <w:r w:rsidR="00060E74">
        <w:rPr>
          <w:rFonts w:ascii="Calibri" w:hAnsi="Calibri"/>
        </w:rPr>
        <w:t xml:space="preserve">matched to a </w:t>
      </w:r>
      <w:r w:rsidR="00FB3B59">
        <w:rPr>
          <w:rFonts w:ascii="Calibri" w:hAnsi="Calibri"/>
        </w:rPr>
        <w:t>healthy demand.</w:t>
      </w:r>
    </w:p>
    <w:p w:rsidR="00ED1637" w:rsidRDefault="00ED1637" w:rsidP="00B85339">
      <w:pPr>
        <w:pStyle w:val="Body"/>
        <w:jc w:val="both"/>
        <w:rPr>
          <w:rFonts w:ascii="Calibri" w:hAnsi="Calibri"/>
        </w:rPr>
      </w:pPr>
    </w:p>
    <w:p w:rsidR="008216C3" w:rsidRDefault="00FB3B59" w:rsidP="00FB3B59">
      <w:pPr>
        <w:pStyle w:val="Body"/>
        <w:jc w:val="both"/>
        <w:rPr>
          <w:rFonts w:ascii="Calibri" w:hAnsi="Calibri"/>
          <w:lang w:val="en-GB"/>
        </w:rPr>
      </w:pPr>
      <w:r>
        <w:rPr>
          <w:rFonts w:ascii="Calibri" w:hAnsi="Calibri"/>
          <w:lang w:val="en-GB"/>
        </w:rPr>
        <w:t xml:space="preserve">The price expectation </w:t>
      </w:r>
      <w:r w:rsidR="00902FEC">
        <w:rPr>
          <w:rFonts w:ascii="Calibri" w:hAnsi="Calibri"/>
          <w:lang w:val="en-GB"/>
        </w:rPr>
        <w:t xml:space="preserve">for an </w:t>
      </w:r>
      <w:r>
        <w:rPr>
          <w:rFonts w:ascii="Calibri" w:hAnsi="Calibri"/>
          <w:lang w:val="en-GB"/>
        </w:rPr>
        <w:t xml:space="preserve">apartment in </w:t>
      </w:r>
      <w:r w:rsidRPr="00FB3B59">
        <w:rPr>
          <w:rFonts w:ascii="Calibri" w:hAnsi="Calibri"/>
          <w:lang w:val="en-GB"/>
        </w:rPr>
        <w:t xml:space="preserve">Auckland </w:t>
      </w:r>
      <w:r>
        <w:rPr>
          <w:rFonts w:ascii="Calibri" w:hAnsi="Calibri"/>
          <w:lang w:val="en-GB"/>
        </w:rPr>
        <w:t xml:space="preserve">rose by </w:t>
      </w:r>
      <w:r w:rsidRPr="00FB3B59">
        <w:rPr>
          <w:rFonts w:ascii="Calibri" w:hAnsi="Calibri"/>
          <w:lang w:val="en-GB"/>
        </w:rPr>
        <w:t>19</w:t>
      </w:r>
      <w:r>
        <w:rPr>
          <w:rFonts w:ascii="Calibri" w:hAnsi="Calibri"/>
          <w:lang w:val="en-GB"/>
        </w:rPr>
        <w:t xml:space="preserve"> per cent over the past year</w:t>
      </w:r>
      <w:r w:rsidRPr="00FB3B59">
        <w:rPr>
          <w:rFonts w:ascii="Calibri" w:hAnsi="Calibri"/>
          <w:lang w:val="en-GB"/>
        </w:rPr>
        <w:t xml:space="preserve">, </w:t>
      </w:r>
      <w:r w:rsidR="00902FEC">
        <w:rPr>
          <w:rFonts w:ascii="Calibri" w:hAnsi="Calibri"/>
          <w:lang w:val="en-GB"/>
        </w:rPr>
        <w:t xml:space="preserve">up </w:t>
      </w:r>
      <w:r w:rsidRPr="00FB3B59">
        <w:rPr>
          <w:rFonts w:ascii="Calibri" w:hAnsi="Calibri"/>
          <w:lang w:val="en-GB"/>
        </w:rPr>
        <w:t>$74</w:t>
      </w:r>
      <w:r>
        <w:rPr>
          <w:rFonts w:ascii="Calibri" w:hAnsi="Calibri"/>
          <w:lang w:val="en-GB"/>
        </w:rPr>
        <w:t>,</w:t>
      </w:r>
      <w:r w:rsidRPr="00FB3B59">
        <w:rPr>
          <w:rFonts w:ascii="Calibri" w:hAnsi="Calibri"/>
          <w:lang w:val="en-GB"/>
        </w:rPr>
        <w:t xml:space="preserve">100 </w:t>
      </w:r>
      <w:r>
        <w:rPr>
          <w:rFonts w:ascii="Calibri" w:hAnsi="Calibri"/>
          <w:lang w:val="en-GB"/>
        </w:rPr>
        <w:t xml:space="preserve">to </w:t>
      </w:r>
      <w:r w:rsidR="00060E74">
        <w:rPr>
          <w:rFonts w:ascii="Calibri" w:hAnsi="Calibri"/>
          <w:lang w:val="en-GB"/>
        </w:rPr>
        <w:t>a</w:t>
      </w:r>
      <w:r>
        <w:rPr>
          <w:rFonts w:ascii="Calibri" w:hAnsi="Calibri"/>
          <w:lang w:val="en-GB"/>
        </w:rPr>
        <w:t xml:space="preserve"> new record level of $464,800. </w:t>
      </w:r>
      <w:r w:rsidR="008216C3">
        <w:rPr>
          <w:rFonts w:ascii="Calibri" w:hAnsi="Calibri"/>
          <w:lang w:val="en-GB"/>
        </w:rPr>
        <w:t xml:space="preserve">Over the past two </w:t>
      </w:r>
      <w:r>
        <w:rPr>
          <w:rFonts w:ascii="Calibri" w:hAnsi="Calibri"/>
          <w:lang w:val="en-GB"/>
        </w:rPr>
        <w:t>years the ask</w:t>
      </w:r>
      <w:r w:rsidRPr="00FB3B59">
        <w:rPr>
          <w:rFonts w:ascii="Calibri" w:hAnsi="Calibri"/>
          <w:lang w:val="en-GB"/>
        </w:rPr>
        <w:t>in</w:t>
      </w:r>
      <w:r>
        <w:rPr>
          <w:rFonts w:ascii="Calibri" w:hAnsi="Calibri"/>
          <w:lang w:val="en-GB"/>
        </w:rPr>
        <w:t xml:space="preserve">g price of </w:t>
      </w:r>
      <w:r w:rsidR="008216C3">
        <w:rPr>
          <w:rFonts w:ascii="Calibri" w:hAnsi="Calibri"/>
          <w:lang w:val="en-GB"/>
        </w:rPr>
        <w:t xml:space="preserve">an </w:t>
      </w:r>
      <w:r>
        <w:rPr>
          <w:rFonts w:ascii="Calibri" w:hAnsi="Calibri"/>
          <w:lang w:val="en-GB"/>
        </w:rPr>
        <w:t>apartment ha</w:t>
      </w:r>
      <w:r w:rsidR="008216C3">
        <w:rPr>
          <w:rFonts w:ascii="Calibri" w:hAnsi="Calibri"/>
          <w:lang w:val="en-GB"/>
        </w:rPr>
        <w:t>s</w:t>
      </w:r>
      <w:r>
        <w:rPr>
          <w:rFonts w:ascii="Calibri" w:hAnsi="Calibri"/>
          <w:lang w:val="en-GB"/>
        </w:rPr>
        <w:t xml:space="preserve"> risen by </w:t>
      </w:r>
      <w:r w:rsidRPr="00FB3B59">
        <w:rPr>
          <w:rFonts w:ascii="Calibri" w:hAnsi="Calibri"/>
          <w:lang w:val="en-GB"/>
        </w:rPr>
        <w:t>$136,200</w:t>
      </w:r>
      <w:r w:rsidR="008216C3">
        <w:rPr>
          <w:rFonts w:ascii="Calibri" w:hAnsi="Calibri"/>
          <w:lang w:val="en-GB"/>
        </w:rPr>
        <w:t xml:space="preserve">, or </w:t>
      </w:r>
      <w:r w:rsidRPr="00FB3B59">
        <w:rPr>
          <w:rFonts w:ascii="Calibri" w:hAnsi="Calibri"/>
          <w:lang w:val="en-GB"/>
        </w:rPr>
        <w:t>41</w:t>
      </w:r>
      <w:r w:rsidR="00D0543A">
        <w:rPr>
          <w:rFonts w:ascii="Calibri" w:hAnsi="Calibri"/>
          <w:lang w:val="en-GB"/>
        </w:rPr>
        <w:t xml:space="preserve"> per cent. Th</w:t>
      </w:r>
      <w:r w:rsidR="008216C3">
        <w:rPr>
          <w:rFonts w:ascii="Calibri" w:hAnsi="Calibri"/>
          <w:lang w:val="en-GB"/>
        </w:rPr>
        <w:t xml:space="preserve">is </w:t>
      </w:r>
      <w:r w:rsidR="00D0543A">
        <w:rPr>
          <w:rFonts w:ascii="Calibri" w:hAnsi="Calibri"/>
          <w:lang w:val="en-GB"/>
        </w:rPr>
        <w:t xml:space="preserve">computes to an average </w:t>
      </w:r>
      <w:r w:rsidR="00391A55">
        <w:rPr>
          <w:rFonts w:ascii="Calibri" w:hAnsi="Calibri"/>
          <w:lang w:val="en-GB"/>
        </w:rPr>
        <w:t xml:space="preserve">rise of </w:t>
      </w:r>
      <w:r w:rsidR="008216C3">
        <w:rPr>
          <w:rFonts w:ascii="Calibri" w:hAnsi="Calibri"/>
          <w:lang w:val="en-GB"/>
        </w:rPr>
        <w:t xml:space="preserve">more than </w:t>
      </w:r>
      <w:r w:rsidR="00391A55">
        <w:rPr>
          <w:rFonts w:ascii="Calibri" w:hAnsi="Calibri"/>
          <w:lang w:val="en-GB"/>
        </w:rPr>
        <w:t xml:space="preserve">$1,300 </w:t>
      </w:r>
      <w:r w:rsidR="008216C3">
        <w:rPr>
          <w:rFonts w:ascii="Calibri" w:hAnsi="Calibri"/>
          <w:lang w:val="en-GB"/>
        </w:rPr>
        <w:t>per</w:t>
      </w:r>
      <w:r w:rsidR="00391A55">
        <w:rPr>
          <w:rFonts w:ascii="Calibri" w:hAnsi="Calibri"/>
          <w:lang w:val="en-GB"/>
        </w:rPr>
        <w:t xml:space="preserve"> week</w:t>
      </w:r>
      <w:r w:rsidR="008216C3">
        <w:rPr>
          <w:rFonts w:ascii="Calibri" w:hAnsi="Calibri"/>
          <w:lang w:val="en-GB"/>
        </w:rPr>
        <w:t>.</w:t>
      </w:r>
    </w:p>
    <w:p w:rsidR="008216C3" w:rsidRDefault="008216C3" w:rsidP="00FB3B59">
      <w:pPr>
        <w:pStyle w:val="Body"/>
        <w:jc w:val="both"/>
        <w:rPr>
          <w:rFonts w:ascii="Calibri" w:hAnsi="Calibri"/>
          <w:lang w:val="en-GB"/>
        </w:rPr>
      </w:pPr>
    </w:p>
    <w:p w:rsidR="00FB3B59" w:rsidRPr="00FB3B59" w:rsidRDefault="008216C3" w:rsidP="00FB3B59">
      <w:pPr>
        <w:pStyle w:val="Body"/>
        <w:jc w:val="both"/>
        <w:rPr>
          <w:rFonts w:ascii="Calibri" w:hAnsi="Calibri"/>
          <w:lang w:val="en-GB"/>
        </w:rPr>
      </w:pPr>
      <w:r>
        <w:rPr>
          <w:rFonts w:ascii="Calibri" w:hAnsi="Calibri"/>
          <w:lang w:val="en-GB"/>
        </w:rPr>
        <w:t xml:space="preserve">Mr Jeffries said that </w:t>
      </w:r>
      <w:r w:rsidR="00D0543A">
        <w:rPr>
          <w:rFonts w:ascii="Calibri" w:hAnsi="Calibri"/>
          <w:lang w:val="en-GB"/>
        </w:rPr>
        <w:t xml:space="preserve">with </w:t>
      </w:r>
      <w:r>
        <w:rPr>
          <w:rFonts w:ascii="Calibri" w:hAnsi="Calibri"/>
          <w:lang w:val="en-GB"/>
        </w:rPr>
        <w:t xml:space="preserve">median </w:t>
      </w:r>
      <w:r w:rsidR="00D0543A">
        <w:rPr>
          <w:rFonts w:ascii="Calibri" w:hAnsi="Calibri"/>
          <w:lang w:val="en-GB"/>
        </w:rPr>
        <w:t xml:space="preserve">rents for Auckland apartments at </w:t>
      </w:r>
      <w:r w:rsidR="00FB3B59" w:rsidRPr="00FB3B59">
        <w:rPr>
          <w:rFonts w:ascii="Calibri" w:hAnsi="Calibri"/>
          <w:lang w:val="en-GB"/>
        </w:rPr>
        <w:t>$440</w:t>
      </w:r>
      <w:r>
        <w:rPr>
          <w:rFonts w:ascii="Calibri" w:hAnsi="Calibri"/>
          <w:lang w:val="en-GB"/>
        </w:rPr>
        <w:t xml:space="preserve"> per week,</w:t>
      </w:r>
      <w:r w:rsidR="00FB3B59" w:rsidRPr="00FB3B59">
        <w:rPr>
          <w:rFonts w:ascii="Calibri" w:hAnsi="Calibri"/>
          <w:lang w:val="en-GB"/>
        </w:rPr>
        <w:t xml:space="preserve"> landlords are seeing </w:t>
      </w:r>
      <w:r>
        <w:rPr>
          <w:rFonts w:ascii="Calibri" w:hAnsi="Calibri"/>
          <w:lang w:val="en-GB"/>
        </w:rPr>
        <w:t xml:space="preserve">notional capital gains at triple the rate of </w:t>
      </w:r>
      <w:r w:rsidR="00FB3B59" w:rsidRPr="00FB3B59">
        <w:rPr>
          <w:rFonts w:ascii="Calibri" w:hAnsi="Calibri"/>
          <w:lang w:val="en-GB"/>
        </w:rPr>
        <w:t>rent</w:t>
      </w:r>
      <w:r w:rsidR="00D0543A">
        <w:rPr>
          <w:rFonts w:ascii="Calibri" w:hAnsi="Calibri"/>
          <w:lang w:val="en-GB"/>
        </w:rPr>
        <w:t>al income.</w:t>
      </w:r>
    </w:p>
    <w:p w:rsidR="006A09E2" w:rsidRDefault="006A09E2" w:rsidP="006A09E2">
      <w:pPr>
        <w:pStyle w:val="Body"/>
        <w:jc w:val="both"/>
        <w:rPr>
          <w:rFonts w:ascii="Calibri" w:hAnsi="Calibri"/>
        </w:rPr>
      </w:pPr>
    </w:p>
    <w:p w:rsidR="006A09E2" w:rsidRDefault="008216C3" w:rsidP="006A09E2">
      <w:pPr>
        <w:pStyle w:val="Body"/>
        <w:jc w:val="both"/>
        <w:rPr>
          <w:rFonts w:ascii="Calibri" w:hAnsi="Calibri"/>
        </w:rPr>
      </w:pPr>
      <w:r>
        <w:rPr>
          <w:rFonts w:ascii="Calibri" w:hAnsi="Calibri"/>
        </w:rPr>
        <w:t>Average asking prices for t</w:t>
      </w:r>
      <w:r w:rsidR="006A09E2">
        <w:rPr>
          <w:rFonts w:ascii="Calibri" w:hAnsi="Calibri"/>
        </w:rPr>
        <w:t>ownhouse</w:t>
      </w:r>
      <w:r w:rsidR="006B143F">
        <w:rPr>
          <w:rFonts w:ascii="Calibri" w:hAnsi="Calibri"/>
        </w:rPr>
        <w:t>s</w:t>
      </w:r>
      <w:r w:rsidR="006A09E2">
        <w:rPr>
          <w:rFonts w:ascii="Calibri" w:hAnsi="Calibri"/>
        </w:rPr>
        <w:t xml:space="preserve"> </w:t>
      </w:r>
      <w:r w:rsidR="00D0543A">
        <w:rPr>
          <w:rFonts w:ascii="Calibri" w:hAnsi="Calibri"/>
        </w:rPr>
        <w:t xml:space="preserve">rose </w:t>
      </w:r>
      <w:r w:rsidR="00B00D82">
        <w:rPr>
          <w:rFonts w:ascii="Calibri" w:hAnsi="Calibri"/>
        </w:rPr>
        <w:t xml:space="preserve">14 per cent in Wellington, well ahead of the </w:t>
      </w:r>
      <w:r>
        <w:rPr>
          <w:rFonts w:ascii="Calibri" w:hAnsi="Calibri"/>
        </w:rPr>
        <w:t xml:space="preserve">modest </w:t>
      </w:r>
      <w:r w:rsidR="00B00D82">
        <w:rPr>
          <w:rFonts w:ascii="Calibri" w:hAnsi="Calibri"/>
        </w:rPr>
        <w:t xml:space="preserve">overall Wellington </w:t>
      </w:r>
      <w:r>
        <w:rPr>
          <w:rFonts w:ascii="Calibri" w:hAnsi="Calibri"/>
        </w:rPr>
        <w:t xml:space="preserve">increase of just over </w:t>
      </w:r>
      <w:r w:rsidR="00B00D82">
        <w:rPr>
          <w:rFonts w:ascii="Calibri" w:hAnsi="Calibri"/>
        </w:rPr>
        <w:t>4</w:t>
      </w:r>
      <w:r>
        <w:rPr>
          <w:rFonts w:ascii="Calibri" w:hAnsi="Calibri"/>
        </w:rPr>
        <w:t xml:space="preserve"> per cent. </w:t>
      </w:r>
    </w:p>
    <w:p w:rsidR="000053A5" w:rsidRDefault="000053A5" w:rsidP="005D4B58">
      <w:pPr>
        <w:rPr>
          <w:rFonts w:ascii="Calibri" w:hAnsi="Calibri"/>
        </w:rPr>
      </w:pPr>
    </w:p>
    <w:p w:rsidR="005C21AC" w:rsidRPr="0040184F" w:rsidRDefault="005C21AC" w:rsidP="005C21AC">
      <w:pPr>
        <w:pStyle w:val="Body"/>
        <w:rPr>
          <w:rFonts w:ascii="Calibri" w:hAnsi="Calibri"/>
          <w:i/>
          <w:sz w:val="20"/>
          <w:szCs w:val="20"/>
        </w:rPr>
      </w:pPr>
    </w:p>
    <w:p w:rsidR="005C21AC" w:rsidRPr="0040184F" w:rsidRDefault="005C21AC" w:rsidP="005C21AC">
      <w:pPr>
        <w:pStyle w:val="Body"/>
        <w:rPr>
          <w:rFonts w:ascii="Calibri" w:hAnsi="Calibri"/>
          <w:i/>
          <w:sz w:val="20"/>
          <w:szCs w:val="20"/>
        </w:rPr>
      </w:pPr>
      <w:r w:rsidRPr="0040184F">
        <w:rPr>
          <w:rFonts w:ascii="Calibri" w:hAnsi="Calibri"/>
          <w:i/>
          <w:sz w:val="20"/>
          <w:szCs w:val="20"/>
        </w:rPr>
        <w:t xml:space="preserve">Table </w:t>
      </w:r>
      <w:r>
        <w:rPr>
          <w:rFonts w:ascii="Calibri" w:hAnsi="Calibri"/>
          <w:i/>
          <w:sz w:val="20"/>
          <w:szCs w:val="20"/>
        </w:rPr>
        <w:t>2</w:t>
      </w:r>
      <w:r w:rsidRPr="0040184F">
        <w:rPr>
          <w:rFonts w:ascii="Calibri" w:hAnsi="Calibri"/>
          <w:i/>
          <w:sz w:val="20"/>
          <w:szCs w:val="20"/>
        </w:rPr>
        <w:t xml:space="preserve">: </w:t>
      </w:r>
      <w:r>
        <w:rPr>
          <w:rFonts w:ascii="Calibri" w:hAnsi="Calibri"/>
          <w:i/>
          <w:sz w:val="20"/>
          <w:szCs w:val="20"/>
        </w:rPr>
        <w:t>Truncated mean expected sales price</w:t>
      </w:r>
      <w:r w:rsidRPr="0040184F">
        <w:rPr>
          <w:rFonts w:ascii="Calibri" w:hAnsi="Calibri"/>
          <w:i/>
          <w:sz w:val="20"/>
          <w:szCs w:val="20"/>
        </w:rPr>
        <w:t xml:space="preserve"> by property type &amp; region</w:t>
      </w:r>
    </w:p>
    <w:p w:rsidR="005C21AC" w:rsidRPr="0040184F" w:rsidRDefault="005C21AC" w:rsidP="005C21AC">
      <w:pPr>
        <w:pStyle w:val="Body"/>
        <w:rPr>
          <w:rFonts w:ascii="Calibri" w:hAnsi="Calibri"/>
          <w:i/>
          <w:sz w:val="20"/>
          <w:szCs w:val="20"/>
        </w:rPr>
      </w:pPr>
    </w:p>
    <w:tbl>
      <w:tblPr>
        <w:tblStyle w:val="LightShading-Accent1"/>
        <w:tblW w:w="0" w:type="auto"/>
        <w:tblCellSpacing w:w="57" w:type="dxa"/>
        <w:tblCellMar>
          <w:top w:w="115" w:type="dxa"/>
          <w:left w:w="115" w:type="dxa"/>
          <w:bottom w:w="115" w:type="dxa"/>
          <w:right w:w="115" w:type="dxa"/>
        </w:tblCellMar>
        <w:tblLook w:val="04A0" w:firstRow="1" w:lastRow="0" w:firstColumn="1" w:lastColumn="0" w:noHBand="0" w:noVBand="1"/>
      </w:tblPr>
      <w:tblGrid>
        <w:gridCol w:w="1974"/>
        <w:gridCol w:w="1874"/>
        <w:gridCol w:w="1889"/>
        <w:gridCol w:w="1907"/>
        <w:gridCol w:w="1994"/>
      </w:tblGrid>
      <w:tr w:rsidR="005C21AC" w:rsidRPr="0040184F" w:rsidTr="00B56A6E">
        <w:trPr>
          <w:cnfStyle w:val="100000000000" w:firstRow="1" w:lastRow="0" w:firstColumn="0" w:lastColumn="0" w:oddVBand="0" w:evenVBand="0" w:oddHBand="0" w:evenHBand="0" w:firstRowFirstColumn="0" w:firstRowLastColumn="0" w:lastRowFirstColumn="0" w:lastRowLastColumn="0"/>
          <w:tblCellSpacing w:w="57" w:type="dxa"/>
        </w:trPr>
        <w:tc>
          <w:tcPr>
            <w:cnfStyle w:val="001000000000" w:firstRow="0" w:lastRow="0" w:firstColumn="1" w:lastColumn="0" w:oddVBand="0" w:evenVBand="0" w:oddHBand="0" w:evenHBand="0" w:firstRowFirstColumn="0" w:firstRowLastColumn="0" w:lastRowFirstColumn="0" w:lastRowLastColumn="0"/>
            <w:tcW w:w="1876" w:type="dxa"/>
            <w:shd w:val="clear" w:color="auto" w:fill="auto"/>
          </w:tcPr>
          <w:p w:rsidR="005C21AC" w:rsidRPr="0040184F" w:rsidRDefault="005C21AC" w:rsidP="005C21A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sz w:val="20"/>
                <w:szCs w:val="20"/>
              </w:rPr>
            </w:pPr>
          </w:p>
        </w:tc>
        <w:tc>
          <w:tcPr>
            <w:tcW w:w="1868" w:type="dxa"/>
            <w:shd w:val="clear" w:color="auto" w:fill="E5E5E5" w:themeFill="background2" w:themeFillTint="66"/>
          </w:tcPr>
          <w:p w:rsidR="005C21AC" w:rsidRPr="0040184F" w:rsidRDefault="005C21AC" w:rsidP="005C21A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40184F">
              <w:rPr>
                <w:rFonts w:ascii="Calibri" w:hAnsi="Calibri"/>
                <w:sz w:val="20"/>
                <w:szCs w:val="20"/>
              </w:rPr>
              <w:t>New Zealand</w:t>
            </w:r>
          </w:p>
        </w:tc>
        <w:tc>
          <w:tcPr>
            <w:tcW w:w="1884" w:type="dxa"/>
            <w:shd w:val="clear" w:color="auto" w:fill="E5E5E5" w:themeFill="background2" w:themeFillTint="66"/>
          </w:tcPr>
          <w:p w:rsidR="005C21AC" w:rsidRPr="0040184F" w:rsidRDefault="005C21AC" w:rsidP="005C21A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40184F">
              <w:rPr>
                <w:rFonts w:ascii="Calibri" w:hAnsi="Calibri"/>
                <w:sz w:val="20"/>
                <w:szCs w:val="20"/>
              </w:rPr>
              <w:t>Auckland</w:t>
            </w:r>
          </w:p>
        </w:tc>
        <w:tc>
          <w:tcPr>
            <w:tcW w:w="1884" w:type="dxa"/>
            <w:shd w:val="clear" w:color="auto" w:fill="E5E5E5" w:themeFill="background2" w:themeFillTint="66"/>
          </w:tcPr>
          <w:p w:rsidR="005C21AC" w:rsidRPr="0040184F" w:rsidRDefault="005C21AC" w:rsidP="005C21A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40184F">
              <w:rPr>
                <w:rFonts w:ascii="Calibri" w:hAnsi="Calibri"/>
                <w:sz w:val="20"/>
                <w:szCs w:val="20"/>
              </w:rPr>
              <w:t>Wellington</w:t>
            </w:r>
          </w:p>
        </w:tc>
        <w:tc>
          <w:tcPr>
            <w:tcW w:w="1900" w:type="dxa"/>
            <w:shd w:val="clear" w:color="auto" w:fill="E5E5E5" w:themeFill="background2" w:themeFillTint="66"/>
          </w:tcPr>
          <w:p w:rsidR="005C21AC" w:rsidRPr="0040184F" w:rsidRDefault="005C21AC" w:rsidP="005C21A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40184F">
              <w:rPr>
                <w:rFonts w:ascii="Calibri" w:hAnsi="Calibri"/>
                <w:sz w:val="20"/>
                <w:szCs w:val="20"/>
              </w:rPr>
              <w:t>Christchurch</w:t>
            </w:r>
          </w:p>
        </w:tc>
      </w:tr>
      <w:tr w:rsidR="005C21AC" w:rsidRPr="0040184F" w:rsidTr="00B56A6E">
        <w:trPr>
          <w:cnfStyle w:val="000000100000" w:firstRow="0" w:lastRow="0" w:firstColumn="0" w:lastColumn="0" w:oddVBand="0" w:evenVBand="0" w:oddHBand="1" w:evenHBand="0" w:firstRowFirstColumn="0" w:firstRowLastColumn="0" w:lastRowFirstColumn="0" w:lastRowLastColumn="0"/>
          <w:tblCellSpacing w:w="57" w:type="dxa"/>
        </w:trPr>
        <w:tc>
          <w:tcPr>
            <w:cnfStyle w:val="001000000000" w:firstRow="0" w:lastRow="0" w:firstColumn="1" w:lastColumn="0" w:oddVBand="0" w:evenVBand="0" w:oddHBand="0" w:evenHBand="0" w:firstRowFirstColumn="0" w:firstRowLastColumn="0" w:lastRowFirstColumn="0" w:lastRowLastColumn="0"/>
            <w:tcW w:w="1876" w:type="dxa"/>
            <w:shd w:val="clear" w:color="auto" w:fill="E5E5E5" w:themeFill="background2" w:themeFillTint="66"/>
          </w:tcPr>
          <w:p w:rsidR="005C21AC" w:rsidRPr="0040184F" w:rsidRDefault="005C21AC" w:rsidP="005C21A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sz w:val="20"/>
                <w:szCs w:val="20"/>
              </w:rPr>
            </w:pPr>
            <w:r w:rsidRPr="0040184F">
              <w:rPr>
                <w:rFonts w:ascii="Calibri" w:hAnsi="Calibri"/>
                <w:sz w:val="20"/>
                <w:szCs w:val="20"/>
              </w:rPr>
              <w:t>Apartments</w:t>
            </w:r>
          </w:p>
        </w:tc>
        <w:tc>
          <w:tcPr>
            <w:tcW w:w="1868" w:type="dxa"/>
            <w:shd w:val="clear" w:color="auto" w:fill="auto"/>
          </w:tcPr>
          <w:p w:rsidR="005C21AC" w:rsidRPr="0040184F" w:rsidRDefault="00EA4001" w:rsidP="005C21A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$459,050</w:t>
            </w:r>
            <w:r>
              <w:rPr>
                <w:rFonts w:ascii="Calibri" w:hAnsi="Calibri"/>
                <w:sz w:val="20"/>
                <w:szCs w:val="20"/>
              </w:rPr>
              <w:br/>
              <w:t>+ 16.0</w:t>
            </w:r>
            <w:r w:rsidR="005C21AC" w:rsidRPr="0040184F">
              <w:rPr>
                <w:rFonts w:ascii="Calibri" w:hAnsi="Calibri"/>
                <w:sz w:val="20"/>
                <w:szCs w:val="20"/>
              </w:rPr>
              <w:t>%</w:t>
            </w:r>
          </w:p>
        </w:tc>
        <w:tc>
          <w:tcPr>
            <w:tcW w:w="1884" w:type="dxa"/>
            <w:shd w:val="clear" w:color="auto" w:fill="auto"/>
          </w:tcPr>
          <w:p w:rsidR="005C21AC" w:rsidRPr="0040184F" w:rsidRDefault="00EA4001" w:rsidP="005C21A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$464,800</w:t>
            </w:r>
            <w:r>
              <w:rPr>
                <w:rFonts w:ascii="Calibri" w:hAnsi="Calibri"/>
                <w:sz w:val="20"/>
                <w:szCs w:val="20"/>
              </w:rPr>
              <w:br/>
              <w:t>+ 19.0</w:t>
            </w:r>
            <w:r w:rsidR="005C21AC" w:rsidRPr="0040184F">
              <w:rPr>
                <w:rFonts w:ascii="Calibri" w:hAnsi="Calibri"/>
                <w:sz w:val="20"/>
                <w:szCs w:val="20"/>
              </w:rPr>
              <w:t>%</w:t>
            </w:r>
          </w:p>
        </w:tc>
        <w:tc>
          <w:tcPr>
            <w:tcW w:w="1884" w:type="dxa"/>
            <w:shd w:val="clear" w:color="auto" w:fill="auto"/>
          </w:tcPr>
          <w:p w:rsidR="005C21AC" w:rsidRPr="0040184F" w:rsidRDefault="00952AAD" w:rsidP="005C21A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$437,650</w:t>
            </w:r>
            <w:r>
              <w:rPr>
                <w:rFonts w:ascii="Calibri" w:hAnsi="Calibri"/>
                <w:sz w:val="20"/>
                <w:szCs w:val="20"/>
              </w:rPr>
              <w:br/>
              <w:t>+ 13.0</w:t>
            </w:r>
            <w:r w:rsidR="005C21AC">
              <w:rPr>
                <w:rFonts w:ascii="Calibri" w:hAnsi="Calibri"/>
                <w:sz w:val="20"/>
                <w:szCs w:val="20"/>
              </w:rPr>
              <w:t>%</w:t>
            </w:r>
            <w:bookmarkStart w:id="0" w:name="_GoBack"/>
            <w:bookmarkEnd w:id="0"/>
          </w:p>
        </w:tc>
        <w:tc>
          <w:tcPr>
            <w:tcW w:w="1900" w:type="dxa"/>
            <w:shd w:val="clear" w:color="auto" w:fill="auto"/>
          </w:tcPr>
          <w:p w:rsidR="005C21AC" w:rsidRPr="0040184F" w:rsidRDefault="00EA4001" w:rsidP="0026207F">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alibri" w:hAnsi="Calibri"/>
                <w:color w:val="FF0000"/>
                <w:sz w:val="20"/>
                <w:szCs w:val="20"/>
              </w:rPr>
            </w:pPr>
            <w:r>
              <w:rPr>
                <w:rFonts w:ascii="Calibri" w:hAnsi="Calibri"/>
                <w:sz w:val="20"/>
                <w:szCs w:val="20"/>
              </w:rPr>
              <w:t>$461,750</w:t>
            </w:r>
            <w:r>
              <w:rPr>
                <w:rFonts w:ascii="Calibri" w:hAnsi="Calibri"/>
                <w:sz w:val="20"/>
                <w:szCs w:val="20"/>
              </w:rPr>
              <w:br/>
              <w:t>+ 20.5</w:t>
            </w:r>
            <w:r w:rsidR="005C21AC" w:rsidRPr="0040184F">
              <w:rPr>
                <w:rFonts w:ascii="Calibri" w:hAnsi="Calibri"/>
                <w:sz w:val="20"/>
                <w:szCs w:val="20"/>
              </w:rPr>
              <w:t>%</w:t>
            </w:r>
          </w:p>
        </w:tc>
      </w:tr>
      <w:tr w:rsidR="005C21AC" w:rsidRPr="0040184F" w:rsidTr="00B56A6E">
        <w:trPr>
          <w:tblCellSpacing w:w="57" w:type="dxa"/>
        </w:trPr>
        <w:tc>
          <w:tcPr>
            <w:cnfStyle w:val="001000000000" w:firstRow="0" w:lastRow="0" w:firstColumn="1" w:lastColumn="0" w:oddVBand="0" w:evenVBand="0" w:oddHBand="0" w:evenHBand="0" w:firstRowFirstColumn="0" w:firstRowLastColumn="0" w:lastRowFirstColumn="0" w:lastRowLastColumn="0"/>
            <w:tcW w:w="1876" w:type="dxa"/>
            <w:shd w:val="clear" w:color="auto" w:fill="E5E5E5" w:themeFill="background2" w:themeFillTint="66"/>
          </w:tcPr>
          <w:p w:rsidR="005C21AC" w:rsidRPr="0040184F" w:rsidRDefault="005C21AC" w:rsidP="005C21A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sz w:val="20"/>
                <w:szCs w:val="20"/>
              </w:rPr>
            </w:pPr>
            <w:r w:rsidRPr="0040184F">
              <w:rPr>
                <w:rFonts w:ascii="Calibri" w:hAnsi="Calibri"/>
                <w:sz w:val="20"/>
                <w:szCs w:val="20"/>
              </w:rPr>
              <w:t>Townhouses</w:t>
            </w:r>
          </w:p>
        </w:tc>
        <w:tc>
          <w:tcPr>
            <w:tcW w:w="1868" w:type="dxa"/>
            <w:shd w:val="clear" w:color="auto" w:fill="auto"/>
          </w:tcPr>
          <w:p w:rsidR="005C21AC" w:rsidRPr="0040184F" w:rsidRDefault="005C21AC" w:rsidP="005C21A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40184F">
              <w:rPr>
                <w:rFonts w:ascii="Calibri" w:hAnsi="Calibri"/>
                <w:sz w:val="20"/>
                <w:szCs w:val="20"/>
              </w:rPr>
              <w:t>$</w:t>
            </w:r>
            <w:r w:rsidR="00EA4001">
              <w:rPr>
                <w:rFonts w:ascii="Calibri" w:hAnsi="Calibri"/>
                <w:sz w:val="20"/>
                <w:szCs w:val="20"/>
              </w:rPr>
              <w:t>542,600</w:t>
            </w:r>
            <w:r w:rsidRPr="0040184F">
              <w:rPr>
                <w:rFonts w:ascii="Calibri" w:hAnsi="Calibri"/>
                <w:sz w:val="20"/>
                <w:szCs w:val="20"/>
              </w:rPr>
              <w:br/>
              <w:t xml:space="preserve">+ </w:t>
            </w:r>
            <w:r w:rsidR="00EA4001">
              <w:rPr>
                <w:rFonts w:ascii="Calibri" w:hAnsi="Calibri"/>
                <w:sz w:val="20"/>
                <w:szCs w:val="20"/>
              </w:rPr>
              <w:t>14.9</w:t>
            </w:r>
            <w:r w:rsidRPr="0040184F">
              <w:rPr>
                <w:rFonts w:ascii="Calibri" w:hAnsi="Calibri"/>
                <w:sz w:val="20"/>
                <w:szCs w:val="20"/>
              </w:rPr>
              <w:t>%</w:t>
            </w:r>
          </w:p>
        </w:tc>
        <w:tc>
          <w:tcPr>
            <w:tcW w:w="1884" w:type="dxa"/>
            <w:shd w:val="clear" w:color="auto" w:fill="auto"/>
          </w:tcPr>
          <w:p w:rsidR="005C21AC" w:rsidRPr="0040184F" w:rsidRDefault="005C21AC" w:rsidP="005C21A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40184F">
              <w:rPr>
                <w:rFonts w:ascii="Calibri" w:hAnsi="Calibri"/>
                <w:sz w:val="20"/>
                <w:szCs w:val="20"/>
              </w:rPr>
              <w:t>$</w:t>
            </w:r>
            <w:r w:rsidR="00EA4001">
              <w:rPr>
                <w:rFonts w:ascii="Calibri" w:hAnsi="Calibri"/>
                <w:sz w:val="20"/>
                <w:szCs w:val="20"/>
              </w:rPr>
              <w:t>741,600</w:t>
            </w:r>
            <w:r w:rsidRPr="0040184F">
              <w:rPr>
                <w:rFonts w:ascii="Calibri" w:hAnsi="Calibri"/>
                <w:sz w:val="20"/>
                <w:szCs w:val="20"/>
              </w:rPr>
              <w:br/>
              <w:t xml:space="preserve">+ </w:t>
            </w:r>
            <w:r w:rsidR="00EA4001">
              <w:rPr>
                <w:rFonts w:ascii="Calibri" w:hAnsi="Calibri"/>
                <w:sz w:val="20"/>
                <w:szCs w:val="20"/>
              </w:rPr>
              <w:t>21.9</w:t>
            </w:r>
            <w:r w:rsidRPr="0040184F">
              <w:rPr>
                <w:rFonts w:ascii="Calibri" w:hAnsi="Calibri"/>
                <w:sz w:val="20"/>
                <w:szCs w:val="20"/>
              </w:rPr>
              <w:t>%</w:t>
            </w:r>
          </w:p>
        </w:tc>
        <w:tc>
          <w:tcPr>
            <w:tcW w:w="1884" w:type="dxa"/>
            <w:shd w:val="clear" w:color="auto" w:fill="auto"/>
          </w:tcPr>
          <w:p w:rsidR="005C21AC" w:rsidRPr="0040184F" w:rsidRDefault="005C21AC" w:rsidP="005C21A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alibri" w:hAnsi="Calibri"/>
                <w:color w:val="auto"/>
                <w:sz w:val="20"/>
                <w:szCs w:val="20"/>
              </w:rPr>
            </w:pPr>
            <w:r w:rsidRPr="0040184F">
              <w:rPr>
                <w:rFonts w:ascii="Calibri" w:hAnsi="Calibri"/>
                <w:color w:val="auto"/>
                <w:sz w:val="20"/>
                <w:szCs w:val="20"/>
              </w:rPr>
              <w:t>$</w:t>
            </w:r>
            <w:r w:rsidR="00EA4001">
              <w:rPr>
                <w:rFonts w:ascii="Calibri" w:hAnsi="Calibri"/>
                <w:color w:val="auto"/>
                <w:sz w:val="20"/>
                <w:szCs w:val="20"/>
              </w:rPr>
              <w:t>409,100</w:t>
            </w:r>
            <w:r w:rsidRPr="0040184F">
              <w:rPr>
                <w:rFonts w:ascii="Calibri" w:hAnsi="Calibri"/>
                <w:color w:val="auto"/>
                <w:sz w:val="20"/>
                <w:szCs w:val="20"/>
              </w:rPr>
              <w:br/>
            </w:r>
            <w:r w:rsidR="00EA4001">
              <w:rPr>
                <w:rFonts w:ascii="Calibri" w:hAnsi="Calibri"/>
                <w:color w:val="auto"/>
                <w:sz w:val="20"/>
                <w:szCs w:val="20"/>
              </w:rPr>
              <w:t>+ 14.2</w:t>
            </w:r>
            <w:r w:rsidRPr="0040184F">
              <w:rPr>
                <w:rFonts w:ascii="Calibri" w:hAnsi="Calibri"/>
                <w:color w:val="auto"/>
                <w:sz w:val="20"/>
                <w:szCs w:val="20"/>
              </w:rPr>
              <w:t>%</w:t>
            </w:r>
          </w:p>
        </w:tc>
        <w:tc>
          <w:tcPr>
            <w:tcW w:w="1900" w:type="dxa"/>
            <w:shd w:val="clear" w:color="auto" w:fill="auto"/>
          </w:tcPr>
          <w:p w:rsidR="005C21AC" w:rsidRPr="0040184F" w:rsidRDefault="005C21AC" w:rsidP="0026207F">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40184F">
              <w:rPr>
                <w:rFonts w:ascii="Calibri" w:hAnsi="Calibri"/>
                <w:sz w:val="20"/>
                <w:szCs w:val="20"/>
              </w:rPr>
              <w:t>$</w:t>
            </w:r>
            <w:r w:rsidR="00EA4001">
              <w:rPr>
                <w:rFonts w:ascii="Calibri" w:hAnsi="Calibri"/>
                <w:sz w:val="20"/>
                <w:szCs w:val="20"/>
              </w:rPr>
              <w:t>431,350</w:t>
            </w:r>
            <w:r>
              <w:rPr>
                <w:rFonts w:ascii="Calibri" w:hAnsi="Calibri"/>
                <w:sz w:val="20"/>
                <w:szCs w:val="20"/>
              </w:rPr>
              <w:br/>
            </w:r>
            <w:r w:rsidR="00EA4001">
              <w:rPr>
                <w:rFonts w:ascii="Calibri" w:hAnsi="Calibri"/>
                <w:color w:val="auto"/>
                <w:sz w:val="20"/>
                <w:szCs w:val="20"/>
              </w:rPr>
              <w:t>+ 7.9</w:t>
            </w:r>
            <w:r w:rsidRPr="0026207F">
              <w:rPr>
                <w:rFonts w:ascii="Calibri" w:hAnsi="Calibri"/>
                <w:color w:val="auto"/>
                <w:sz w:val="20"/>
                <w:szCs w:val="20"/>
              </w:rPr>
              <w:t>%</w:t>
            </w:r>
          </w:p>
        </w:tc>
      </w:tr>
      <w:tr w:rsidR="005C21AC" w:rsidRPr="0040184F" w:rsidTr="00B56A6E">
        <w:trPr>
          <w:cnfStyle w:val="000000100000" w:firstRow="0" w:lastRow="0" w:firstColumn="0" w:lastColumn="0" w:oddVBand="0" w:evenVBand="0" w:oddHBand="1" w:evenHBand="0" w:firstRowFirstColumn="0" w:firstRowLastColumn="0" w:lastRowFirstColumn="0" w:lastRowLastColumn="0"/>
          <w:tblCellSpacing w:w="57" w:type="dxa"/>
        </w:trPr>
        <w:tc>
          <w:tcPr>
            <w:cnfStyle w:val="001000000000" w:firstRow="0" w:lastRow="0" w:firstColumn="1" w:lastColumn="0" w:oddVBand="0" w:evenVBand="0" w:oddHBand="0" w:evenHBand="0" w:firstRowFirstColumn="0" w:firstRowLastColumn="0" w:lastRowFirstColumn="0" w:lastRowLastColumn="0"/>
            <w:tcW w:w="1876" w:type="dxa"/>
            <w:shd w:val="clear" w:color="auto" w:fill="E5E5E5" w:themeFill="background2" w:themeFillTint="66"/>
          </w:tcPr>
          <w:p w:rsidR="005C21AC" w:rsidRPr="0040184F" w:rsidRDefault="005C21AC" w:rsidP="005C21A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sz w:val="20"/>
                <w:szCs w:val="20"/>
              </w:rPr>
            </w:pPr>
            <w:r w:rsidRPr="0040184F">
              <w:rPr>
                <w:rFonts w:ascii="Calibri" w:hAnsi="Calibri"/>
                <w:sz w:val="20"/>
                <w:szCs w:val="20"/>
              </w:rPr>
              <w:t>Units</w:t>
            </w:r>
          </w:p>
        </w:tc>
        <w:tc>
          <w:tcPr>
            <w:tcW w:w="1868" w:type="dxa"/>
            <w:shd w:val="clear" w:color="auto" w:fill="auto"/>
          </w:tcPr>
          <w:p w:rsidR="005C21AC" w:rsidRPr="0040184F" w:rsidRDefault="005C21AC" w:rsidP="005C21A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40184F">
              <w:rPr>
                <w:rFonts w:ascii="Calibri" w:hAnsi="Calibri"/>
                <w:sz w:val="20"/>
                <w:szCs w:val="20"/>
              </w:rPr>
              <w:t>$</w:t>
            </w:r>
            <w:r w:rsidR="00EA4001">
              <w:rPr>
                <w:rFonts w:ascii="Calibri" w:hAnsi="Calibri"/>
                <w:sz w:val="20"/>
                <w:szCs w:val="20"/>
              </w:rPr>
              <w:t>375,300</w:t>
            </w:r>
            <w:r w:rsidRPr="0040184F">
              <w:rPr>
                <w:rFonts w:ascii="Calibri" w:hAnsi="Calibri"/>
                <w:sz w:val="20"/>
                <w:szCs w:val="20"/>
              </w:rPr>
              <w:br/>
            </w:r>
            <w:r w:rsidR="00EA4001">
              <w:rPr>
                <w:rFonts w:ascii="Calibri" w:hAnsi="Calibri"/>
                <w:sz w:val="20"/>
                <w:szCs w:val="20"/>
              </w:rPr>
              <w:t>+ 12.8</w:t>
            </w:r>
            <w:r>
              <w:rPr>
                <w:rFonts w:ascii="Calibri" w:hAnsi="Calibri"/>
                <w:sz w:val="20"/>
                <w:szCs w:val="20"/>
              </w:rPr>
              <w:t>%</w:t>
            </w:r>
          </w:p>
        </w:tc>
        <w:tc>
          <w:tcPr>
            <w:tcW w:w="1884" w:type="dxa"/>
            <w:shd w:val="clear" w:color="auto" w:fill="auto"/>
          </w:tcPr>
          <w:p w:rsidR="005C21AC" w:rsidRPr="0040184F" w:rsidRDefault="005C21AC" w:rsidP="005C21A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40184F">
              <w:rPr>
                <w:rFonts w:ascii="Calibri" w:hAnsi="Calibri"/>
                <w:sz w:val="20"/>
                <w:szCs w:val="20"/>
              </w:rPr>
              <w:t>$</w:t>
            </w:r>
            <w:r w:rsidR="00EA4001">
              <w:rPr>
                <w:rFonts w:ascii="Calibri" w:hAnsi="Calibri"/>
                <w:sz w:val="20"/>
                <w:szCs w:val="20"/>
              </w:rPr>
              <w:t>481,600</w:t>
            </w:r>
            <w:r w:rsidRPr="0040184F">
              <w:rPr>
                <w:rFonts w:ascii="Calibri" w:hAnsi="Calibri"/>
                <w:sz w:val="20"/>
                <w:szCs w:val="20"/>
              </w:rPr>
              <w:br/>
              <w:t xml:space="preserve">+ </w:t>
            </w:r>
            <w:r w:rsidR="00EA4001">
              <w:rPr>
                <w:rFonts w:ascii="Calibri" w:hAnsi="Calibri"/>
                <w:sz w:val="20"/>
                <w:szCs w:val="20"/>
              </w:rPr>
              <w:t>13.2</w:t>
            </w:r>
            <w:r w:rsidRPr="0040184F">
              <w:rPr>
                <w:rFonts w:ascii="Calibri" w:hAnsi="Calibri"/>
                <w:sz w:val="20"/>
                <w:szCs w:val="20"/>
              </w:rPr>
              <w:t>%</w:t>
            </w:r>
            <w:r w:rsidRPr="0040184F">
              <w:rPr>
                <w:rFonts w:ascii="Calibri" w:hAnsi="Calibri"/>
                <w:sz w:val="20"/>
                <w:szCs w:val="20"/>
              </w:rPr>
              <w:tab/>
            </w:r>
          </w:p>
        </w:tc>
        <w:tc>
          <w:tcPr>
            <w:tcW w:w="1884" w:type="dxa"/>
            <w:shd w:val="clear" w:color="auto" w:fill="auto"/>
          </w:tcPr>
          <w:p w:rsidR="005C21AC" w:rsidRDefault="005C21AC" w:rsidP="005C21A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40184F">
              <w:rPr>
                <w:rFonts w:ascii="Calibri" w:hAnsi="Calibri"/>
                <w:sz w:val="20"/>
                <w:szCs w:val="20"/>
              </w:rPr>
              <w:t>$</w:t>
            </w:r>
            <w:r w:rsidR="00EA4001">
              <w:rPr>
                <w:rFonts w:ascii="Calibri" w:hAnsi="Calibri"/>
                <w:sz w:val="20"/>
                <w:szCs w:val="20"/>
              </w:rPr>
              <w:t>277,400</w:t>
            </w:r>
          </w:p>
          <w:p w:rsidR="005C21AC" w:rsidRPr="00B1116C" w:rsidRDefault="00EA4001" w:rsidP="005C21A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alibri" w:hAnsi="Calibri"/>
                <w:color w:val="auto"/>
                <w:sz w:val="20"/>
                <w:szCs w:val="20"/>
              </w:rPr>
            </w:pPr>
            <w:r>
              <w:rPr>
                <w:rFonts w:ascii="Calibri" w:hAnsi="Calibri"/>
                <w:color w:val="auto"/>
                <w:sz w:val="20"/>
                <w:szCs w:val="20"/>
              </w:rPr>
              <w:t>+ 2.2</w:t>
            </w:r>
            <w:r w:rsidR="00B1116C" w:rsidRPr="00B1116C">
              <w:rPr>
                <w:rFonts w:ascii="Calibri" w:hAnsi="Calibri"/>
                <w:color w:val="auto"/>
                <w:sz w:val="20"/>
                <w:szCs w:val="20"/>
              </w:rPr>
              <w:t>%</w:t>
            </w:r>
            <w:r w:rsidR="005C21AC" w:rsidRPr="00B1116C">
              <w:rPr>
                <w:rFonts w:ascii="Calibri" w:hAnsi="Calibri"/>
                <w:color w:val="auto"/>
                <w:sz w:val="20"/>
                <w:szCs w:val="20"/>
              </w:rPr>
              <w:tab/>
            </w:r>
          </w:p>
        </w:tc>
        <w:tc>
          <w:tcPr>
            <w:tcW w:w="1900" w:type="dxa"/>
            <w:shd w:val="clear" w:color="auto" w:fill="auto"/>
          </w:tcPr>
          <w:p w:rsidR="005C21AC" w:rsidRPr="0040184F" w:rsidRDefault="005C21AC" w:rsidP="005C21A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40184F">
              <w:rPr>
                <w:rFonts w:ascii="Calibri" w:hAnsi="Calibri"/>
                <w:sz w:val="20"/>
                <w:szCs w:val="20"/>
              </w:rPr>
              <w:t>$</w:t>
            </w:r>
            <w:r w:rsidR="00EA4001">
              <w:rPr>
                <w:rFonts w:ascii="Calibri" w:hAnsi="Calibri"/>
                <w:sz w:val="20"/>
                <w:szCs w:val="20"/>
              </w:rPr>
              <w:t>320,000</w:t>
            </w:r>
            <w:r w:rsidRPr="0040184F">
              <w:rPr>
                <w:rFonts w:ascii="Calibri" w:hAnsi="Calibri"/>
                <w:sz w:val="20"/>
                <w:szCs w:val="20"/>
              </w:rPr>
              <w:br/>
              <w:t xml:space="preserve">+ </w:t>
            </w:r>
            <w:r w:rsidR="00EA4001">
              <w:rPr>
                <w:rFonts w:ascii="Calibri" w:hAnsi="Calibri"/>
                <w:sz w:val="20"/>
                <w:szCs w:val="20"/>
              </w:rPr>
              <w:t>16.0</w:t>
            </w:r>
            <w:r w:rsidRPr="0040184F">
              <w:rPr>
                <w:rFonts w:ascii="Calibri" w:hAnsi="Calibri"/>
                <w:sz w:val="20"/>
                <w:szCs w:val="20"/>
              </w:rPr>
              <w:t>%</w:t>
            </w:r>
          </w:p>
        </w:tc>
      </w:tr>
      <w:tr w:rsidR="00EA4001" w:rsidRPr="005D4B58" w:rsidTr="00B56A6E">
        <w:trPr>
          <w:trHeight w:val="242"/>
          <w:tblCellSpacing w:w="57" w:type="dxa"/>
        </w:trPr>
        <w:tc>
          <w:tcPr>
            <w:cnfStyle w:val="001000000000" w:firstRow="0" w:lastRow="0" w:firstColumn="1" w:lastColumn="0" w:oddVBand="0" w:evenVBand="0" w:oddHBand="0" w:evenHBand="0" w:firstRowFirstColumn="0" w:firstRowLastColumn="0" w:lastRowFirstColumn="0" w:lastRowLastColumn="0"/>
            <w:tcW w:w="1876" w:type="dxa"/>
            <w:shd w:val="clear" w:color="auto" w:fill="E5E5E5" w:themeFill="background2" w:themeFillTint="66"/>
          </w:tcPr>
          <w:p w:rsidR="00EA4001" w:rsidRPr="005D4B58" w:rsidRDefault="00EA4001" w:rsidP="005C21A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0"/>
                <w:szCs w:val="20"/>
              </w:rPr>
            </w:pPr>
            <w:r w:rsidRPr="005D4B58">
              <w:rPr>
                <w:rFonts w:ascii="Calibri" w:hAnsi="Calibri"/>
                <w:sz w:val="20"/>
                <w:szCs w:val="20"/>
              </w:rPr>
              <w:t>All property types</w:t>
            </w:r>
          </w:p>
        </w:tc>
        <w:tc>
          <w:tcPr>
            <w:tcW w:w="1868" w:type="dxa"/>
            <w:shd w:val="clear" w:color="auto" w:fill="auto"/>
          </w:tcPr>
          <w:p w:rsidR="00EA4001" w:rsidRPr="005D4B58" w:rsidRDefault="00EA4001" w:rsidP="00B91DC8">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alibri" w:hAnsi="Calibri"/>
                <w:b/>
                <w:sz w:val="20"/>
                <w:szCs w:val="20"/>
              </w:rPr>
            </w:pPr>
            <w:r w:rsidRPr="005D4B58">
              <w:rPr>
                <w:rFonts w:ascii="Calibri" w:hAnsi="Calibri"/>
                <w:b/>
                <w:sz w:val="20"/>
                <w:szCs w:val="20"/>
              </w:rPr>
              <w:t>$539,750</w:t>
            </w:r>
            <w:r w:rsidRPr="005D4B58">
              <w:rPr>
                <w:rFonts w:ascii="Calibri" w:hAnsi="Calibri"/>
                <w:b/>
                <w:sz w:val="20"/>
                <w:szCs w:val="20"/>
              </w:rPr>
              <w:br/>
              <w:t>+ 10.3%</w:t>
            </w:r>
          </w:p>
        </w:tc>
        <w:tc>
          <w:tcPr>
            <w:tcW w:w="1884" w:type="dxa"/>
            <w:shd w:val="clear" w:color="auto" w:fill="auto"/>
          </w:tcPr>
          <w:p w:rsidR="00EA4001" w:rsidRPr="005D4B58" w:rsidRDefault="00EA4001" w:rsidP="00B91DC8">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alibri" w:hAnsi="Calibri"/>
                <w:b/>
                <w:sz w:val="20"/>
                <w:szCs w:val="20"/>
              </w:rPr>
            </w:pPr>
            <w:r w:rsidRPr="005D4B58">
              <w:rPr>
                <w:rFonts w:ascii="Calibri" w:hAnsi="Calibri"/>
                <w:b/>
                <w:sz w:val="20"/>
                <w:szCs w:val="20"/>
              </w:rPr>
              <w:t>$740,600</w:t>
            </w:r>
            <w:r w:rsidRPr="005D4B58">
              <w:rPr>
                <w:rFonts w:ascii="Calibri" w:hAnsi="Calibri"/>
                <w:b/>
                <w:sz w:val="20"/>
                <w:szCs w:val="20"/>
              </w:rPr>
              <w:br/>
              <w:t>+ 16.0%</w:t>
            </w:r>
          </w:p>
        </w:tc>
        <w:tc>
          <w:tcPr>
            <w:tcW w:w="1884" w:type="dxa"/>
            <w:shd w:val="clear" w:color="auto" w:fill="auto"/>
          </w:tcPr>
          <w:p w:rsidR="00EA4001" w:rsidRPr="005D4B58" w:rsidRDefault="00EA4001" w:rsidP="00B91DC8">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alibri" w:hAnsi="Calibri"/>
                <w:b/>
                <w:sz w:val="20"/>
                <w:szCs w:val="20"/>
              </w:rPr>
            </w:pPr>
            <w:r w:rsidRPr="005D4B58">
              <w:rPr>
                <w:rFonts w:ascii="Calibri" w:hAnsi="Calibri"/>
                <w:b/>
                <w:sz w:val="20"/>
                <w:szCs w:val="20"/>
              </w:rPr>
              <w:t>$458,750</w:t>
            </w:r>
            <w:r w:rsidRPr="005D4B58">
              <w:rPr>
                <w:rFonts w:ascii="Calibri" w:hAnsi="Calibri"/>
                <w:b/>
                <w:sz w:val="20"/>
                <w:szCs w:val="20"/>
              </w:rPr>
              <w:br/>
              <w:t>+ 4.3%</w:t>
            </w:r>
          </w:p>
        </w:tc>
        <w:tc>
          <w:tcPr>
            <w:tcW w:w="1900" w:type="dxa"/>
            <w:shd w:val="clear" w:color="auto" w:fill="auto"/>
          </w:tcPr>
          <w:p w:rsidR="00EA4001" w:rsidRPr="005D4B58" w:rsidRDefault="00EA4001" w:rsidP="00B91DC8">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alibri" w:hAnsi="Calibri"/>
                <w:b/>
                <w:sz w:val="20"/>
                <w:szCs w:val="20"/>
              </w:rPr>
            </w:pPr>
            <w:r w:rsidRPr="005D4B58">
              <w:rPr>
                <w:rFonts w:ascii="Calibri" w:hAnsi="Calibri"/>
                <w:b/>
                <w:sz w:val="20"/>
                <w:szCs w:val="20"/>
              </w:rPr>
              <w:t>$468,250</w:t>
            </w:r>
            <w:r w:rsidRPr="005D4B58">
              <w:rPr>
                <w:rFonts w:ascii="Calibri" w:hAnsi="Calibri"/>
                <w:b/>
                <w:sz w:val="20"/>
                <w:szCs w:val="20"/>
              </w:rPr>
              <w:br/>
              <w:t>+ 9.9%</w:t>
            </w:r>
          </w:p>
        </w:tc>
      </w:tr>
    </w:tbl>
    <w:p w:rsidR="005C21AC" w:rsidRPr="005D4B58" w:rsidRDefault="005C21AC" w:rsidP="005C21AC">
      <w:pPr>
        <w:pStyle w:val="Body"/>
        <w:rPr>
          <w:rFonts w:ascii="Calibri" w:hAnsi="Calibri"/>
          <w:b/>
          <w:i/>
          <w:sz w:val="20"/>
          <w:szCs w:val="20"/>
        </w:rPr>
      </w:pPr>
    </w:p>
    <w:p w:rsidR="00B85339" w:rsidRDefault="00B85339" w:rsidP="00B85339">
      <w:pPr>
        <w:pStyle w:val="Body"/>
        <w:jc w:val="both"/>
        <w:rPr>
          <w:rFonts w:ascii="Calibri" w:hAnsi="Calibri"/>
        </w:rPr>
      </w:pPr>
    </w:p>
    <w:p w:rsidR="00B85339" w:rsidRPr="005B7B8E" w:rsidRDefault="00B85339" w:rsidP="00B85339">
      <w:pPr>
        <w:pStyle w:val="Body"/>
        <w:jc w:val="center"/>
        <w:rPr>
          <w:rFonts w:ascii="Calibri" w:hAnsi="Calibri" w:cstheme="minorHAnsi"/>
          <w:b/>
        </w:rPr>
      </w:pPr>
      <w:r w:rsidRPr="005B7B8E">
        <w:rPr>
          <w:rFonts w:ascii="Calibri" w:hAnsi="Calibri"/>
        </w:rPr>
        <w:t>-</w:t>
      </w:r>
      <w:proofErr w:type="gramStart"/>
      <w:r w:rsidRPr="005B7B8E">
        <w:rPr>
          <w:rFonts w:ascii="Calibri" w:hAnsi="Calibri" w:cstheme="minorHAnsi"/>
          <w:b/>
        </w:rPr>
        <w:t>ends</w:t>
      </w:r>
      <w:proofErr w:type="gramEnd"/>
      <w:r w:rsidRPr="005B7B8E">
        <w:rPr>
          <w:rFonts w:ascii="Calibri" w:hAnsi="Calibri" w:cstheme="minorHAnsi"/>
          <w:b/>
        </w:rPr>
        <w:t>-</w:t>
      </w:r>
    </w:p>
    <w:p w:rsidR="00F41392" w:rsidRDefault="00F41392" w:rsidP="00B85339">
      <w:pPr>
        <w:rPr>
          <w:rFonts w:ascii="Calibri" w:hAnsi="Calibri" w:cstheme="minorHAnsi"/>
          <w:b/>
          <w:sz w:val="22"/>
          <w:szCs w:val="22"/>
        </w:rPr>
      </w:pPr>
    </w:p>
    <w:p w:rsidR="00B85339" w:rsidRPr="00F20DF9" w:rsidRDefault="00B85339" w:rsidP="00B85339">
      <w:pPr>
        <w:rPr>
          <w:rFonts w:ascii="Calibri" w:hAnsi="Calibri" w:cstheme="minorHAnsi"/>
          <w:b/>
          <w:sz w:val="22"/>
          <w:szCs w:val="22"/>
        </w:rPr>
      </w:pPr>
      <w:r w:rsidRPr="00F20DF9">
        <w:rPr>
          <w:rFonts w:ascii="Calibri" w:hAnsi="Calibri" w:cstheme="minorHAnsi"/>
          <w:b/>
          <w:sz w:val="22"/>
          <w:szCs w:val="22"/>
        </w:rPr>
        <w:t>MORE INFORMATION</w:t>
      </w:r>
    </w:p>
    <w:p w:rsidR="00B85339" w:rsidRPr="00F20DF9" w:rsidRDefault="00B85339" w:rsidP="00B85339">
      <w:pPr>
        <w:pStyle w:val="ListParagraph"/>
        <w:rPr>
          <w:rFonts w:ascii="Calibri" w:hAnsi="Calibri" w:cstheme="minorHAnsi"/>
          <w:sz w:val="22"/>
          <w:szCs w:val="22"/>
        </w:rPr>
      </w:pPr>
    </w:p>
    <w:p w:rsidR="00B85339" w:rsidRPr="00F20DF9" w:rsidRDefault="00B85339" w:rsidP="00B85339">
      <w:pPr>
        <w:pStyle w:val="ListParagraph"/>
        <w:numPr>
          <w:ilvl w:val="0"/>
          <w:numId w:val="2"/>
        </w:numPr>
        <w:rPr>
          <w:rFonts w:ascii="Calibri" w:hAnsi="Calibri"/>
          <w:b/>
          <w:sz w:val="22"/>
          <w:szCs w:val="22"/>
        </w:rPr>
      </w:pPr>
      <w:r w:rsidRPr="00F20DF9">
        <w:rPr>
          <w:rFonts w:ascii="Calibri" w:hAnsi="Calibri" w:cstheme="minorHAnsi"/>
          <w:b/>
          <w:sz w:val="22"/>
          <w:szCs w:val="22"/>
        </w:rPr>
        <w:t xml:space="preserve">About the </w:t>
      </w:r>
      <w:r w:rsidRPr="00F20DF9">
        <w:rPr>
          <w:rFonts w:ascii="Calibri" w:hAnsi="Calibri"/>
          <w:b/>
          <w:sz w:val="22"/>
          <w:szCs w:val="22"/>
        </w:rPr>
        <w:t xml:space="preserve">Trade Me Property Price Index: </w:t>
      </w:r>
    </w:p>
    <w:p w:rsidR="00EF6C9A" w:rsidRDefault="00EF6C9A" w:rsidP="005D4B58">
      <w:pPr>
        <w:pStyle w:val="Body"/>
        <w:numPr>
          <w:ilvl w:val="1"/>
          <w:numId w:val="2"/>
        </w:numPr>
        <w:jc w:val="both"/>
        <w:rPr>
          <w:rFonts w:ascii="Calibri" w:hAnsi="Calibri"/>
        </w:rPr>
      </w:pPr>
      <w:r>
        <w:rPr>
          <w:rFonts w:ascii="Calibri" w:hAnsi="Calibri"/>
        </w:rPr>
        <w:t xml:space="preserve">The Trade Me </w:t>
      </w:r>
      <w:r w:rsidRPr="005C469E">
        <w:rPr>
          <w:rFonts w:ascii="Calibri" w:hAnsi="Calibri"/>
        </w:rPr>
        <w:t xml:space="preserve">Property Price Index measures trends in </w:t>
      </w:r>
      <w:r>
        <w:rPr>
          <w:rFonts w:ascii="Calibri" w:hAnsi="Calibri"/>
        </w:rPr>
        <w:t xml:space="preserve">the expectations of selling </w:t>
      </w:r>
      <w:r w:rsidRPr="005C469E">
        <w:rPr>
          <w:rFonts w:ascii="Calibri" w:hAnsi="Calibri"/>
        </w:rPr>
        <w:t xml:space="preserve">prices for residential property listings added to Trade Me Property by real estate agents and private sellers over the </w:t>
      </w:r>
      <w:r>
        <w:rPr>
          <w:rFonts w:ascii="Calibri" w:hAnsi="Calibri"/>
        </w:rPr>
        <w:t xml:space="preserve">past </w:t>
      </w:r>
      <w:r w:rsidRPr="005C469E">
        <w:rPr>
          <w:rFonts w:ascii="Calibri" w:hAnsi="Calibri"/>
        </w:rPr>
        <w:t xml:space="preserve">three months. </w:t>
      </w:r>
    </w:p>
    <w:p w:rsidR="0042038B" w:rsidRPr="005C469E" w:rsidRDefault="0042038B" w:rsidP="00B56A6E">
      <w:pPr>
        <w:pStyle w:val="Body"/>
        <w:numPr>
          <w:ilvl w:val="1"/>
          <w:numId w:val="2"/>
        </w:numPr>
        <w:jc w:val="both"/>
        <w:rPr>
          <w:rFonts w:ascii="Calibri" w:hAnsi="Calibri"/>
        </w:rPr>
      </w:pPr>
      <w:r w:rsidRPr="005C469E">
        <w:rPr>
          <w:rFonts w:ascii="Calibri" w:hAnsi="Calibri"/>
        </w:rPr>
        <w:t>It provides buyers, sellers and realtors with insight</w:t>
      </w:r>
      <w:r>
        <w:rPr>
          <w:rFonts w:ascii="Calibri" w:hAnsi="Calibri"/>
        </w:rPr>
        <w:t>s</w:t>
      </w:r>
      <w:r w:rsidRPr="005C469E">
        <w:rPr>
          <w:rFonts w:ascii="Calibri" w:hAnsi="Calibri"/>
        </w:rPr>
        <w:t xml:space="preserve"> into ‘for sale</w:t>
      </w:r>
      <w:r w:rsidRPr="005C469E">
        <w:rPr>
          <w:rFonts w:ascii="Calibri" w:hAnsi="Calibri"/>
          <w:lang w:val="fr-FR"/>
        </w:rPr>
        <w:t xml:space="preserve">’ </w:t>
      </w:r>
      <w:r w:rsidRPr="005C469E">
        <w:rPr>
          <w:rFonts w:ascii="Calibri" w:hAnsi="Calibri"/>
        </w:rPr>
        <w:t>price trends by property type and property</w:t>
      </w:r>
      <w:r w:rsidRPr="005C469E">
        <w:rPr>
          <w:rFonts w:ascii="Calibri" w:hAnsi="Calibri"/>
          <w:lang w:val="it-IT"/>
        </w:rPr>
        <w:t xml:space="preserve"> size.</w:t>
      </w:r>
    </w:p>
    <w:p w:rsidR="00B85339" w:rsidRPr="00F20DF9" w:rsidRDefault="00B85339" w:rsidP="00B85339">
      <w:pPr>
        <w:pStyle w:val="ListParagraph"/>
        <w:numPr>
          <w:ilvl w:val="1"/>
          <w:numId w:val="2"/>
        </w:numPr>
        <w:rPr>
          <w:rFonts w:ascii="Calibri" w:hAnsi="Calibri"/>
          <w:b/>
          <w:sz w:val="22"/>
          <w:szCs w:val="22"/>
        </w:rPr>
      </w:pPr>
      <w:r w:rsidRPr="00F20DF9">
        <w:rPr>
          <w:rFonts w:ascii="Calibri" w:hAnsi="Calibri"/>
          <w:sz w:val="22"/>
          <w:szCs w:val="22"/>
        </w:rPr>
        <w:t xml:space="preserve">The Index is produced from data on properties listed on Trade Me Property in the three months leading up to the last day of each period. Each period’s value is a truncated mean of </w:t>
      </w:r>
      <w:r w:rsidR="00F2768F">
        <w:rPr>
          <w:rFonts w:ascii="Calibri" w:hAnsi="Calibri"/>
          <w:sz w:val="22"/>
          <w:szCs w:val="22"/>
        </w:rPr>
        <w:t xml:space="preserve">the complete </w:t>
      </w:r>
      <w:r w:rsidRPr="00F20DF9">
        <w:rPr>
          <w:rFonts w:ascii="Calibri" w:hAnsi="Calibri"/>
          <w:sz w:val="22"/>
          <w:szCs w:val="22"/>
        </w:rPr>
        <w:t xml:space="preserve">three months’ worth of listings. This is to better reflect trends in property prices rather than month-to-month fluctuations in housing stock. </w:t>
      </w:r>
    </w:p>
    <w:p w:rsidR="00B85339" w:rsidRPr="00F20DF9" w:rsidRDefault="00B85339" w:rsidP="00B85339">
      <w:pPr>
        <w:pStyle w:val="ListParagraph"/>
        <w:numPr>
          <w:ilvl w:val="1"/>
          <w:numId w:val="2"/>
        </w:numPr>
        <w:rPr>
          <w:rFonts w:ascii="Calibri" w:hAnsi="Calibri"/>
          <w:sz w:val="22"/>
          <w:szCs w:val="22"/>
        </w:rPr>
      </w:pPr>
      <w:r w:rsidRPr="00F20DF9">
        <w:rPr>
          <w:rFonts w:ascii="Calibri" w:hAnsi="Calibri"/>
          <w:sz w:val="22"/>
          <w:szCs w:val="22"/>
        </w:rPr>
        <w:t xml:space="preserve">The Index uses an “80% truncated mean” of the expected sale price. This excludes the upper and lower 10% of listings by price, and averages the expected sale prices of the remaining properties. </w:t>
      </w:r>
    </w:p>
    <w:p w:rsidR="0042038B" w:rsidRDefault="00B85339" w:rsidP="00B85339">
      <w:pPr>
        <w:pStyle w:val="ListParagraph"/>
        <w:numPr>
          <w:ilvl w:val="1"/>
          <w:numId w:val="2"/>
        </w:numPr>
        <w:rPr>
          <w:rFonts w:ascii="Calibri" w:hAnsi="Calibri"/>
          <w:sz w:val="22"/>
          <w:szCs w:val="22"/>
        </w:rPr>
      </w:pPr>
      <w:r w:rsidRPr="00F20DF9">
        <w:rPr>
          <w:rFonts w:ascii="Calibri" w:hAnsi="Calibri"/>
          <w:sz w:val="22"/>
          <w:szCs w:val="22"/>
        </w:rPr>
        <w:t>It provide</w:t>
      </w:r>
      <w:r w:rsidR="00ED1637">
        <w:rPr>
          <w:rFonts w:ascii="Calibri" w:hAnsi="Calibri"/>
          <w:sz w:val="22"/>
          <w:szCs w:val="22"/>
        </w:rPr>
        <w:t>s</w:t>
      </w:r>
      <w:r w:rsidRPr="00F20DF9">
        <w:rPr>
          <w:rFonts w:ascii="Calibri" w:hAnsi="Calibri"/>
          <w:sz w:val="22"/>
          <w:szCs w:val="22"/>
        </w:rPr>
        <w:t xml:space="preserve"> an insight into ‘for sale’ price trends by type and size of property. Other reports aggregate property price data across these various properties.</w:t>
      </w:r>
    </w:p>
    <w:p w:rsidR="00B73E39" w:rsidRPr="0042038B" w:rsidRDefault="00B73E39">
      <w:pPr>
        <w:pStyle w:val="ListParagraph"/>
        <w:ind w:left="1440"/>
        <w:rPr>
          <w:rFonts w:ascii="Calibri" w:hAnsi="Calibri"/>
          <w:sz w:val="22"/>
          <w:szCs w:val="22"/>
        </w:rPr>
      </w:pPr>
    </w:p>
    <w:p w:rsidR="00B73E39" w:rsidRDefault="00B73E39" w:rsidP="00B73E39">
      <w:pPr>
        <w:pStyle w:val="ListParagraph"/>
        <w:numPr>
          <w:ilvl w:val="0"/>
          <w:numId w:val="2"/>
        </w:numPr>
        <w:rPr>
          <w:rFonts w:ascii="Calibri" w:hAnsi="Calibri" w:cstheme="minorHAnsi"/>
          <w:sz w:val="22"/>
          <w:szCs w:val="22"/>
        </w:rPr>
      </w:pPr>
      <w:r w:rsidRPr="00F20DF9">
        <w:rPr>
          <w:rFonts w:ascii="Calibri" w:hAnsi="Calibri" w:cstheme="minorHAnsi"/>
          <w:b/>
          <w:sz w:val="22"/>
          <w:szCs w:val="22"/>
        </w:rPr>
        <w:t>Regional data:</w:t>
      </w:r>
      <w:r w:rsidRPr="00F20DF9">
        <w:rPr>
          <w:rFonts w:ascii="Calibri" w:hAnsi="Calibri" w:cstheme="minorHAnsi"/>
          <w:sz w:val="22"/>
          <w:szCs w:val="22"/>
        </w:rPr>
        <w:t xml:space="preserve"> If you are after information for a particular region, please email </w:t>
      </w:r>
      <w:r w:rsidR="00580914">
        <w:rPr>
          <w:rFonts w:ascii="Calibri" w:hAnsi="Calibri" w:cstheme="minorHAnsi"/>
          <w:sz w:val="22"/>
          <w:szCs w:val="22"/>
        </w:rPr>
        <w:t>Jeff Hunkin</w:t>
      </w:r>
      <w:r w:rsidRPr="00F20DF9">
        <w:rPr>
          <w:rFonts w:ascii="Calibri" w:hAnsi="Calibri" w:cstheme="minorHAnsi"/>
          <w:sz w:val="22"/>
          <w:szCs w:val="22"/>
        </w:rPr>
        <w:t xml:space="preserve"> via </w:t>
      </w:r>
      <w:hyperlink r:id="rId11" w:history="1">
        <w:r w:rsidRPr="00F20DF9">
          <w:rPr>
            <w:rStyle w:val="Hyperlink"/>
            <w:rFonts w:ascii="Calibri" w:hAnsi="Calibri" w:cstheme="minorHAnsi"/>
            <w:sz w:val="22"/>
            <w:szCs w:val="22"/>
          </w:rPr>
          <w:t>mediaenquiries@trademe.co.nz</w:t>
        </w:r>
      </w:hyperlink>
      <w:r w:rsidRPr="00F20DF9">
        <w:rPr>
          <w:rFonts w:ascii="Calibri" w:hAnsi="Calibri" w:cstheme="minorHAnsi"/>
          <w:sz w:val="22"/>
          <w:szCs w:val="22"/>
        </w:rPr>
        <w:t xml:space="preserve">  and we will see what we can unearth for you. We can also provide </w:t>
      </w:r>
      <w:r>
        <w:rPr>
          <w:rFonts w:ascii="Calibri" w:hAnsi="Calibri" w:cstheme="minorHAnsi"/>
          <w:sz w:val="22"/>
          <w:szCs w:val="22"/>
        </w:rPr>
        <w:t xml:space="preserve">the </w:t>
      </w:r>
      <w:r w:rsidRPr="00F20DF9">
        <w:rPr>
          <w:rFonts w:ascii="Calibri" w:hAnsi="Calibri" w:cstheme="minorHAnsi"/>
          <w:sz w:val="22"/>
          <w:szCs w:val="22"/>
        </w:rPr>
        <w:t>graphs and tables.</w:t>
      </w:r>
    </w:p>
    <w:p w:rsidR="00B73E39" w:rsidRDefault="00B73E39" w:rsidP="00B16D16">
      <w:pPr>
        <w:rPr>
          <w:rFonts w:ascii="Calibri" w:hAnsi="Calibri" w:cstheme="minorHAnsi"/>
          <w:sz w:val="22"/>
          <w:szCs w:val="22"/>
        </w:rPr>
      </w:pPr>
    </w:p>
    <w:p w:rsidR="00B73E39" w:rsidRPr="000053A5" w:rsidRDefault="00B73E39" w:rsidP="005C21AC">
      <w:pPr>
        <w:pStyle w:val="ListParagraph"/>
        <w:numPr>
          <w:ilvl w:val="0"/>
          <w:numId w:val="2"/>
        </w:numPr>
        <w:rPr>
          <w:rFonts w:ascii="Calibri" w:hAnsi="Calibri" w:cstheme="minorHAnsi"/>
          <w:sz w:val="22"/>
          <w:szCs w:val="22"/>
        </w:rPr>
      </w:pPr>
      <w:r w:rsidRPr="000053A5">
        <w:rPr>
          <w:rFonts w:ascii="Calibri" w:hAnsi="Calibri" w:cstheme="minorHAnsi"/>
          <w:b/>
          <w:sz w:val="22"/>
          <w:szCs w:val="22"/>
        </w:rPr>
        <w:t>Contact:</w:t>
      </w:r>
      <w:r w:rsidRPr="000053A5">
        <w:rPr>
          <w:rFonts w:ascii="Calibri" w:hAnsi="Calibri" w:cstheme="minorHAnsi"/>
          <w:sz w:val="22"/>
          <w:szCs w:val="22"/>
        </w:rPr>
        <w:t xml:space="preserve"> Nigel Jeffries is available for interviews. To tee up a time that suits, please email </w:t>
      </w:r>
      <w:r w:rsidR="00580914">
        <w:rPr>
          <w:rFonts w:ascii="Calibri" w:hAnsi="Calibri" w:cstheme="minorHAnsi"/>
          <w:sz w:val="22"/>
          <w:szCs w:val="22"/>
        </w:rPr>
        <w:t xml:space="preserve">Jeff Hunkin </w:t>
      </w:r>
      <w:r w:rsidRPr="000053A5">
        <w:rPr>
          <w:rFonts w:ascii="Calibri" w:hAnsi="Calibri" w:cstheme="minorHAnsi"/>
          <w:sz w:val="22"/>
          <w:szCs w:val="22"/>
        </w:rPr>
        <w:t xml:space="preserve">via </w:t>
      </w:r>
      <w:hyperlink r:id="rId12" w:history="1">
        <w:r w:rsidRPr="000053A5">
          <w:rPr>
            <w:rStyle w:val="Hyperlink"/>
            <w:rFonts w:ascii="Calibri" w:hAnsi="Calibri" w:cstheme="minorHAnsi"/>
            <w:sz w:val="22"/>
            <w:szCs w:val="22"/>
          </w:rPr>
          <w:t>mediaenquiries@trademe.co.nz</w:t>
        </w:r>
      </w:hyperlink>
      <w:r w:rsidR="00F5170C">
        <w:rPr>
          <w:rStyle w:val="Hyperlink"/>
          <w:rFonts w:ascii="Calibri" w:hAnsi="Calibri" w:cstheme="minorHAnsi"/>
          <w:sz w:val="22"/>
          <w:szCs w:val="22"/>
        </w:rPr>
        <w:t>,</w:t>
      </w:r>
      <w:r w:rsidRPr="000053A5">
        <w:rPr>
          <w:rFonts w:ascii="Calibri" w:hAnsi="Calibri" w:cstheme="minorHAnsi"/>
          <w:sz w:val="22"/>
          <w:szCs w:val="22"/>
        </w:rPr>
        <w:t xml:space="preserve"> or phone (04) 803 2</w:t>
      </w:r>
      <w:r w:rsidR="00580914">
        <w:rPr>
          <w:rFonts w:ascii="Calibri" w:hAnsi="Calibri" w:cstheme="minorHAnsi"/>
          <w:sz w:val="22"/>
          <w:szCs w:val="22"/>
        </w:rPr>
        <w:t>702</w:t>
      </w:r>
      <w:r w:rsidR="00F5170C">
        <w:rPr>
          <w:rFonts w:ascii="Calibri" w:hAnsi="Calibri" w:cstheme="minorHAnsi"/>
          <w:sz w:val="22"/>
          <w:szCs w:val="22"/>
        </w:rPr>
        <w:t xml:space="preserve"> or (04) 803 2601</w:t>
      </w:r>
      <w:r w:rsidRPr="000053A5">
        <w:rPr>
          <w:rFonts w:ascii="Calibri" w:hAnsi="Calibri" w:cstheme="minorHAnsi"/>
          <w:sz w:val="22"/>
          <w:szCs w:val="22"/>
        </w:rPr>
        <w:t>.</w:t>
      </w:r>
    </w:p>
    <w:p w:rsidR="00B73E39" w:rsidRPr="00B16D16" w:rsidRDefault="00B73E39" w:rsidP="00B16D16">
      <w:pPr>
        <w:rPr>
          <w:rFonts w:ascii="Calibri" w:hAnsi="Calibri"/>
          <w:sz w:val="22"/>
          <w:szCs w:val="22"/>
        </w:rPr>
      </w:pPr>
    </w:p>
    <w:p w:rsidR="003532F0" w:rsidRPr="00B85339" w:rsidRDefault="003532F0" w:rsidP="00B85339">
      <w:pPr>
        <w:pStyle w:val="Body"/>
        <w:jc w:val="both"/>
        <w:rPr>
          <w:rFonts w:ascii="Calibri" w:hAnsi="Calibri"/>
        </w:rPr>
      </w:pPr>
    </w:p>
    <w:sectPr w:rsidR="003532F0" w:rsidRPr="00B85339" w:rsidSect="00F41392">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851"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7AD" w:rsidRDefault="000577AD">
      <w:r>
        <w:separator/>
      </w:r>
    </w:p>
  </w:endnote>
  <w:endnote w:type="continuationSeparator" w:id="0">
    <w:p w:rsidR="000577AD" w:rsidRDefault="00057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Helvetica Light">
    <w:charset w:val="00"/>
    <w:family w:val="auto"/>
    <w:pitch w:val="variable"/>
    <w:sig w:usb0="800000AF" w:usb1="4000204A"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159" w:rsidRDefault="007251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159" w:rsidRDefault="007251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159" w:rsidRDefault="007251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7AD" w:rsidRDefault="000577AD">
      <w:r>
        <w:separator/>
      </w:r>
    </w:p>
  </w:footnote>
  <w:footnote w:type="continuationSeparator" w:id="0">
    <w:p w:rsidR="000577AD" w:rsidRDefault="000577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159" w:rsidRDefault="007251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159" w:rsidRDefault="007251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159" w:rsidRDefault="007251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B9695B"/>
    <w:multiLevelType w:val="hybridMultilevel"/>
    <w:tmpl w:val="F8DEE064"/>
    <w:lvl w:ilvl="0" w:tplc="04090005">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2D683170"/>
    <w:multiLevelType w:val="hybridMultilevel"/>
    <w:tmpl w:val="956E12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2F0"/>
    <w:rsid w:val="000053A5"/>
    <w:rsid w:val="00007BF3"/>
    <w:rsid w:val="00013705"/>
    <w:rsid w:val="00013E09"/>
    <w:rsid w:val="00032C44"/>
    <w:rsid w:val="00046FF6"/>
    <w:rsid w:val="000577AD"/>
    <w:rsid w:val="00060E74"/>
    <w:rsid w:val="00073AD7"/>
    <w:rsid w:val="000855B3"/>
    <w:rsid w:val="000A1392"/>
    <w:rsid w:val="000B3C7C"/>
    <w:rsid w:val="000C46B4"/>
    <w:rsid w:val="000E100D"/>
    <w:rsid w:val="000E4192"/>
    <w:rsid w:val="00110833"/>
    <w:rsid w:val="001140A8"/>
    <w:rsid w:val="001318B0"/>
    <w:rsid w:val="0014398D"/>
    <w:rsid w:val="00154EA7"/>
    <w:rsid w:val="00183064"/>
    <w:rsid w:val="001830E8"/>
    <w:rsid w:val="001A3973"/>
    <w:rsid w:val="001C6879"/>
    <w:rsid w:val="001D49DB"/>
    <w:rsid w:val="001D594D"/>
    <w:rsid w:val="001E37CD"/>
    <w:rsid w:val="00215DFE"/>
    <w:rsid w:val="00226C44"/>
    <w:rsid w:val="0026207F"/>
    <w:rsid w:val="002622CD"/>
    <w:rsid w:val="00262955"/>
    <w:rsid w:val="0027185A"/>
    <w:rsid w:val="002A462D"/>
    <w:rsid w:val="002A6D60"/>
    <w:rsid w:val="002B2BB1"/>
    <w:rsid w:val="002C79E9"/>
    <w:rsid w:val="002D6C08"/>
    <w:rsid w:val="002E71B5"/>
    <w:rsid w:val="002F3CD3"/>
    <w:rsid w:val="003162C7"/>
    <w:rsid w:val="00327FC7"/>
    <w:rsid w:val="00332096"/>
    <w:rsid w:val="0034386D"/>
    <w:rsid w:val="00352C38"/>
    <w:rsid w:val="003532F0"/>
    <w:rsid w:val="003546C9"/>
    <w:rsid w:val="0037740C"/>
    <w:rsid w:val="00391A55"/>
    <w:rsid w:val="003B4CEB"/>
    <w:rsid w:val="003C231E"/>
    <w:rsid w:val="003C7145"/>
    <w:rsid w:val="003E3E6F"/>
    <w:rsid w:val="00411239"/>
    <w:rsid w:val="0042038B"/>
    <w:rsid w:val="00432CFA"/>
    <w:rsid w:val="00434BC1"/>
    <w:rsid w:val="00440888"/>
    <w:rsid w:val="0046441E"/>
    <w:rsid w:val="00474FFC"/>
    <w:rsid w:val="004C031A"/>
    <w:rsid w:val="004C2919"/>
    <w:rsid w:val="004C5587"/>
    <w:rsid w:val="00511AFF"/>
    <w:rsid w:val="00515861"/>
    <w:rsid w:val="00571DBD"/>
    <w:rsid w:val="00580914"/>
    <w:rsid w:val="005A3C80"/>
    <w:rsid w:val="005B69BA"/>
    <w:rsid w:val="005C21AC"/>
    <w:rsid w:val="005D4B58"/>
    <w:rsid w:val="005F0FCF"/>
    <w:rsid w:val="0060062F"/>
    <w:rsid w:val="00620FAD"/>
    <w:rsid w:val="00621869"/>
    <w:rsid w:val="0065193A"/>
    <w:rsid w:val="00654FDF"/>
    <w:rsid w:val="00655D6B"/>
    <w:rsid w:val="006A09E2"/>
    <w:rsid w:val="006A1215"/>
    <w:rsid w:val="006B143F"/>
    <w:rsid w:val="006B3C60"/>
    <w:rsid w:val="006C5FD2"/>
    <w:rsid w:val="006F427E"/>
    <w:rsid w:val="006F5144"/>
    <w:rsid w:val="0070485A"/>
    <w:rsid w:val="00705D04"/>
    <w:rsid w:val="00707F59"/>
    <w:rsid w:val="007223EC"/>
    <w:rsid w:val="00725159"/>
    <w:rsid w:val="00734CE0"/>
    <w:rsid w:val="007366FD"/>
    <w:rsid w:val="00740288"/>
    <w:rsid w:val="007446A2"/>
    <w:rsid w:val="007613DD"/>
    <w:rsid w:val="00773891"/>
    <w:rsid w:val="00775321"/>
    <w:rsid w:val="00776003"/>
    <w:rsid w:val="00797E17"/>
    <w:rsid w:val="007D4E18"/>
    <w:rsid w:val="007F5FC1"/>
    <w:rsid w:val="00813935"/>
    <w:rsid w:val="00815F69"/>
    <w:rsid w:val="008216C3"/>
    <w:rsid w:val="00827B2C"/>
    <w:rsid w:val="00866D20"/>
    <w:rsid w:val="008909A9"/>
    <w:rsid w:val="008B1AFA"/>
    <w:rsid w:val="008D397D"/>
    <w:rsid w:val="008F0618"/>
    <w:rsid w:val="008F6F32"/>
    <w:rsid w:val="00902FEC"/>
    <w:rsid w:val="00911560"/>
    <w:rsid w:val="00911F83"/>
    <w:rsid w:val="009235E8"/>
    <w:rsid w:val="009366A8"/>
    <w:rsid w:val="00944172"/>
    <w:rsid w:val="00952AAD"/>
    <w:rsid w:val="00962E26"/>
    <w:rsid w:val="009D0B00"/>
    <w:rsid w:val="009D6930"/>
    <w:rsid w:val="00A11146"/>
    <w:rsid w:val="00A20BE1"/>
    <w:rsid w:val="00A24C0B"/>
    <w:rsid w:val="00A4441E"/>
    <w:rsid w:val="00A50A62"/>
    <w:rsid w:val="00A5477B"/>
    <w:rsid w:val="00A660AD"/>
    <w:rsid w:val="00A8186C"/>
    <w:rsid w:val="00A91BA4"/>
    <w:rsid w:val="00AA78F2"/>
    <w:rsid w:val="00AB3991"/>
    <w:rsid w:val="00AB523B"/>
    <w:rsid w:val="00AD11BD"/>
    <w:rsid w:val="00AE1897"/>
    <w:rsid w:val="00AE19E5"/>
    <w:rsid w:val="00AE4F64"/>
    <w:rsid w:val="00AF342A"/>
    <w:rsid w:val="00B00D82"/>
    <w:rsid w:val="00B1116C"/>
    <w:rsid w:val="00B16D16"/>
    <w:rsid w:val="00B247CB"/>
    <w:rsid w:val="00B2792D"/>
    <w:rsid w:val="00B34B2D"/>
    <w:rsid w:val="00B53928"/>
    <w:rsid w:val="00B56A6E"/>
    <w:rsid w:val="00B73E39"/>
    <w:rsid w:val="00B85339"/>
    <w:rsid w:val="00B91DC8"/>
    <w:rsid w:val="00BA0B85"/>
    <w:rsid w:val="00BA1F8C"/>
    <w:rsid w:val="00BB69AD"/>
    <w:rsid w:val="00BD4379"/>
    <w:rsid w:val="00BE73DA"/>
    <w:rsid w:val="00BF6908"/>
    <w:rsid w:val="00C01D4C"/>
    <w:rsid w:val="00C13B2B"/>
    <w:rsid w:val="00C13B6C"/>
    <w:rsid w:val="00C20385"/>
    <w:rsid w:val="00C30A12"/>
    <w:rsid w:val="00C40D5E"/>
    <w:rsid w:val="00C54635"/>
    <w:rsid w:val="00C55B11"/>
    <w:rsid w:val="00C74C90"/>
    <w:rsid w:val="00C81A0B"/>
    <w:rsid w:val="00C920C7"/>
    <w:rsid w:val="00C94364"/>
    <w:rsid w:val="00CA2B50"/>
    <w:rsid w:val="00CA73B1"/>
    <w:rsid w:val="00CB0E76"/>
    <w:rsid w:val="00CD1EC6"/>
    <w:rsid w:val="00CD7D53"/>
    <w:rsid w:val="00CF6B84"/>
    <w:rsid w:val="00D04AAA"/>
    <w:rsid w:val="00D0543A"/>
    <w:rsid w:val="00D11B45"/>
    <w:rsid w:val="00D209BB"/>
    <w:rsid w:val="00D224E4"/>
    <w:rsid w:val="00D262A4"/>
    <w:rsid w:val="00D44889"/>
    <w:rsid w:val="00D55083"/>
    <w:rsid w:val="00D61F08"/>
    <w:rsid w:val="00D706A8"/>
    <w:rsid w:val="00D72402"/>
    <w:rsid w:val="00D816BB"/>
    <w:rsid w:val="00D82E74"/>
    <w:rsid w:val="00DB012D"/>
    <w:rsid w:val="00DB1348"/>
    <w:rsid w:val="00DB37C1"/>
    <w:rsid w:val="00DB65E9"/>
    <w:rsid w:val="00DC5346"/>
    <w:rsid w:val="00DE2A01"/>
    <w:rsid w:val="00DF4A1D"/>
    <w:rsid w:val="00E159E1"/>
    <w:rsid w:val="00E254A3"/>
    <w:rsid w:val="00E30D65"/>
    <w:rsid w:val="00E82418"/>
    <w:rsid w:val="00EA4001"/>
    <w:rsid w:val="00EB30CF"/>
    <w:rsid w:val="00EC4346"/>
    <w:rsid w:val="00ED1637"/>
    <w:rsid w:val="00EE4D8E"/>
    <w:rsid w:val="00EF3D7F"/>
    <w:rsid w:val="00EF6C9A"/>
    <w:rsid w:val="00F13AF0"/>
    <w:rsid w:val="00F2768F"/>
    <w:rsid w:val="00F3192C"/>
    <w:rsid w:val="00F40D63"/>
    <w:rsid w:val="00F41298"/>
    <w:rsid w:val="00F41392"/>
    <w:rsid w:val="00F4255F"/>
    <w:rsid w:val="00F5170C"/>
    <w:rsid w:val="00F7443D"/>
    <w:rsid w:val="00F91E02"/>
    <w:rsid w:val="00F94750"/>
    <w:rsid w:val="00F96DC8"/>
    <w:rsid w:val="00FA275C"/>
    <w:rsid w:val="00FA2C2B"/>
    <w:rsid w:val="00FA77B1"/>
    <w:rsid w:val="00FB3B59"/>
    <w:rsid w:val="00FC0304"/>
    <w:rsid w:val="00FD0B21"/>
    <w:rsid w:val="00FE24A9"/>
    <w:rsid w:val="00FE62DA"/>
    <w:rsid w:val="00FF5CC8"/>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NZ"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lang w:val="en-US"/>
    </w:rPr>
  </w:style>
  <w:style w:type="paragraph" w:customStyle="1" w:styleId="LabelDark">
    <w:name w:val="Label Dark"/>
    <w:pPr>
      <w:jc w:val="center"/>
    </w:pPr>
    <w:rPr>
      <w:rFonts w:ascii="Helvetica Light" w:hAnsi="Arial Unicode MS" w:cs="Arial Unicode MS"/>
      <w:color w:val="000000"/>
      <w:sz w:val="24"/>
      <w:szCs w:val="24"/>
      <w:lang w:val="en-US"/>
    </w:rPr>
  </w:style>
  <w:style w:type="character" w:styleId="CommentReference">
    <w:name w:val="annotation reference"/>
    <w:basedOn w:val="DefaultParagraphFont"/>
    <w:uiPriority w:val="99"/>
    <w:semiHidden/>
    <w:unhideWhenUsed/>
    <w:rsid w:val="00A8186C"/>
    <w:rPr>
      <w:sz w:val="16"/>
      <w:szCs w:val="16"/>
    </w:rPr>
  </w:style>
  <w:style w:type="paragraph" w:styleId="CommentText">
    <w:name w:val="annotation text"/>
    <w:basedOn w:val="Normal"/>
    <w:link w:val="CommentTextChar"/>
    <w:uiPriority w:val="99"/>
    <w:semiHidden/>
    <w:unhideWhenUsed/>
    <w:rsid w:val="00A8186C"/>
    <w:rPr>
      <w:sz w:val="20"/>
      <w:szCs w:val="20"/>
    </w:rPr>
  </w:style>
  <w:style w:type="character" w:customStyle="1" w:styleId="CommentTextChar">
    <w:name w:val="Comment Text Char"/>
    <w:basedOn w:val="DefaultParagraphFont"/>
    <w:link w:val="CommentText"/>
    <w:uiPriority w:val="99"/>
    <w:semiHidden/>
    <w:rsid w:val="00A8186C"/>
    <w:rPr>
      <w:lang w:val="en-US"/>
    </w:rPr>
  </w:style>
  <w:style w:type="paragraph" w:styleId="CommentSubject">
    <w:name w:val="annotation subject"/>
    <w:basedOn w:val="CommentText"/>
    <w:next w:val="CommentText"/>
    <w:link w:val="CommentSubjectChar"/>
    <w:uiPriority w:val="99"/>
    <w:semiHidden/>
    <w:unhideWhenUsed/>
    <w:rsid w:val="00A8186C"/>
    <w:rPr>
      <w:b/>
      <w:bCs/>
    </w:rPr>
  </w:style>
  <w:style w:type="character" w:customStyle="1" w:styleId="CommentSubjectChar">
    <w:name w:val="Comment Subject Char"/>
    <w:basedOn w:val="CommentTextChar"/>
    <w:link w:val="CommentSubject"/>
    <w:uiPriority w:val="99"/>
    <w:semiHidden/>
    <w:rsid w:val="00A8186C"/>
    <w:rPr>
      <w:b/>
      <w:bCs/>
      <w:lang w:val="en-US"/>
    </w:rPr>
  </w:style>
  <w:style w:type="paragraph" w:styleId="BalloonText">
    <w:name w:val="Balloon Text"/>
    <w:basedOn w:val="Normal"/>
    <w:link w:val="BalloonTextChar"/>
    <w:uiPriority w:val="99"/>
    <w:semiHidden/>
    <w:unhideWhenUsed/>
    <w:rsid w:val="00A818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86C"/>
    <w:rPr>
      <w:rFonts w:ascii="Segoe UI" w:hAnsi="Segoe UI" w:cs="Segoe UI"/>
      <w:sz w:val="18"/>
      <w:szCs w:val="18"/>
      <w:lang w:val="en-US"/>
    </w:rPr>
  </w:style>
  <w:style w:type="paragraph" w:styleId="ListParagraph">
    <w:name w:val="List Paragraph"/>
    <w:basedOn w:val="Normal"/>
    <w:uiPriority w:val="34"/>
    <w:qFormat/>
    <w:rsid w:val="00B85339"/>
    <w:pPr>
      <w:ind w:left="720"/>
      <w:contextualSpacing/>
    </w:pPr>
  </w:style>
  <w:style w:type="table" w:styleId="LightShading-Accent1">
    <w:name w:val="Light Shading Accent 1"/>
    <w:basedOn w:val="TableNormal"/>
    <w:uiPriority w:val="60"/>
    <w:rsid w:val="00F40D63"/>
    <w:rPr>
      <w:color w:val="2F759E" w:themeColor="accent1" w:themeShade="BF"/>
      <w:lang w:eastAsia="en-NZ"/>
    </w:rPr>
    <w:tblPr>
      <w:tblStyleRowBandSize w:val="1"/>
      <w:tblStyleColBandSize w:val="1"/>
      <w:tblBorders>
        <w:top w:val="single" w:sz="4" w:space="0" w:color="8F8F8F" w:themeColor="background2" w:themeShade="BF"/>
        <w:bottom w:val="single" w:sz="4" w:space="0" w:color="8F8F8F" w:themeColor="background2" w:themeShade="BF"/>
      </w:tblBorders>
    </w:tblPr>
    <w:tblStylePr w:type="firstRow">
      <w:pPr>
        <w:spacing w:before="0" w:after="0" w:line="240" w:lineRule="auto"/>
      </w:pPr>
      <w:rPr>
        <w:b/>
        <w:bCs/>
      </w:rPr>
      <w:tblPr/>
      <w:tcPr>
        <w:tcBorders>
          <w:top w:val="single" w:sz="8" w:space="0" w:color="499BC9" w:themeColor="accent1"/>
          <w:left w:val="nil"/>
          <w:bottom w:val="single" w:sz="8" w:space="0" w:color="499BC9" w:themeColor="accent1"/>
          <w:right w:val="nil"/>
          <w:insideH w:val="nil"/>
          <w:insideV w:val="nil"/>
        </w:tcBorders>
      </w:tcPr>
    </w:tblStylePr>
    <w:tblStylePr w:type="lastRow">
      <w:pPr>
        <w:spacing w:before="0" w:after="0" w:line="240" w:lineRule="auto"/>
      </w:pPr>
      <w:rPr>
        <w:b/>
        <w:bCs/>
      </w:rPr>
      <w:tblPr/>
      <w:tcPr>
        <w:tcBorders>
          <w:top w:val="single" w:sz="8" w:space="0" w:color="499BC9" w:themeColor="accent1"/>
          <w:left w:val="nil"/>
          <w:bottom w:val="single" w:sz="8" w:space="0" w:color="499B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6F1" w:themeFill="accent1" w:themeFillTint="3F"/>
      </w:tcPr>
    </w:tblStylePr>
    <w:tblStylePr w:type="band1Horz">
      <w:tblPr/>
      <w:tcPr>
        <w:shd w:val="clear" w:color="auto" w:fill="ADDB7B"/>
      </w:tcPr>
    </w:tblStylePr>
  </w:style>
  <w:style w:type="paragraph" w:styleId="Revision">
    <w:name w:val="Revision"/>
    <w:hidden/>
    <w:uiPriority w:val="99"/>
    <w:semiHidden/>
    <w:rsid w:val="005A3C8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 w:type="paragraph" w:styleId="Header">
    <w:name w:val="header"/>
    <w:basedOn w:val="Normal"/>
    <w:link w:val="HeaderChar"/>
    <w:uiPriority w:val="99"/>
    <w:unhideWhenUsed/>
    <w:rsid w:val="00725159"/>
    <w:pPr>
      <w:tabs>
        <w:tab w:val="center" w:pos="4513"/>
        <w:tab w:val="right" w:pos="9026"/>
      </w:tabs>
    </w:pPr>
  </w:style>
  <w:style w:type="character" w:customStyle="1" w:styleId="HeaderChar">
    <w:name w:val="Header Char"/>
    <w:basedOn w:val="DefaultParagraphFont"/>
    <w:link w:val="Header"/>
    <w:uiPriority w:val="99"/>
    <w:rsid w:val="00725159"/>
    <w:rPr>
      <w:sz w:val="24"/>
      <w:szCs w:val="24"/>
      <w:lang w:val="en-US"/>
    </w:rPr>
  </w:style>
  <w:style w:type="paragraph" w:styleId="Footer">
    <w:name w:val="footer"/>
    <w:basedOn w:val="Normal"/>
    <w:link w:val="FooterChar"/>
    <w:uiPriority w:val="99"/>
    <w:unhideWhenUsed/>
    <w:rsid w:val="00725159"/>
    <w:pPr>
      <w:tabs>
        <w:tab w:val="center" w:pos="4513"/>
        <w:tab w:val="right" w:pos="9026"/>
      </w:tabs>
    </w:pPr>
  </w:style>
  <w:style w:type="character" w:customStyle="1" w:styleId="FooterChar">
    <w:name w:val="Footer Char"/>
    <w:basedOn w:val="DefaultParagraphFont"/>
    <w:link w:val="Footer"/>
    <w:uiPriority w:val="99"/>
    <w:rsid w:val="00725159"/>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ediaenquiries@trademe.co.n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diaenquiries@trademe.co.n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_rels/theme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5EA95-D6F9-45A8-844D-80E26B4C8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916</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2015-05-12T05:03:00Z</dcterms:created>
  <dcterms:modified xsi:type="dcterms:W3CDTF">2015-05-12T20:58:00Z</dcterms:modified>
</cp:coreProperties>
</file>