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97D" w:rsidRPr="00571DBD" w:rsidRDefault="008D397D" w:rsidP="00B85339">
      <w:pPr>
        <w:jc w:val="both"/>
        <w:rPr>
          <w:rFonts w:ascii="Calibri" w:hAnsi="Calibri" w:cstheme="minorHAnsi"/>
          <w:b/>
          <w:bCs/>
          <w:sz w:val="22"/>
          <w:szCs w:val="22"/>
        </w:rPr>
      </w:pPr>
      <w:r w:rsidRPr="00B53928">
        <w:rPr>
          <w:rFonts w:ascii="Calibri" w:hAnsi="Calibri" w:cstheme="minorHAnsi"/>
          <w:b/>
          <w:bCs/>
          <w:noProof/>
          <w:sz w:val="22"/>
          <w:szCs w:val="22"/>
          <w:highlight w:val="yellow"/>
          <w:lang w:val="en-NZ" w:eastAsia="en-NZ"/>
        </w:rPr>
        <w:drawing>
          <wp:anchor distT="0" distB="0" distL="114300" distR="114300" simplePos="0" relativeHeight="251666432" behindDoc="1" locked="0" layoutInCell="1" allowOverlap="1" wp14:anchorId="333B4844" wp14:editId="0450268F">
            <wp:simplePos x="0" y="0"/>
            <wp:positionH relativeFrom="column">
              <wp:posOffset>3608070</wp:posOffset>
            </wp:positionH>
            <wp:positionV relativeFrom="paragraph">
              <wp:posOffset>-120650</wp:posOffset>
            </wp:positionV>
            <wp:extent cx="2609850" cy="517525"/>
            <wp:effectExtent l="0" t="0" r="0" b="0"/>
            <wp:wrapNone/>
            <wp:docPr id="2" name="Picture 2" descr="property 2010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perty 2010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9850" cy="517525"/>
                    </a:xfrm>
                    <a:prstGeom prst="rect">
                      <a:avLst/>
                    </a:prstGeom>
                    <a:noFill/>
                  </pic:spPr>
                </pic:pic>
              </a:graphicData>
            </a:graphic>
            <wp14:sizeRelH relativeFrom="page">
              <wp14:pctWidth>0</wp14:pctWidth>
            </wp14:sizeRelH>
            <wp14:sizeRelV relativeFrom="page">
              <wp14:pctHeight>0</wp14:pctHeight>
            </wp14:sizeRelV>
          </wp:anchor>
        </w:drawing>
      </w:r>
      <w:r w:rsidRPr="00571DBD">
        <w:rPr>
          <w:rFonts w:ascii="Calibri" w:hAnsi="Calibri" w:cstheme="minorHAnsi"/>
          <w:b/>
          <w:bCs/>
          <w:sz w:val="22"/>
          <w:szCs w:val="22"/>
        </w:rPr>
        <w:t xml:space="preserve">Media Release </w:t>
      </w:r>
    </w:p>
    <w:p w:rsidR="008D397D" w:rsidRPr="00FE24A9" w:rsidRDefault="007F4BB7" w:rsidP="00B85339">
      <w:pPr>
        <w:jc w:val="both"/>
        <w:rPr>
          <w:rFonts w:ascii="Calibri" w:hAnsi="Calibri" w:cstheme="minorHAnsi"/>
          <w:b/>
          <w:bCs/>
          <w:sz w:val="22"/>
          <w:szCs w:val="22"/>
        </w:rPr>
      </w:pPr>
      <w:r>
        <w:rPr>
          <w:rFonts w:ascii="Calibri" w:hAnsi="Calibri" w:cstheme="minorHAnsi"/>
          <w:b/>
          <w:bCs/>
          <w:sz w:val="22"/>
          <w:szCs w:val="22"/>
        </w:rPr>
        <w:t>20</w:t>
      </w:r>
      <w:r w:rsidR="00AE19E5">
        <w:rPr>
          <w:rFonts w:ascii="Calibri" w:hAnsi="Calibri" w:cstheme="minorHAnsi"/>
          <w:b/>
          <w:bCs/>
          <w:sz w:val="22"/>
          <w:szCs w:val="22"/>
        </w:rPr>
        <w:t xml:space="preserve"> </w:t>
      </w:r>
      <w:r>
        <w:rPr>
          <w:rFonts w:ascii="Calibri" w:hAnsi="Calibri" w:cstheme="minorHAnsi"/>
          <w:b/>
          <w:bCs/>
          <w:sz w:val="22"/>
          <w:szCs w:val="22"/>
        </w:rPr>
        <w:t>May</w:t>
      </w:r>
      <w:r w:rsidR="00B16D16">
        <w:rPr>
          <w:rFonts w:ascii="Calibri" w:hAnsi="Calibri" w:cstheme="minorHAnsi"/>
          <w:b/>
          <w:bCs/>
          <w:sz w:val="22"/>
          <w:szCs w:val="22"/>
        </w:rPr>
        <w:t xml:space="preserve"> 20</w:t>
      </w:r>
      <w:r w:rsidR="00F40D63">
        <w:rPr>
          <w:rFonts w:ascii="Calibri" w:hAnsi="Calibri" w:cstheme="minorHAnsi"/>
          <w:b/>
          <w:bCs/>
          <w:sz w:val="22"/>
          <w:szCs w:val="22"/>
        </w:rPr>
        <w:t>1</w:t>
      </w:r>
      <w:r w:rsidR="00B16D16">
        <w:rPr>
          <w:rFonts w:ascii="Calibri" w:hAnsi="Calibri" w:cstheme="minorHAnsi"/>
          <w:b/>
          <w:bCs/>
          <w:sz w:val="22"/>
          <w:szCs w:val="22"/>
        </w:rPr>
        <w:t>5</w:t>
      </w:r>
    </w:p>
    <w:p w:rsidR="008D397D" w:rsidRPr="00B85339" w:rsidRDefault="008D397D" w:rsidP="00B85339">
      <w:pPr>
        <w:pStyle w:val="Body"/>
        <w:jc w:val="both"/>
        <w:rPr>
          <w:rFonts w:ascii="Calibri" w:hAnsi="Calibri"/>
        </w:rPr>
      </w:pPr>
    </w:p>
    <w:p w:rsidR="00543759" w:rsidRPr="00B85339" w:rsidRDefault="00543759" w:rsidP="00B85339">
      <w:pPr>
        <w:pStyle w:val="Body"/>
        <w:jc w:val="both"/>
        <w:rPr>
          <w:rFonts w:ascii="Calibri" w:hAnsi="Calibri"/>
        </w:rPr>
      </w:pPr>
    </w:p>
    <w:p w:rsidR="008D397D" w:rsidRPr="004C4BE7" w:rsidRDefault="009F2B8C" w:rsidP="00571DBD">
      <w:pPr>
        <w:pStyle w:val="Body"/>
        <w:jc w:val="center"/>
        <w:rPr>
          <w:rFonts w:ascii="Calibri" w:hAnsi="Calibri"/>
          <w:b/>
          <w:color w:val="000000" w:themeColor="text1"/>
          <w:sz w:val="36"/>
          <w:szCs w:val="36"/>
        </w:rPr>
      </w:pPr>
      <w:r>
        <w:rPr>
          <w:rFonts w:ascii="Calibri" w:hAnsi="Calibri"/>
          <w:b/>
          <w:color w:val="000000" w:themeColor="text1"/>
          <w:sz w:val="36"/>
          <w:szCs w:val="36"/>
        </w:rPr>
        <w:t>No let</w:t>
      </w:r>
      <w:r w:rsidR="00207B32">
        <w:rPr>
          <w:rFonts w:ascii="Calibri" w:hAnsi="Calibri"/>
          <w:b/>
          <w:color w:val="000000" w:themeColor="text1"/>
          <w:sz w:val="36"/>
          <w:szCs w:val="36"/>
        </w:rPr>
        <w:t>-</w:t>
      </w:r>
      <w:r>
        <w:rPr>
          <w:rFonts w:ascii="Calibri" w:hAnsi="Calibri"/>
          <w:b/>
          <w:color w:val="000000" w:themeColor="text1"/>
          <w:sz w:val="36"/>
          <w:szCs w:val="36"/>
        </w:rPr>
        <w:t>up in pace of rental market</w:t>
      </w:r>
    </w:p>
    <w:p w:rsidR="00C4286D" w:rsidRDefault="00C4286D" w:rsidP="00DC5346">
      <w:pPr>
        <w:pStyle w:val="Body"/>
        <w:jc w:val="both"/>
        <w:rPr>
          <w:rFonts w:ascii="Calibri" w:hAnsi="Calibri"/>
        </w:rPr>
      </w:pPr>
    </w:p>
    <w:p w:rsidR="00F653FB" w:rsidRDefault="00F653FB" w:rsidP="00DC5346">
      <w:pPr>
        <w:pStyle w:val="Body"/>
        <w:jc w:val="both"/>
        <w:rPr>
          <w:rFonts w:ascii="Calibri" w:hAnsi="Calibri"/>
        </w:rPr>
      </w:pPr>
      <w:r>
        <w:rPr>
          <w:rFonts w:ascii="Calibri" w:hAnsi="Calibri"/>
        </w:rPr>
        <w:t>Median</w:t>
      </w:r>
      <w:r w:rsidR="00207B32">
        <w:rPr>
          <w:rFonts w:ascii="Calibri" w:hAnsi="Calibri"/>
        </w:rPr>
        <w:t xml:space="preserve"> w</w:t>
      </w:r>
      <w:r w:rsidR="00A93571">
        <w:rPr>
          <w:rFonts w:ascii="Calibri" w:hAnsi="Calibri"/>
        </w:rPr>
        <w:t>eekly rents</w:t>
      </w:r>
      <w:r w:rsidR="00337FC0">
        <w:rPr>
          <w:rFonts w:ascii="Calibri" w:hAnsi="Calibri"/>
        </w:rPr>
        <w:t xml:space="preserve"> continue</w:t>
      </w:r>
      <w:r>
        <w:rPr>
          <w:rFonts w:ascii="Calibri" w:hAnsi="Calibri"/>
        </w:rPr>
        <w:t>d</w:t>
      </w:r>
      <w:r w:rsidR="00337FC0">
        <w:rPr>
          <w:rFonts w:ascii="Calibri" w:hAnsi="Calibri"/>
        </w:rPr>
        <w:t xml:space="preserve"> to grow</w:t>
      </w:r>
      <w:r>
        <w:rPr>
          <w:rFonts w:ascii="Calibri" w:hAnsi="Calibri"/>
        </w:rPr>
        <w:t xml:space="preserve"> steadily </w:t>
      </w:r>
      <w:r w:rsidR="00337FC0">
        <w:rPr>
          <w:rFonts w:ascii="Calibri" w:hAnsi="Calibri"/>
        </w:rPr>
        <w:t>in the 12 months to April</w:t>
      </w:r>
      <w:r>
        <w:rPr>
          <w:rFonts w:ascii="Calibri" w:hAnsi="Calibri"/>
        </w:rPr>
        <w:t xml:space="preserve">, rising </w:t>
      </w:r>
      <w:r w:rsidR="00B30825">
        <w:rPr>
          <w:rFonts w:ascii="Calibri" w:hAnsi="Calibri"/>
        </w:rPr>
        <w:t xml:space="preserve">6.3 per cent to </w:t>
      </w:r>
      <w:r>
        <w:rPr>
          <w:rFonts w:ascii="Calibri" w:hAnsi="Calibri"/>
        </w:rPr>
        <w:t>a record-</w:t>
      </w:r>
      <w:r w:rsidR="00CD4EC6">
        <w:rPr>
          <w:rFonts w:ascii="Calibri" w:hAnsi="Calibri"/>
        </w:rPr>
        <w:t>equaling</w:t>
      </w:r>
      <w:r>
        <w:rPr>
          <w:rFonts w:ascii="Calibri" w:hAnsi="Calibri"/>
        </w:rPr>
        <w:t xml:space="preserve"> $420 per</w:t>
      </w:r>
      <w:r w:rsidR="00337FC0">
        <w:rPr>
          <w:rFonts w:ascii="Calibri" w:hAnsi="Calibri"/>
        </w:rPr>
        <w:t xml:space="preserve"> week. </w:t>
      </w:r>
    </w:p>
    <w:p w:rsidR="00F653FB" w:rsidRDefault="00F653FB" w:rsidP="00DC5346">
      <w:pPr>
        <w:pStyle w:val="Body"/>
        <w:jc w:val="both"/>
        <w:rPr>
          <w:rFonts w:ascii="Calibri" w:hAnsi="Calibri"/>
        </w:rPr>
      </w:pPr>
    </w:p>
    <w:p w:rsidR="00AB6803" w:rsidRDefault="00AB6803" w:rsidP="00F653FB">
      <w:pPr>
        <w:pStyle w:val="Body"/>
        <w:jc w:val="both"/>
        <w:rPr>
          <w:rFonts w:ascii="Calibri" w:hAnsi="Calibri"/>
        </w:rPr>
      </w:pPr>
      <w:r w:rsidRPr="00F20DF9">
        <w:rPr>
          <w:rFonts w:ascii="Calibri" w:hAnsi="Calibri"/>
        </w:rPr>
        <w:t xml:space="preserve">Head of Trade Me Property Nigel Jeffries </w:t>
      </w:r>
      <w:r>
        <w:rPr>
          <w:rFonts w:ascii="Calibri" w:hAnsi="Calibri"/>
        </w:rPr>
        <w:t>said</w:t>
      </w:r>
      <w:r w:rsidR="00F653FB">
        <w:rPr>
          <w:rFonts w:ascii="Calibri" w:hAnsi="Calibri"/>
        </w:rPr>
        <w:t xml:space="preserve"> that </w:t>
      </w:r>
      <w:r w:rsidR="00475952">
        <w:rPr>
          <w:rFonts w:ascii="Calibri" w:hAnsi="Calibri"/>
        </w:rPr>
        <w:t>equated to</w:t>
      </w:r>
      <w:r w:rsidR="00F653FB">
        <w:rPr>
          <w:rFonts w:ascii="Calibri" w:hAnsi="Calibri"/>
        </w:rPr>
        <w:t xml:space="preserve"> tenants paying $25 </w:t>
      </w:r>
      <w:r w:rsidR="00CD4EC6">
        <w:rPr>
          <w:rFonts w:ascii="Calibri" w:hAnsi="Calibri"/>
        </w:rPr>
        <w:t xml:space="preserve">more per week </w:t>
      </w:r>
      <w:r w:rsidR="00F653FB">
        <w:rPr>
          <w:rFonts w:ascii="Calibri" w:hAnsi="Calibri"/>
        </w:rPr>
        <w:t xml:space="preserve">in April 2015 than they were a year ago. “In basic terms, </w:t>
      </w:r>
      <w:r w:rsidR="00CD4EC6">
        <w:rPr>
          <w:rFonts w:ascii="Calibri" w:hAnsi="Calibri"/>
        </w:rPr>
        <w:t xml:space="preserve">across New Zealand </w:t>
      </w:r>
      <w:r w:rsidR="00F653FB">
        <w:rPr>
          <w:rFonts w:ascii="Calibri" w:hAnsi="Calibri"/>
        </w:rPr>
        <w:t xml:space="preserve">tenants are </w:t>
      </w:r>
      <w:r w:rsidR="00CD4EC6">
        <w:rPr>
          <w:rFonts w:ascii="Calibri" w:hAnsi="Calibri"/>
        </w:rPr>
        <w:t xml:space="preserve">digging into their bank accounts to </w:t>
      </w:r>
      <w:r w:rsidR="00F653FB">
        <w:rPr>
          <w:rFonts w:ascii="Calibri" w:hAnsi="Calibri"/>
        </w:rPr>
        <w:t>pay</w:t>
      </w:r>
      <w:r w:rsidR="00CD4EC6">
        <w:rPr>
          <w:rFonts w:ascii="Calibri" w:hAnsi="Calibri"/>
        </w:rPr>
        <w:t xml:space="preserve"> </w:t>
      </w:r>
      <w:r w:rsidR="00F653FB">
        <w:rPr>
          <w:rFonts w:ascii="Calibri" w:hAnsi="Calibri"/>
        </w:rPr>
        <w:t xml:space="preserve">about $1,300 more </w:t>
      </w:r>
      <w:r w:rsidR="00CD4EC6">
        <w:rPr>
          <w:rFonts w:ascii="Calibri" w:hAnsi="Calibri"/>
        </w:rPr>
        <w:t xml:space="preserve">per annum </w:t>
      </w:r>
      <w:r w:rsidR="00F653FB">
        <w:rPr>
          <w:rFonts w:ascii="Calibri" w:hAnsi="Calibri"/>
        </w:rPr>
        <w:t xml:space="preserve">to rent a property. Across the country, </w:t>
      </w:r>
      <w:r w:rsidR="00524636">
        <w:rPr>
          <w:rFonts w:ascii="Calibri" w:hAnsi="Calibri"/>
        </w:rPr>
        <w:t xml:space="preserve">the </w:t>
      </w:r>
      <w:r w:rsidR="00A976D3">
        <w:rPr>
          <w:rFonts w:ascii="Calibri" w:hAnsi="Calibri"/>
        </w:rPr>
        <w:t xml:space="preserve">rental </w:t>
      </w:r>
      <w:r w:rsidR="00524636">
        <w:rPr>
          <w:rFonts w:ascii="Calibri" w:hAnsi="Calibri"/>
        </w:rPr>
        <w:t xml:space="preserve">market </w:t>
      </w:r>
      <w:r w:rsidR="00F653FB">
        <w:rPr>
          <w:rFonts w:ascii="Calibri" w:hAnsi="Calibri"/>
        </w:rPr>
        <w:t>has</w:t>
      </w:r>
      <w:r w:rsidR="00337FC0">
        <w:rPr>
          <w:rFonts w:ascii="Calibri" w:hAnsi="Calibri"/>
        </w:rPr>
        <w:t xml:space="preserve"> </w:t>
      </w:r>
      <w:r w:rsidR="00F653FB">
        <w:rPr>
          <w:rFonts w:ascii="Calibri" w:hAnsi="Calibri"/>
        </w:rPr>
        <w:t xml:space="preserve">consistently delivered median rental growth north of 7 per cent year-on-year in 2015, </w:t>
      </w:r>
      <w:r w:rsidR="00475952">
        <w:rPr>
          <w:rFonts w:ascii="Calibri" w:hAnsi="Calibri"/>
        </w:rPr>
        <w:t xml:space="preserve">accelerating on </w:t>
      </w:r>
      <w:r w:rsidR="00F653FB">
        <w:rPr>
          <w:rFonts w:ascii="Calibri" w:hAnsi="Calibri"/>
        </w:rPr>
        <w:t xml:space="preserve">growth of about 5 per cent </w:t>
      </w:r>
      <w:r w:rsidR="00CD4EC6">
        <w:rPr>
          <w:rFonts w:ascii="Calibri" w:hAnsi="Calibri"/>
        </w:rPr>
        <w:t>over the same period last year.”</w:t>
      </w:r>
    </w:p>
    <w:p w:rsidR="00EA5C65" w:rsidRDefault="00EA5C65" w:rsidP="00F653FB">
      <w:pPr>
        <w:pStyle w:val="Body"/>
        <w:jc w:val="both"/>
        <w:rPr>
          <w:rFonts w:ascii="Calibri" w:hAnsi="Calibri"/>
        </w:rPr>
      </w:pPr>
    </w:p>
    <w:p w:rsidR="00EA5C65" w:rsidRDefault="00EA5C65" w:rsidP="00F653FB">
      <w:pPr>
        <w:pStyle w:val="Body"/>
        <w:jc w:val="both"/>
        <w:rPr>
          <w:rFonts w:ascii="Calibri" w:hAnsi="Calibri"/>
        </w:rPr>
      </w:pPr>
      <w:r>
        <w:rPr>
          <w:rFonts w:ascii="Calibri" w:hAnsi="Calibri"/>
        </w:rPr>
        <w:t xml:space="preserve">He said it was too early to assess the impact of the raft of property and tax changes announced by the Government over recent weeks. </w:t>
      </w:r>
    </w:p>
    <w:p w:rsidR="002F20AE" w:rsidRDefault="002F20AE" w:rsidP="00DC5346">
      <w:pPr>
        <w:pStyle w:val="Body"/>
        <w:jc w:val="both"/>
        <w:rPr>
          <w:rFonts w:ascii="Calibri" w:hAnsi="Calibri"/>
        </w:rPr>
      </w:pPr>
    </w:p>
    <w:p w:rsidR="002F20AE" w:rsidRDefault="002F20AE" w:rsidP="00DC5346">
      <w:pPr>
        <w:pStyle w:val="Body"/>
        <w:jc w:val="both"/>
        <w:rPr>
          <w:rFonts w:ascii="Calibri" w:hAnsi="Calibri"/>
        </w:rPr>
      </w:pPr>
      <w:r w:rsidRPr="002F20AE">
        <w:rPr>
          <w:rFonts w:ascii="Calibri" w:hAnsi="Calibri"/>
        </w:rPr>
        <w:t xml:space="preserve">The </w:t>
      </w:r>
      <w:r>
        <w:rPr>
          <w:rFonts w:ascii="Calibri" w:hAnsi="Calibri"/>
        </w:rPr>
        <w:t>Rental</w:t>
      </w:r>
      <w:r w:rsidRPr="002F20AE">
        <w:rPr>
          <w:rFonts w:ascii="Calibri" w:hAnsi="Calibri"/>
        </w:rPr>
        <w:t xml:space="preserve"> Price Index measures trends in the expectations of </w:t>
      </w:r>
      <w:r w:rsidR="00CD4EC6">
        <w:rPr>
          <w:rFonts w:ascii="Calibri" w:hAnsi="Calibri"/>
        </w:rPr>
        <w:t xml:space="preserve">median </w:t>
      </w:r>
      <w:r>
        <w:rPr>
          <w:rFonts w:ascii="Calibri" w:hAnsi="Calibri"/>
        </w:rPr>
        <w:t xml:space="preserve">weekly rents </w:t>
      </w:r>
      <w:r w:rsidRPr="002F20AE">
        <w:rPr>
          <w:rFonts w:ascii="Calibri" w:hAnsi="Calibri"/>
        </w:rPr>
        <w:t xml:space="preserve">for residential </w:t>
      </w:r>
      <w:r w:rsidR="00CD4EC6">
        <w:rPr>
          <w:rFonts w:ascii="Calibri" w:hAnsi="Calibri"/>
        </w:rPr>
        <w:t xml:space="preserve">properties on Trade Me Property that have </w:t>
      </w:r>
      <w:r w:rsidR="00475952">
        <w:rPr>
          <w:rFonts w:ascii="Calibri" w:hAnsi="Calibri"/>
        </w:rPr>
        <w:t>been</w:t>
      </w:r>
      <w:r w:rsidR="00CD4EC6">
        <w:rPr>
          <w:rFonts w:ascii="Calibri" w:hAnsi="Calibri"/>
        </w:rPr>
        <w:t xml:space="preserve"> rented out </w:t>
      </w:r>
      <w:r w:rsidRPr="002F20AE">
        <w:rPr>
          <w:rFonts w:ascii="Calibri" w:hAnsi="Calibri"/>
        </w:rPr>
        <w:t xml:space="preserve">by real estate </w:t>
      </w:r>
      <w:r>
        <w:rPr>
          <w:rFonts w:ascii="Calibri" w:hAnsi="Calibri"/>
        </w:rPr>
        <w:t>property managers</w:t>
      </w:r>
      <w:r w:rsidRPr="002F20AE">
        <w:rPr>
          <w:rFonts w:ascii="Calibri" w:hAnsi="Calibri"/>
        </w:rPr>
        <w:t xml:space="preserve"> and private </w:t>
      </w:r>
      <w:r>
        <w:rPr>
          <w:rFonts w:ascii="Calibri" w:hAnsi="Calibri"/>
        </w:rPr>
        <w:t>landlords</w:t>
      </w:r>
      <w:r w:rsidRPr="002F20AE">
        <w:rPr>
          <w:rFonts w:ascii="Calibri" w:hAnsi="Calibri"/>
        </w:rPr>
        <w:t xml:space="preserve"> over the past month.</w:t>
      </w:r>
      <w:r>
        <w:rPr>
          <w:rFonts w:ascii="Calibri" w:hAnsi="Calibri"/>
        </w:rPr>
        <w:t xml:space="preserve"> </w:t>
      </w:r>
      <w:r w:rsidR="00475952">
        <w:rPr>
          <w:rFonts w:ascii="Calibri" w:hAnsi="Calibri"/>
        </w:rPr>
        <w:t xml:space="preserve">Around </w:t>
      </w:r>
      <w:r>
        <w:rPr>
          <w:rFonts w:ascii="Calibri" w:hAnsi="Calibri"/>
        </w:rPr>
        <w:t xml:space="preserve">11,000 rental properties are </w:t>
      </w:r>
      <w:r w:rsidR="00475952">
        <w:rPr>
          <w:rFonts w:ascii="Calibri" w:hAnsi="Calibri"/>
        </w:rPr>
        <w:t>let out</w:t>
      </w:r>
      <w:r>
        <w:rPr>
          <w:rFonts w:ascii="Calibri" w:hAnsi="Calibri"/>
        </w:rPr>
        <w:t xml:space="preserve"> via Trade </w:t>
      </w:r>
      <w:r w:rsidR="00B30825">
        <w:rPr>
          <w:rFonts w:ascii="Calibri" w:hAnsi="Calibri"/>
        </w:rPr>
        <w:t>Me Property</w:t>
      </w:r>
      <w:r w:rsidR="00475952">
        <w:rPr>
          <w:rFonts w:ascii="Calibri" w:hAnsi="Calibri"/>
        </w:rPr>
        <w:t xml:space="preserve"> each month</w:t>
      </w:r>
      <w:r w:rsidR="00B30825">
        <w:rPr>
          <w:rFonts w:ascii="Calibri" w:hAnsi="Calibri"/>
        </w:rPr>
        <w:t>.</w:t>
      </w:r>
    </w:p>
    <w:p w:rsidR="00EC4346" w:rsidRDefault="00EC4346" w:rsidP="00B85339">
      <w:pPr>
        <w:pStyle w:val="Body"/>
        <w:jc w:val="both"/>
        <w:rPr>
          <w:rFonts w:ascii="Calibri" w:hAnsi="Calibri"/>
        </w:rPr>
      </w:pPr>
    </w:p>
    <w:p w:rsidR="00524636" w:rsidRDefault="00524636" w:rsidP="00B85339">
      <w:pPr>
        <w:pStyle w:val="Body"/>
        <w:jc w:val="both"/>
        <w:rPr>
          <w:rFonts w:ascii="Calibri" w:hAnsi="Calibri"/>
        </w:rPr>
      </w:pPr>
    </w:p>
    <w:p w:rsidR="00543759" w:rsidRDefault="00543759" w:rsidP="00B85339">
      <w:pPr>
        <w:pStyle w:val="Body"/>
        <w:jc w:val="both"/>
        <w:rPr>
          <w:rFonts w:ascii="Calibri" w:hAnsi="Calibri"/>
        </w:rPr>
      </w:pPr>
    </w:p>
    <w:p w:rsidR="007F4BB7" w:rsidRDefault="007F4BB7" w:rsidP="007F4BB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Helvetica" w:hAnsi="Helvetica" w:cs="Helvetica"/>
        </w:rPr>
      </w:pPr>
      <w:r>
        <w:rPr>
          <w:rFonts w:ascii="Helvetica" w:hAnsi="Helvetica" w:cs="Helvetica"/>
          <w:noProof/>
          <w:lang w:val="en-NZ" w:eastAsia="en-NZ"/>
        </w:rPr>
        <w:drawing>
          <wp:inline distT="0" distB="0" distL="0" distR="0" wp14:anchorId="11E3E4DD" wp14:editId="6ECFAC80">
            <wp:extent cx="5993977" cy="3005597"/>
            <wp:effectExtent l="0" t="0" r="63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93977" cy="3005597"/>
                    </a:xfrm>
                    <a:prstGeom prst="rect">
                      <a:avLst/>
                    </a:prstGeom>
                    <a:noFill/>
                    <a:ln>
                      <a:noFill/>
                    </a:ln>
                  </pic:spPr>
                </pic:pic>
              </a:graphicData>
            </a:graphic>
          </wp:inline>
        </w:drawing>
      </w:r>
    </w:p>
    <w:p w:rsidR="00D816BB" w:rsidRDefault="00D816BB" w:rsidP="00B85339">
      <w:pPr>
        <w:pStyle w:val="Body"/>
        <w:jc w:val="both"/>
        <w:rPr>
          <w:rFonts w:ascii="Calibri" w:hAnsi="Calibri"/>
        </w:rPr>
      </w:pPr>
    </w:p>
    <w:p w:rsidR="00524636" w:rsidRDefault="00524636" w:rsidP="00DC5346">
      <w:pPr>
        <w:pStyle w:val="Body"/>
        <w:jc w:val="both"/>
        <w:rPr>
          <w:rFonts w:ascii="Calibri" w:hAnsi="Calibri"/>
        </w:rPr>
      </w:pPr>
    </w:p>
    <w:p w:rsidR="00543759" w:rsidRDefault="00543759" w:rsidP="00DC5346">
      <w:pPr>
        <w:pStyle w:val="Body"/>
        <w:jc w:val="both"/>
        <w:rPr>
          <w:rFonts w:ascii="Calibri" w:hAnsi="Calibri"/>
        </w:rPr>
      </w:pPr>
    </w:p>
    <w:p w:rsidR="00456B18" w:rsidRDefault="00456B18" w:rsidP="00DC5346">
      <w:pPr>
        <w:pStyle w:val="Body"/>
        <w:jc w:val="both"/>
        <w:rPr>
          <w:rFonts w:ascii="Calibri" w:hAnsi="Calibri"/>
        </w:rPr>
      </w:pPr>
    </w:p>
    <w:p w:rsidR="00DC5346" w:rsidRPr="005C469E" w:rsidRDefault="00DA6AB5" w:rsidP="00DC5346">
      <w:pPr>
        <w:pStyle w:val="Body"/>
        <w:jc w:val="both"/>
        <w:rPr>
          <w:rFonts w:ascii="Calibri" w:hAnsi="Calibri"/>
        </w:rPr>
      </w:pPr>
      <w:r>
        <w:rPr>
          <w:rFonts w:ascii="Calibri" w:hAnsi="Calibri"/>
        </w:rPr>
        <w:t>Over the past 5 years</w:t>
      </w:r>
      <w:r w:rsidR="00475952">
        <w:rPr>
          <w:rFonts w:ascii="Calibri" w:hAnsi="Calibri"/>
        </w:rPr>
        <w:t>,</w:t>
      </w:r>
      <w:r>
        <w:rPr>
          <w:rFonts w:ascii="Calibri" w:hAnsi="Calibri"/>
        </w:rPr>
        <w:t xml:space="preserve"> </w:t>
      </w:r>
      <w:r w:rsidR="00475952">
        <w:rPr>
          <w:rFonts w:ascii="Calibri" w:hAnsi="Calibri"/>
        </w:rPr>
        <w:t xml:space="preserve">the median weekly rent across New Zealand has </w:t>
      </w:r>
      <w:r w:rsidR="00B30825">
        <w:rPr>
          <w:rFonts w:ascii="Calibri" w:hAnsi="Calibri"/>
        </w:rPr>
        <w:t xml:space="preserve">risen by 23.5 per cent from </w:t>
      </w:r>
      <w:r w:rsidR="00475952">
        <w:rPr>
          <w:rFonts w:ascii="Calibri" w:hAnsi="Calibri"/>
        </w:rPr>
        <w:t>$340 per</w:t>
      </w:r>
      <w:r w:rsidR="00B30825">
        <w:rPr>
          <w:rFonts w:ascii="Calibri" w:hAnsi="Calibri"/>
        </w:rPr>
        <w:t xml:space="preserve"> week in </w:t>
      </w:r>
      <w:r w:rsidR="00475952">
        <w:rPr>
          <w:rFonts w:ascii="Calibri" w:hAnsi="Calibri"/>
        </w:rPr>
        <w:t xml:space="preserve">April </w:t>
      </w:r>
      <w:r w:rsidR="00B30825">
        <w:rPr>
          <w:rFonts w:ascii="Calibri" w:hAnsi="Calibri"/>
        </w:rPr>
        <w:t xml:space="preserve">2010 to </w:t>
      </w:r>
      <w:r w:rsidR="00475952">
        <w:rPr>
          <w:rFonts w:ascii="Calibri" w:hAnsi="Calibri"/>
        </w:rPr>
        <w:t xml:space="preserve">$420 per </w:t>
      </w:r>
      <w:r w:rsidR="00B30825">
        <w:rPr>
          <w:rFonts w:ascii="Calibri" w:hAnsi="Calibri"/>
        </w:rPr>
        <w:t>week</w:t>
      </w:r>
      <w:r w:rsidR="00475952">
        <w:rPr>
          <w:rFonts w:ascii="Calibri" w:hAnsi="Calibri"/>
        </w:rPr>
        <w:t xml:space="preserve"> last month. </w:t>
      </w:r>
      <w:proofErr w:type="spellStart"/>
      <w:r w:rsidR="00475952">
        <w:rPr>
          <w:rFonts w:ascii="Calibri" w:hAnsi="Calibri"/>
        </w:rPr>
        <w:t>Mr</w:t>
      </w:r>
      <w:proofErr w:type="spellEnd"/>
      <w:r w:rsidR="00475952">
        <w:rPr>
          <w:rFonts w:ascii="Calibri" w:hAnsi="Calibri"/>
        </w:rPr>
        <w:t xml:space="preserve"> Jeffries said the </w:t>
      </w:r>
      <w:r w:rsidR="00B30825">
        <w:rPr>
          <w:rFonts w:ascii="Calibri" w:hAnsi="Calibri"/>
        </w:rPr>
        <w:t xml:space="preserve">majority of this </w:t>
      </w:r>
      <w:r w:rsidR="00475952">
        <w:rPr>
          <w:rFonts w:ascii="Calibri" w:hAnsi="Calibri"/>
        </w:rPr>
        <w:t>$120 per</w:t>
      </w:r>
      <w:r w:rsidR="00B30825">
        <w:rPr>
          <w:rFonts w:ascii="Calibri" w:hAnsi="Calibri"/>
        </w:rPr>
        <w:t xml:space="preserve"> week </w:t>
      </w:r>
      <w:r w:rsidR="00475952">
        <w:rPr>
          <w:rFonts w:ascii="Calibri" w:hAnsi="Calibri"/>
        </w:rPr>
        <w:t xml:space="preserve">increase </w:t>
      </w:r>
      <w:r w:rsidR="00B30825">
        <w:rPr>
          <w:rFonts w:ascii="Calibri" w:hAnsi="Calibri"/>
        </w:rPr>
        <w:t>ha</w:t>
      </w:r>
      <w:r w:rsidR="00475952">
        <w:rPr>
          <w:rFonts w:ascii="Calibri" w:hAnsi="Calibri"/>
        </w:rPr>
        <w:t>d</w:t>
      </w:r>
      <w:r w:rsidR="00B30825">
        <w:rPr>
          <w:rFonts w:ascii="Calibri" w:hAnsi="Calibri"/>
        </w:rPr>
        <w:t xml:space="preserve"> </w:t>
      </w:r>
      <w:r w:rsidR="0070709D">
        <w:rPr>
          <w:rFonts w:ascii="Calibri" w:hAnsi="Calibri"/>
        </w:rPr>
        <w:t>occurred</w:t>
      </w:r>
      <w:r w:rsidR="00B30825">
        <w:rPr>
          <w:rFonts w:ascii="Calibri" w:hAnsi="Calibri"/>
        </w:rPr>
        <w:t xml:space="preserve"> since </w:t>
      </w:r>
      <w:r w:rsidR="00475952">
        <w:rPr>
          <w:rFonts w:ascii="Calibri" w:hAnsi="Calibri"/>
        </w:rPr>
        <w:t>the middle of 2</w:t>
      </w:r>
      <w:r>
        <w:rPr>
          <w:rFonts w:ascii="Calibri" w:hAnsi="Calibri"/>
        </w:rPr>
        <w:t>013</w:t>
      </w:r>
      <w:r w:rsidR="00B30825">
        <w:rPr>
          <w:rFonts w:ascii="Calibri" w:hAnsi="Calibri"/>
        </w:rPr>
        <w:t>.</w:t>
      </w:r>
      <w:r w:rsidR="00637380">
        <w:rPr>
          <w:rFonts w:ascii="Calibri" w:hAnsi="Calibri"/>
        </w:rPr>
        <w:t xml:space="preserve"> </w:t>
      </w:r>
    </w:p>
    <w:p w:rsidR="007F4BB7" w:rsidRDefault="007F4BB7" w:rsidP="007F4BB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Helvetica" w:hAnsi="Helvetica" w:cs="Helvetica"/>
        </w:rPr>
      </w:pPr>
      <w:r>
        <w:rPr>
          <w:rFonts w:ascii="Helvetica" w:hAnsi="Helvetica" w:cs="Helvetica"/>
          <w:noProof/>
          <w:lang w:val="en-NZ" w:eastAsia="en-NZ"/>
        </w:rPr>
        <w:lastRenderedPageBreak/>
        <w:drawing>
          <wp:inline distT="0" distB="0" distL="0" distR="0" wp14:anchorId="3019AFE0" wp14:editId="647CE423">
            <wp:extent cx="6058323" cy="3050752"/>
            <wp:effectExtent l="0" t="0" r="1270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9124" cy="3051155"/>
                    </a:xfrm>
                    <a:prstGeom prst="rect">
                      <a:avLst/>
                    </a:prstGeom>
                    <a:noFill/>
                    <a:ln>
                      <a:noFill/>
                    </a:ln>
                  </pic:spPr>
                </pic:pic>
              </a:graphicData>
            </a:graphic>
          </wp:inline>
        </w:drawing>
      </w:r>
    </w:p>
    <w:p w:rsidR="00F13AF0" w:rsidRDefault="00F13AF0" w:rsidP="00B85339">
      <w:pPr>
        <w:pStyle w:val="Body"/>
        <w:jc w:val="both"/>
        <w:rPr>
          <w:rFonts w:ascii="Calibri" w:hAnsi="Calibri"/>
        </w:rPr>
      </w:pPr>
    </w:p>
    <w:p w:rsidR="00543759" w:rsidRDefault="00543759" w:rsidP="00B85339">
      <w:pPr>
        <w:pStyle w:val="Body"/>
        <w:jc w:val="both"/>
        <w:rPr>
          <w:rFonts w:ascii="Calibri" w:hAnsi="Calibri"/>
          <w:b/>
        </w:rPr>
      </w:pPr>
    </w:p>
    <w:p w:rsidR="00672F35" w:rsidRDefault="00672F35" w:rsidP="00B85339">
      <w:pPr>
        <w:pStyle w:val="Body"/>
        <w:jc w:val="both"/>
        <w:rPr>
          <w:rFonts w:ascii="Calibri" w:hAnsi="Calibri"/>
          <w:b/>
        </w:rPr>
      </w:pPr>
    </w:p>
    <w:p w:rsidR="003532F0" w:rsidRPr="00B85339" w:rsidRDefault="00FE24A9" w:rsidP="00B85339">
      <w:pPr>
        <w:pStyle w:val="Body"/>
        <w:jc w:val="both"/>
        <w:rPr>
          <w:rFonts w:ascii="Calibri" w:hAnsi="Calibri"/>
          <w:b/>
        </w:rPr>
      </w:pPr>
      <w:r w:rsidRPr="00B85339">
        <w:rPr>
          <w:rFonts w:ascii="Calibri" w:hAnsi="Calibri"/>
          <w:b/>
        </w:rPr>
        <w:t>Ups and downs in</w:t>
      </w:r>
      <w:r w:rsidR="00226C44" w:rsidRPr="00B85339">
        <w:rPr>
          <w:rFonts w:ascii="Calibri" w:hAnsi="Calibri"/>
          <w:b/>
        </w:rPr>
        <w:t xml:space="preserve"> the regions</w:t>
      </w:r>
    </w:p>
    <w:p w:rsidR="003532F0" w:rsidRPr="00B85339" w:rsidRDefault="003532F0" w:rsidP="00B85339">
      <w:pPr>
        <w:pStyle w:val="Body"/>
        <w:jc w:val="both"/>
        <w:rPr>
          <w:rFonts w:ascii="Calibri" w:hAnsi="Calibri"/>
        </w:rPr>
      </w:pPr>
    </w:p>
    <w:p w:rsidR="00BD1A9B" w:rsidRDefault="0070709D">
      <w:pPr>
        <w:pStyle w:val="Body"/>
        <w:jc w:val="both"/>
        <w:rPr>
          <w:rFonts w:ascii="Calibri" w:hAnsi="Calibri"/>
        </w:rPr>
      </w:pPr>
      <w:r>
        <w:rPr>
          <w:rFonts w:ascii="Calibri" w:hAnsi="Calibri"/>
        </w:rPr>
        <w:t xml:space="preserve">Four </w:t>
      </w:r>
      <w:r w:rsidR="004E72E0">
        <w:rPr>
          <w:rFonts w:ascii="Calibri" w:hAnsi="Calibri"/>
        </w:rPr>
        <w:t xml:space="preserve">regions reported </w:t>
      </w:r>
      <w:r>
        <w:rPr>
          <w:rFonts w:ascii="Calibri" w:hAnsi="Calibri"/>
        </w:rPr>
        <w:t xml:space="preserve">double-digit rental growth in the year to April 2015. </w:t>
      </w:r>
      <w:r w:rsidR="004E72E0">
        <w:rPr>
          <w:rFonts w:ascii="Calibri" w:hAnsi="Calibri"/>
        </w:rPr>
        <w:t>Leading the way was Gisborne</w:t>
      </w:r>
      <w:r>
        <w:rPr>
          <w:rFonts w:ascii="Calibri" w:hAnsi="Calibri"/>
        </w:rPr>
        <w:t xml:space="preserve"> (+20</w:t>
      </w:r>
      <w:r w:rsidR="004E72E0">
        <w:rPr>
          <w:rFonts w:ascii="Calibri" w:hAnsi="Calibri"/>
        </w:rPr>
        <w:t xml:space="preserve"> per cent</w:t>
      </w:r>
      <w:r>
        <w:rPr>
          <w:rFonts w:ascii="Calibri" w:hAnsi="Calibri"/>
        </w:rPr>
        <w:t>)</w:t>
      </w:r>
      <w:r w:rsidR="004E72E0">
        <w:rPr>
          <w:rFonts w:ascii="Calibri" w:hAnsi="Calibri"/>
        </w:rPr>
        <w:t xml:space="preserve">, </w:t>
      </w:r>
      <w:r>
        <w:rPr>
          <w:rFonts w:ascii="Calibri" w:hAnsi="Calibri"/>
        </w:rPr>
        <w:t xml:space="preserve">followed by </w:t>
      </w:r>
      <w:r w:rsidR="004E72E0">
        <w:rPr>
          <w:rFonts w:ascii="Calibri" w:hAnsi="Calibri"/>
        </w:rPr>
        <w:t>Marlborough</w:t>
      </w:r>
      <w:r>
        <w:rPr>
          <w:rFonts w:ascii="Calibri" w:hAnsi="Calibri"/>
        </w:rPr>
        <w:t xml:space="preserve"> (+</w:t>
      </w:r>
      <w:r w:rsidR="004E72E0">
        <w:rPr>
          <w:rFonts w:ascii="Calibri" w:hAnsi="Calibri"/>
        </w:rPr>
        <w:t>12.3 per cent</w:t>
      </w:r>
      <w:r>
        <w:rPr>
          <w:rFonts w:ascii="Calibri" w:hAnsi="Calibri"/>
        </w:rPr>
        <w:t>)</w:t>
      </w:r>
      <w:r w:rsidR="004E72E0">
        <w:rPr>
          <w:rFonts w:ascii="Calibri" w:hAnsi="Calibri"/>
        </w:rPr>
        <w:t xml:space="preserve">, Bay of Plenty </w:t>
      </w:r>
      <w:r>
        <w:rPr>
          <w:rFonts w:ascii="Calibri" w:hAnsi="Calibri"/>
        </w:rPr>
        <w:t>(+</w:t>
      </w:r>
      <w:r w:rsidR="004E72E0">
        <w:rPr>
          <w:rFonts w:ascii="Calibri" w:hAnsi="Calibri"/>
        </w:rPr>
        <w:t>10.9 per cent</w:t>
      </w:r>
      <w:r>
        <w:rPr>
          <w:rFonts w:ascii="Calibri" w:hAnsi="Calibri"/>
        </w:rPr>
        <w:t xml:space="preserve">) and </w:t>
      </w:r>
      <w:r w:rsidR="004E72E0">
        <w:rPr>
          <w:rFonts w:ascii="Calibri" w:hAnsi="Calibri"/>
        </w:rPr>
        <w:t xml:space="preserve">Southland </w:t>
      </w:r>
      <w:r>
        <w:rPr>
          <w:rFonts w:ascii="Calibri" w:hAnsi="Calibri"/>
        </w:rPr>
        <w:t>(+</w:t>
      </w:r>
      <w:r w:rsidR="004E72E0">
        <w:rPr>
          <w:rFonts w:ascii="Calibri" w:hAnsi="Calibri"/>
        </w:rPr>
        <w:t>10.0 per cent</w:t>
      </w:r>
      <w:r>
        <w:rPr>
          <w:rFonts w:ascii="Calibri" w:hAnsi="Calibri"/>
        </w:rPr>
        <w:t>)</w:t>
      </w:r>
      <w:r w:rsidR="004E72E0">
        <w:rPr>
          <w:rFonts w:ascii="Calibri" w:hAnsi="Calibri"/>
        </w:rPr>
        <w:t xml:space="preserve">. </w:t>
      </w:r>
    </w:p>
    <w:p w:rsidR="001D7BBF" w:rsidRDefault="001D7BBF">
      <w:pPr>
        <w:pStyle w:val="Body"/>
        <w:jc w:val="both"/>
        <w:rPr>
          <w:rFonts w:ascii="Calibri" w:hAnsi="Calibri"/>
        </w:rPr>
      </w:pPr>
    </w:p>
    <w:p w:rsidR="001D7BBF" w:rsidRDefault="001D7BBF">
      <w:pPr>
        <w:pStyle w:val="Body"/>
        <w:jc w:val="both"/>
        <w:rPr>
          <w:rFonts w:ascii="Calibri" w:hAnsi="Calibri"/>
        </w:rPr>
      </w:pPr>
      <w:r>
        <w:rPr>
          <w:rFonts w:ascii="Calibri" w:hAnsi="Calibri"/>
        </w:rPr>
        <w:t xml:space="preserve">Bay of Plenty </w:t>
      </w:r>
      <w:r w:rsidR="0070709D">
        <w:rPr>
          <w:rFonts w:ascii="Calibri" w:hAnsi="Calibri"/>
        </w:rPr>
        <w:t>stood out, reaching a new weekly rental for the fifth consecutive month. The median rent in the region is $</w:t>
      </w:r>
      <w:r w:rsidR="00A94236">
        <w:rPr>
          <w:rFonts w:ascii="Calibri" w:hAnsi="Calibri"/>
        </w:rPr>
        <w:t>355</w:t>
      </w:r>
      <w:r w:rsidR="0070709D">
        <w:rPr>
          <w:rFonts w:ascii="Calibri" w:hAnsi="Calibri"/>
        </w:rPr>
        <w:t xml:space="preserve"> with rents having</w:t>
      </w:r>
      <w:r>
        <w:rPr>
          <w:rFonts w:ascii="Calibri" w:hAnsi="Calibri"/>
        </w:rPr>
        <w:t xml:space="preserve"> risen by 7.5 per cent </w:t>
      </w:r>
      <w:r w:rsidR="0070709D">
        <w:rPr>
          <w:rFonts w:ascii="Calibri" w:hAnsi="Calibri"/>
        </w:rPr>
        <w:t xml:space="preserve">since Christmas, adding </w:t>
      </w:r>
      <w:r>
        <w:rPr>
          <w:rFonts w:ascii="Calibri" w:hAnsi="Calibri"/>
        </w:rPr>
        <w:t xml:space="preserve">$25 </w:t>
      </w:r>
      <w:r w:rsidR="0070709D">
        <w:rPr>
          <w:rFonts w:ascii="Calibri" w:hAnsi="Calibri"/>
        </w:rPr>
        <w:t>per week to tenants’ outgoings. There are clear si</w:t>
      </w:r>
      <w:r>
        <w:rPr>
          <w:rFonts w:ascii="Calibri" w:hAnsi="Calibri"/>
        </w:rPr>
        <w:t>g</w:t>
      </w:r>
      <w:r w:rsidR="0070709D">
        <w:rPr>
          <w:rFonts w:ascii="Calibri" w:hAnsi="Calibri"/>
        </w:rPr>
        <w:t>n</w:t>
      </w:r>
      <w:r>
        <w:rPr>
          <w:rFonts w:ascii="Calibri" w:hAnsi="Calibri"/>
        </w:rPr>
        <w:t xml:space="preserve">s that </w:t>
      </w:r>
      <w:r w:rsidR="0070709D">
        <w:rPr>
          <w:rFonts w:ascii="Calibri" w:hAnsi="Calibri"/>
        </w:rPr>
        <w:t>the Bay of Plenty is seeing strong demand from Auckland-</w:t>
      </w:r>
      <w:r>
        <w:rPr>
          <w:rFonts w:ascii="Calibri" w:hAnsi="Calibri"/>
        </w:rPr>
        <w:t>based investors</w:t>
      </w:r>
      <w:r w:rsidR="00A94236">
        <w:rPr>
          <w:rFonts w:ascii="Calibri" w:hAnsi="Calibri"/>
        </w:rPr>
        <w:t xml:space="preserve">, based on reports from local agents in the region </w:t>
      </w:r>
      <w:r w:rsidR="00735316">
        <w:rPr>
          <w:rFonts w:ascii="Calibri" w:hAnsi="Calibri"/>
        </w:rPr>
        <w:t xml:space="preserve">about </w:t>
      </w:r>
      <w:r w:rsidR="00A94236">
        <w:rPr>
          <w:rFonts w:ascii="Calibri" w:hAnsi="Calibri"/>
        </w:rPr>
        <w:t>heightened interest from out-of-town buyers</w:t>
      </w:r>
      <w:r>
        <w:rPr>
          <w:rFonts w:ascii="Calibri" w:hAnsi="Calibri"/>
        </w:rPr>
        <w:t>.</w:t>
      </w:r>
    </w:p>
    <w:p w:rsidR="001D7BBF" w:rsidRDefault="001D7BBF">
      <w:pPr>
        <w:pStyle w:val="Body"/>
        <w:jc w:val="both"/>
        <w:rPr>
          <w:rFonts w:ascii="Calibri" w:hAnsi="Calibri"/>
        </w:rPr>
      </w:pPr>
    </w:p>
    <w:p w:rsidR="000E6C3B" w:rsidRDefault="00322073">
      <w:pPr>
        <w:pStyle w:val="Body"/>
        <w:jc w:val="both"/>
        <w:rPr>
          <w:rFonts w:ascii="Calibri" w:hAnsi="Calibri"/>
        </w:rPr>
      </w:pPr>
      <w:r>
        <w:rPr>
          <w:rFonts w:ascii="Calibri" w:hAnsi="Calibri"/>
        </w:rPr>
        <w:t xml:space="preserve">At the other </w:t>
      </w:r>
      <w:r w:rsidR="0070709D">
        <w:rPr>
          <w:rFonts w:ascii="Calibri" w:hAnsi="Calibri"/>
        </w:rPr>
        <w:t xml:space="preserve">end of the spectrum, </w:t>
      </w:r>
      <w:r w:rsidR="000E6C3B">
        <w:rPr>
          <w:rFonts w:ascii="Calibri" w:hAnsi="Calibri"/>
        </w:rPr>
        <w:t xml:space="preserve">the trend in </w:t>
      </w:r>
      <w:r>
        <w:rPr>
          <w:rFonts w:ascii="Calibri" w:hAnsi="Calibri"/>
        </w:rPr>
        <w:t xml:space="preserve">Manawatu and </w:t>
      </w:r>
      <w:r w:rsidR="000E6C3B">
        <w:rPr>
          <w:rFonts w:ascii="Calibri" w:hAnsi="Calibri"/>
        </w:rPr>
        <w:t xml:space="preserve">the </w:t>
      </w:r>
      <w:r>
        <w:rPr>
          <w:rFonts w:ascii="Calibri" w:hAnsi="Calibri"/>
        </w:rPr>
        <w:t xml:space="preserve">West Coast </w:t>
      </w:r>
      <w:r w:rsidR="000E6C3B">
        <w:rPr>
          <w:rFonts w:ascii="Calibri" w:hAnsi="Calibri"/>
        </w:rPr>
        <w:t xml:space="preserve">is one of </w:t>
      </w:r>
      <w:r>
        <w:rPr>
          <w:rFonts w:ascii="Calibri" w:hAnsi="Calibri"/>
        </w:rPr>
        <w:t>declining rent</w:t>
      </w:r>
      <w:r w:rsidR="00DA6AB5">
        <w:rPr>
          <w:rFonts w:ascii="Calibri" w:hAnsi="Calibri"/>
        </w:rPr>
        <w:t xml:space="preserve">s. </w:t>
      </w:r>
      <w:r w:rsidR="000E6C3B">
        <w:rPr>
          <w:rFonts w:ascii="Calibri" w:hAnsi="Calibri"/>
        </w:rPr>
        <w:t xml:space="preserve">Over the past year, the median weekly rent for a </w:t>
      </w:r>
      <w:r>
        <w:rPr>
          <w:rFonts w:ascii="Calibri" w:hAnsi="Calibri"/>
        </w:rPr>
        <w:t xml:space="preserve">West Coast </w:t>
      </w:r>
      <w:r w:rsidR="000E6C3B">
        <w:rPr>
          <w:rFonts w:ascii="Calibri" w:hAnsi="Calibri"/>
        </w:rPr>
        <w:t xml:space="preserve">property has </w:t>
      </w:r>
      <w:r>
        <w:rPr>
          <w:rFonts w:ascii="Calibri" w:hAnsi="Calibri"/>
        </w:rPr>
        <w:t>fall</w:t>
      </w:r>
      <w:r w:rsidR="000E6C3B">
        <w:rPr>
          <w:rFonts w:ascii="Calibri" w:hAnsi="Calibri"/>
        </w:rPr>
        <w:t>en</w:t>
      </w:r>
      <w:r>
        <w:rPr>
          <w:rFonts w:ascii="Calibri" w:hAnsi="Calibri"/>
        </w:rPr>
        <w:t xml:space="preserve"> by 7.4 per cent</w:t>
      </w:r>
      <w:r w:rsidR="000E6C3B">
        <w:rPr>
          <w:rFonts w:ascii="Calibri" w:hAnsi="Calibri"/>
        </w:rPr>
        <w:t xml:space="preserve">, and median </w:t>
      </w:r>
      <w:r w:rsidR="00DA6AB5">
        <w:rPr>
          <w:rFonts w:ascii="Calibri" w:hAnsi="Calibri"/>
        </w:rPr>
        <w:t xml:space="preserve">rents </w:t>
      </w:r>
      <w:r w:rsidR="000E6C3B">
        <w:rPr>
          <w:rFonts w:ascii="Calibri" w:hAnsi="Calibri"/>
        </w:rPr>
        <w:t xml:space="preserve">are down </w:t>
      </w:r>
      <w:r>
        <w:rPr>
          <w:rFonts w:ascii="Calibri" w:hAnsi="Calibri"/>
        </w:rPr>
        <w:t>12.3 per cent</w:t>
      </w:r>
      <w:r w:rsidR="000E6C3B">
        <w:rPr>
          <w:rFonts w:ascii="Calibri" w:hAnsi="Calibri"/>
        </w:rPr>
        <w:t xml:space="preserve"> since April 2010</w:t>
      </w:r>
      <w:r>
        <w:rPr>
          <w:rFonts w:ascii="Calibri" w:hAnsi="Calibri"/>
        </w:rPr>
        <w:t xml:space="preserve">. </w:t>
      </w:r>
    </w:p>
    <w:p w:rsidR="000E6C3B" w:rsidRDefault="000E6C3B">
      <w:pPr>
        <w:pStyle w:val="Body"/>
        <w:jc w:val="both"/>
        <w:rPr>
          <w:rFonts w:ascii="Calibri" w:hAnsi="Calibri"/>
        </w:rPr>
      </w:pPr>
    </w:p>
    <w:p w:rsidR="001D7BBF" w:rsidRDefault="00322073">
      <w:pPr>
        <w:pStyle w:val="Body"/>
        <w:jc w:val="both"/>
        <w:rPr>
          <w:rFonts w:ascii="Calibri" w:hAnsi="Calibri"/>
        </w:rPr>
      </w:pPr>
      <w:r>
        <w:rPr>
          <w:rFonts w:ascii="Calibri" w:hAnsi="Calibri"/>
        </w:rPr>
        <w:t xml:space="preserve">Manawatu has </w:t>
      </w:r>
      <w:r w:rsidR="006E34B8">
        <w:rPr>
          <w:rFonts w:ascii="Calibri" w:hAnsi="Calibri"/>
        </w:rPr>
        <w:t>fared</w:t>
      </w:r>
      <w:r>
        <w:rPr>
          <w:rFonts w:ascii="Calibri" w:hAnsi="Calibri"/>
        </w:rPr>
        <w:t xml:space="preserve"> slightly better</w:t>
      </w:r>
      <w:r w:rsidR="000E6C3B">
        <w:rPr>
          <w:rFonts w:ascii="Calibri" w:hAnsi="Calibri"/>
        </w:rPr>
        <w:t xml:space="preserve">, with median weekly rents unchanged </w:t>
      </w:r>
      <w:r>
        <w:rPr>
          <w:rFonts w:ascii="Calibri" w:hAnsi="Calibri"/>
        </w:rPr>
        <w:t>year-on-year</w:t>
      </w:r>
      <w:r w:rsidR="000E6C3B">
        <w:rPr>
          <w:rFonts w:ascii="Calibri" w:hAnsi="Calibri"/>
        </w:rPr>
        <w:t xml:space="preserve"> but declining </w:t>
      </w:r>
      <w:r>
        <w:rPr>
          <w:rFonts w:ascii="Calibri" w:hAnsi="Calibri"/>
        </w:rPr>
        <w:t>4.2 per cent decline over the past 5 years</w:t>
      </w:r>
      <w:r w:rsidR="006E34B8">
        <w:rPr>
          <w:rFonts w:ascii="Calibri" w:hAnsi="Calibri"/>
        </w:rPr>
        <w:t>.</w:t>
      </w:r>
    </w:p>
    <w:p w:rsidR="003532F0" w:rsidRDefault="003532F0" w:rsidP="00B85339">
      <w:pPr>
        <w:pStyle w:val="Body"/>
        <w:jc w:val="both"/>
        <w:rPr>
          <w:rFonts w:ascii="Calibri" w:hAnsi="Calibri"/>
        </w:rPr>
      </w:pPr>
    </w:p>
    <w:p w:rsidR="00F02DDD" w:rsidRDefault="00F02DDD" w:rsidP="00B85339">
      <w:pPr>
        <w:pStyle w:val="Body"/>
        <w:jc w:val="both"/>
        <w:rPr>
          <w:rFonts w:ascii="Calibri" w:hAnsi="Calibri"/>
        </w:rPr>
      </w:pPr>
    </w:p>
    <w:p w:rsidR="00F02DDD" w:rsidRDefault="00F02DDD" w:rsidP="00B85339">
      <w:pPr>
        <w:pStyle w:val="Body"/>
        <w:jc w:val="both"/>
        <w:rPr>
          <w:rFonts w:ascii="Calibri" w:hAnsi="Calibri"/>
        </w:rPr>
      </w:pPr>
    </w:p>
    <w:p w:rsidR="00F02DDD" w:rsidRPr="00B85339" w:rsidRDefault="00F02DDD" w:rsidP="00B85339">
      <w:pPr>
        <w:pStyle w:val="Body"/>
        <w:jc w:val="both"/>
        <w:rPr>
          <w:rFonts w:ascii="Calibri" w:hAnsi="Calibri"/>
        </w:rPr>
      </w:pPr>
    </w:p>
    <w:p w:rsidR="007F4BB7" w:rsidRDefault="007F4BB7" w:rsidP="007F4BB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Helvetica" w:hAnsi="Helvetica" w:cs="Helvetica"/>
        </w:rPr>
      </w:pPr>
      <w:r>
        <w:rPr>
          <w:rFonts w:ascii="Helvetica" w:hAnsi="Helvetica" w:cs="Helvetica"/>
          <w:noProof/>
          <w:lang w:val="en-NZ" w:eastAsia="en-NZ"/>
        </w:rPr>
        <w:lastRenderedPageBreak/>
        <w:drawing>
          <wp:inline distT="0" distB="0" distL="0" distR="0" wp14:anchorId="264902A9" wp14:editId="59F7CF1B">
            <wp:extent cx="6203047" cy="5715423"/>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4037" cy="5716335"/>
                    </a:xfrm>
                    <a:prstGeom prst="rect">
                      <a:avLst/>
                    </a:prstGeom>
                    <a:noFill/>
                    <a:ln>
                      <a:noFill/>
                    </a:ln>
                  </pic:spPr>
                </pic:pic>
              </a:graphicData>
            </a:graphic>
          </wp:inline>
        </w:drawing>
      </w:r>
    </w:p>
    <w:p w:rsidR="003532F0" w:rsidRDefault="003532F0" w:rsidP="00B85339">
      <w:pPr>
        <w:pStyle w:val="Body"/>
        <w:jc w:val="both"/>
        <w:rPr>
          <w:rFonts w:ascii="Calibri" w:hAnsi="Calibri"/>
        </w:rPr>
      </w:pPr>
    </w:p>
    <w:p w:rsidR="00F40D63" w:rsidRPr="00B85339" w:rsidRDefault="00F40D63" w:rsidP="00B85339">
      <w:pPr>
        <w:pStyle w:val="Body"/>
        <w:jc w:val="both"/>
        <w:rPr>
          <w:rFonts w:ascii="Calibri" w:hAnsi="Calibri"/>
        </w:rPr>
      </w:pPr>
    </w:p>
    <w:p w:rsidR="00A660AD" w:rsidRDefault="00A660AD" w:rsidP="00B85339">
      <w:pPr>
        <w:pStyle w:val="Body"/>
        <w:jc w:val="both"/>
        <w:rPr>
          <w:rFonts w:ascii="Calibri" w:hAnsi="Calibri"/>
          <w:b/>
        </w:rPr>
      </w:pPr>
    </w:p>
    <w:p w:rsidR="00F02DDD" w:rsidRDefault="00F02DDD" w:rsidP="00B85339">
      <w:pPr>
        <w:pStyle w:val="Body"/>
        <w:jc w:val="both"/>
        <w:rPr>
          <w:rFonts w:ascii="Calibri" w:hAnsi="Calibri"/>
          <w:b/>
        </w:rPr>
      </w:pPr>
    </w:p>
    <w:p w:rsidR="003532F0" w:rsidRPr="00B85339" w:rsidRDefault="0009093E" w:rsidP="00B85339">
      <w:pPr>
        <w:pStyle w:val="Body"/>
        <w:jc w:val="both"/>
        <w:rPr>
          <w:rFonts w:ascii="Calibri" w:hAnsi="Calibri"/>
          <w:b/>
        </w:rPr>
      </w:pPr>
      <w:r>
        <w:rPr>
          <w:rFonts w:ascii="Calibri" w:hAnsi="Calibri"/>
          <w:b/>
        </w:rPr>
        <w:t xml:space="preserve">Rents for smaller properties driving the market </w:t>
      </w:r>
      <w:r w:rsidR="00226C44" w:rsidRPr="00B85339">
        <w:rPr>
          <w:rFonts w:ascii="Calibri" w:hAnsi="Calibri"/>
          <w:b/>
        </w:rPr>
        <w:t xml:space="preserve"> </w:t>
      </w:r>
    </w:p>
    <w:p w:rsidR="003532F0" w:rsidRPr="00B85339" w:rsidRDefault="003532F0" w:rsidP="00B85339">
      <w:pPr>
        <w:pStyle w:val="Body"/>
        <w:jc w:val="both"/>
        <w:rPr>
          <w:rFonts w:ascii="Calibri" w:hAnsi="Calibri"/>
        </w:rPr>
      </w:pPr>
    </w:p>
    <w:p w:rsidR="00404066" w:rsidRDefault="0009093E" w:rsidP="00887CCE">
      <w:pPr>
        <w:pStyle w:val="Body"/>
        <w:jc w:val="both"/>
        <w:rPr>
          <w:rFonts w:ascii="Calibri" w:hAnsi="Calibri"/>
        </w:rPr>
      </w:pPr>
      <w:r>
        <w:rPr>
          <w:rFonts w:ascii="Calibri" w:hAnsi="Calibri"/>
        </w:rPr>
        <w:t>Smaller properties</w:t>
      </w:r>
      <w:r w:rsidR="00404066">
        <w:rPr>
          <w:rFonts w:ascii="Calibri" w:hAnsi="Calibri"/>
        </w:rPr>
        <w:t xml:space="preserve"> (</w:t>
      </w:r>
      <w:r>
        <w:rPr>
          <w:rFonts w:ascii="Calibri" w:hAnsi="Calibri"/>
        </w:rPr>
        <w:t>1</w:t>
      </w:r>
      <w:r w:rsidR="00404066">
        <w:rPr>
          <w:rFonts w:ascii="Calibri" w:hAnsi="Calibri"/>
        </w:rPr>
        <w:t>-2</w:t>
      </w:r>
      <w:r>
        <w:rPr>
          <w:rFonts w:ascii="Calibri" w:hAnsi="Calibri"/>
        </w:rPr>
        <w:t xml:space="preserve"> bedrooms</w:t>
      </w:r>
      <w:r w:rsidR="00404066">
        <w:rPr>
          <w:rFonts w:ascii="Calibri" w:hAnsi="Calibri"/>
        </w:rPr>
        <w:t>)</w:t>
      </w:r>
      <w:r>
        <w:rPr>
          <w:rFonts w:ascii="Calibri" w:hAnsi="Calibri"/>
        </w:rPr>
        <w:t xml:space="preserve"> </w:t>
      </w:r>
      <w:r w:rsidR="00404066">
        <w:rPr>
          <w:rFonts w:ascii="Calibri" w:hAnsi="Calibri"/>
        </w:rPr>
        <w:t xml:space="preserve">showed </w:t>
      </w:r>
      <w:r>
        <w:rPr>
          <w:rFonts w:ascii="Calibri" w:hAnsi="Calibri"/>
        </w:rPr>
        <w:t xml:space="preserve">the largest rise in </w:t>
      </w:r>
      <w:r w:rsidR="00404066">
        <w:rPr>
          <w:rFonts w:ascii="Calibri" w:hAnsi="Calibri"/>
        </w:rPr>
        <w:t xml:space="preserve">median </w:t>
      </w:r>
      <w:r>
        <w:rPr>
          <w:rFonts w:ascii="Calibri" w:hAnsi="Calibri"/>
        </w:rPr>
        <w:t xml:space="preserve">rents over the past year, </w:t>
      </w:r>
      <w:r w:rsidR="00404066">
        <w:rPr>
          <w:rFonts w:ascii="Calibri" w:hAnsi="Calibri"/>
        </w:rPr>
        <w:t xml:space="preserve">up </w:t>
      </w:r>
      <w:r>
        <w:rPr>
          <w:rFonts w:ascii="Calibri" w:hAnsi="Calibri"/>
        </w:rPr>
        <w:t>6.5 per cent</w:t>
      </w:r>
      <w:r w:rsidR="00404066">
        <w:rPr>
          <w:rFonts w:ascii="Calibri" w:hAnsi="Calibri"/>
        </w:rPr>
        <w:t xml:space="preserve"> or $20 per week over the past year</w:t>
      </w:r>
      <w:r>
        <w:rPr>
          <w:rFonts w:ascii="Calibri" w:hAnsi="Calibri"/>
        </w:rPr>
        <w:t xml:space="preserve">. </w:t>
      </w:r>
      <w:r w:rsidR="00404066">
        <w:rPr>
          <w:rFonts w:ascii="Calibri" w:hAnsi="Calibri"/>
        </w:rPr>
        <w:t xml:space="preserve"> Smaller homes in </w:t>
      </w:r>
      <w:r>
        <w:rPr>
          <w:rFonts w:ascii="Calibri" w:hAnsi="Calibri"/>
        </w:rPr>
        <w:t xml:space="preserve">Auckland and Wellington </w:t>
      </w:r>
      <w:r w:rsidR="00404066">
        <w:rPr>
          <w:rFonts w:ascii="Calibri" w:hAnsi="Calibri"/>
        </w:rPr>
        <w:t xml:space="preserve">saw </w:t>
      </w:r>
      <w:r>
        <w:rPr>
          <w:rFonts w:ascii="Calibri" w:hAnsi="Calibri"/>
        </w:rPr>
        <w:t xml:space="preserve">increases </w:t>
      </w:r>
      <w:r w:rsidR="00404066">
        <w:rPr>
          <w:rFonts w:ascii="Calibri" w:hAnsi="Calibri"/>
        </w:rPr>
        <w:t xml:space="preserve">of </w:t>
      </w:r>
      <w:r>
        <w:rPr>
          <w:rFonts w:ascii="Calibri" w:hAnsi="Calibri"/>
        </w:rPr>
        <w:t xml:space="preserve">5.3 per cent and 4.8 per cent respectively, whilst Christchurch </w:t>
      </w:r>
      <w:r w:rsidR="00404066">
        <w:rPr>
          <w:rFonts w:ascii="Calibri" w:hAnsi="Calibri"/>
        </w:rPr>
        <w:t xml:space="preserve">was more subdued as </w:t>
      </w:r>
      <w:r>
        <w:rPr>
          <w:rFonts w:ascii="Calibri" w:hAnsi="Calibri"/>
        </w:rPr>
        <w:t xml:space="preserve">rents </w:t>
      </w:r>
      <w:r w:rsidR="00404066">
        <w:rPr>
          <w:rFonts w:ascii="Calibri" w:hAnsi="Calibri"/>
        </w:rPr>
        <w:t xml:space="preserve">only rose </w:t>
      </w:r>
      <w:r>
        <w:rPr>
          <w:rFonts w:ascii="Calibri" w:hAnsi="Calibri"/>
        </w:rPr>
        <w:t>2.1 per cent</w:t>
      </w:r>
      <w:r w:rsidR="00404066">
        <w:rPr>
          <w:rFonts w:ascii="Calibri" w:hAnsi="Calibri"/>
        </w:rPr>
        <w:t xml:space="preserve"> year-on-year</w:t>
      </w:r>
      <w:r>
        <w:rPr>
          <w:rFonts w:ascii="Calibri" w:hAnsi="Calibri"/>
        </w:rPr>
        <w:t xml:space="preserve">. </w:t>
      </w:r>
    </w:p>
    <w:p w:rsidR="00404066" w:rsidRDefault="00404066" w:rsidP="00887CCE">
      <w:pPr>
        <w:pStyle w:val="Body"/>
        <w:jc w:val="both"/>
        <w:rPr>
          <w:rFonts w:ascii="Calibri" w:hAnsi="Calibri"/>
        </w:rPr>
      </w:pPr>
    </w:p>
    <w:p w:rsidR="00C95FAE" w:rsidRDefault="0009093E" w:rsidP="00887CCE">
      <w:pPr>
        <w:pStyle w:val="Body"/>
        <w:jc w:val="both"/>
        <w:rPr>
          <w:rFonts w:ascii="Calibri" w:hAnsi="Calibri"/>
        </w:rPr>
      </w:pPr>
      <w:r>
        <w:rPr>
          <w:rFonts w:ascii="Calibri" w:hAnsi="Calibri"/>
        </w:rPr>
        <w:t>The largest rise in rents for smaller properties was in the Bay of Plenty</w:t>
      </w:r>
      <w:r w:rsidR="00404066">
        <w:rPr>
          <w:rFonts w:ascii="Calibri" w:hAnsi="Calibri"/>
        </w:rPr>
        <w:t>,</w:t>
      </w:r>
      <w:r>
        <w:rPr>
          <w:rFonts w:ascii="Calibri" w:hAnsi="Calibri"/>
        </w:rPr>
        <w:t xml:space="preserve"> up 11.5 per cent over the past yea</w:t>
      </w:r>
      <w:r w:rsidR="00404066">
        <w:rPr>
          <w:rFonts w:ascii="Calibri" w:hAnsi="Calibri"/>
        </w:rPr>
        <w:t>r to a new record high of $290 per</w:t>
      </w:r>
      <w:r>
        <w:rPr>
          <w:rFonts w:ascii="Calibri" w:hAnsi="Calibri"/>
        </w:rPr>
        <w:t xml:space="preserve"> week.</w:t>
      </w:r>
    </w:p>
    <w:p w:rsidR="0009093E" w:rsidRDefault="0009093E" w:rsidP="00887CCE">
      <w:pPr>
        <w:pStyle w:val="Body"/>
        <w:jc w:val="both"/>
        <w:rPr>
          <w:rFonts w:ascii="Calibri" w:hAnsi="Calibri"/>
        </w:rPr>
      </w:pPr>
    </w:p>
    <w:p w:rsidR="00404066" w:rsidRDefault="00404066" w:rsidP="00887CCE">
      <w:pPr>
        <w:pStyle w:val="Body"/>
        <w:jc w:val="both"/>
        <w:rPr>
          <w:rFonts w:ascii="Calibri" w:hAnsi="Calibri"/>
        </w:rPr>
      </w:pPr>
      <w:proofErr w:type="spellStart"/>
      <w:r>
        <w:rPr>
          <w:rFonts w:ascii="Calibri" w:hAnsi="Calibri"/>
        </w:rPr>
        <w:t>Mr</w:t>
      </w:r>
      <w:proofErr w:type="spellEnd"/>
      <w:r>
        <w:rPr>
          <w:rFonts w:ascii="Calibri" w:hAnsi="Calibri"/>
        </w:rPr>
        <w:t xml:space="preserve"> Jeffries said the </w:t>
      </w:r>
      <w:r w:rsidR="0009093E">
        <w:rPr>
          <w:rFonts w:ascii="Calibri" w:hAnsi="Calibri"/>
        </w:rPr>
        <w:t xml:space="preserve">Christchurch rental market </w:t>
      </w:r>
      <w:r>
        <w:rPr>
          <w:rFonts w:ascii="Calibri" w:hAnsi="Calibri"/>
        </w:rPr>
        <w:t xml:space="preserve">had “changed significantly” </w:t>
      </w:r>
      <w:r w:rsidR="0009093E">
        <w:rPr>
          <w:rFonts w:ascii="Calibri" w:hAnsi="Calibri"/>
        </w:rPr>
        <w:t xml:space="preserve">over the past year. </w:t>
      </w:r>
      <w:r>
        <w:rPr>
          <w:rFonts w:ascii="Calibri" w:hAnsi="Calibri"/>
        </w:rPr>
        <w:t xml:space="preserve">“In April 2014 we saw </w:t>
      </w:r>
      <w:r w:rsidR="0009093E">
        <w:rPr>
          <w:rFonts w:ascii="Calibri" w:hAnsi="Calibri"/>
        </w:rPr>
        <w:t>rents</w:t>
      </w:r>
      <w:r>
        <w:rPr>
          <w:rFonts w:ascii="Calibri" w:hAnsi="Calibri"/>
        </w:rPr>
        <w:t xml:space="preserve"> in the city rising</w:t>
      </w:r>
      <w:r w:rsidR="0009093E">
        <w:rPr>
          <w:rFonts w:ascii="Calibri" w:hAnsi="Calibri"/>
        </w:rPr>
        <w:t xml:space="preserve"> by over 8 per cent per annum</w:t>
      </w:r>
      <w:r>
        <w:rPr>
          <w:rFonts w:ascii="Calibri" w:hAnsi="Calibri"/>
        </w:rPr>
        <w:t xml:space="preserve"> – a year later we see median rent is unchanged for the most prevalent medium-</w:t>
      </w:r>
      <w:r w:rsidR="0009093E">
        <w:rPr>
          <w:rFonts w:ascii="Calibri" w:hAnsi="Calibri"/>
        </w:rPr>
        <w:t>sized properties</w:t>
      </w:r>
      <w:r>
        <w:rPr>
          <w:rFonts w:ascii="Calibri" w:hAnsi="Calibri"/>
        </w:rPr>
        <w:t xml:space="preserve"> and median rents for large homes have fallen by more than 13 per cent year-on-year.”</w:t>
      </w:r>
    </w:p>
    <w:p w:rsidR="00C4286D" w:rsidRDefault="00C4286D">
      <w:pPr>
        <w:rPr>
          <w:rFonts w:ascii="Calibri" w:hAnsi="Calibri" w:cs="Arial Unicode MS"/>
          <w:i/>
          <w:color w:val="000000"/>
          <w:sz w:val="20"/>
          <w:szCs w:val="20"/>
          <w:lang w:eastAsia="en-NZ"/>
        </w:rPr>
      </w:pPr>
      <w:r>
        <w:rPr>
          <w:rFonts w:ascii="Calibri" w:hAnsi="Calibri" w:cs="Arial Unicode MS"/>
          <w:i/>
          <w:color w:val="000000"/>
          <w:sz w:val="20"/>
          <w:szCs w:val="20"/>
          <w:lang w:eastAsia="en-NZ"/>
        </w:rPr>
        <w:br w:type="page"/>
      </w:r>
    </w:p>
    <w:p w:rsidR="008A32B2" w:rsidRDefault="008A32B2" w:rsidP="008A32B2">
      <w:pPr>
        <w:pStyle w:val="Body"/>
        <w:rPr>
          <w:rFonts w:ascii="Calibri" w:hAnsi="Calibri"/>
          <w:i/>
          <w:sz w:val="20"/>
          <w:szCs w:val="20"/>
        </w:rPr>
      </w:pPr>
    </w:p>
    <w:p w:rsidR="008A32B2" w:rsidRPr="0040184F" w:rsidRDefault="008A32B2" w:rsidP="008A32B2">
      <w:pPr>
        <w:pStyle w:val="Body"/>
        <w:rPr>
          <w:rFonts w:ascii="Calibri" w:hAnsi="Calibri"/>
          <w:i/>
          <w:sz w:val="20"/>
          <w:szCs w:val="20"/>
        </w:rPr>
      </w:pPr>
      <w:r w:rsidRPr="0040184F">
        <w:rPr>
          <w:rFonts w:ascii="Calibri" w:hAnsi="Calibri"/>
          <w:i/>
          <w:sz w:val="20"/>
          <w:szCs w:val="20"/>
        </w:rPr>
        <w:t>Table 1: Median weekly rent by property size &amp; region</w:t>
      </w:r>
    </w:p>
    <w:p w:rsidR="008A32B2" w:rsidRPr="0040184F" w:rsidRDefault="008A32B2" w:rsidP="008A32B2">
      <w:pPr>
        <w:pStyle w:val="Body"/>
        <w:rPr>
          <w:rFonts w:ascii="Calibri" w:hAnsi="Calibri"/>
          <w:i/>
          <w:sz w:val="20"/>
          <w:szCs w:val="20"/>
        </w:rPr>
      </w:pPr>
    </w:p>
    <w:tbl>
      <w:tblPr>
        <w:tblStyle w:val="LightShading-Accent1"/>
        <w:tblW w:w="0" w:type="auto"/>
        <w:tblCellSpacing w:w="57" w:type="dxa"/>
        <w:tblCellMar>
          <w:top w:w="115" w:type="dxa"/>
          <w:left w:w="115" w:type="dxa"/>
          <w:bottom w:w="115" w:type="dxa"/>
          <w:right w:w="115" w:type="dxa"/>
        </w:tblCellMar>
        <w:tblLook w:val="04A0" w:firstRow="1" w:lastRow="0" w:firstColumn="1" w:lastColumn="0" w:noHBand="0" w:noVBand="1"/>
      </w:tblPr>
      <w:tblGrid>
        <w:gridCol w:w="1958"/>
        <w:gridCol w:w="1868"/>
        <w:gridCol w:w="1890"/>
        <w:gridCol w:w="1920"/>
        <w:gridCol w:w="2002"/>
      </w:tblGrid>
      <w:tr w:rsidR="008A32B2" w:rsidRPr="0040184F" w:rsidTr="00DD07FD">
        <w:trPr>
          <w:cnfStyle w:val="100000000000" w:firstRow="1" w:lastRow="0" w:firstColumn="0" w:lastColumn="0" w:oddVBand="0" w:evenVBand="0" w:oddHBand="0" w:evenHBand="0" w:firstRowFirstColumn="0" w:firstRowLastColumn="0" w:lastRowFirstColumn="0" w:lastRowLastColumn="0"/>
          <w:tblCellSpacing w:w="57" w:type="dxa"/>
        </w:trPr>
        <w:tc>
          <w:tcPr>
            <w:cnfStyle w:val="001000000000" w:firstRow="0" w:lastRow="0" w:firstColumn="1" w:lastColumn="0" w:oddVBand="0" w:evenVBand="0" w:oddHBand="0" w:evenHBand="0" w:firstRowFirstColumn="0" w:firstRowLastColumn="0" w:lastRowFirstColumn="0" w:lastRowLastColumn="0"/>
            <w:tcW w:w="1787" w:type="dxa"/>
          </w:tcPr>
          <w:p w:rsidR="008A32B2" w:rsidRPr="0040184F" w:rsidRDefault="008A32B2" w:rsidP="00DD07FD">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sz w:val="20"/>
                <w:szCs w:val="20"/>
              </w:rPr>
            </w:pPr>
          </w:p>
        </w:tc>
        <w:tc>
          <w:tcPr>
            <w:tcW w:w="1754" w:type="dxa"/>
            <w:shd w:val="clear" w:color="auto" w:fill="E5E5E5" w:themeFill="background2" w:themeFillTint="66"/>
          </w:tcPr>
          <w:p w:rsidR="008A32B2" w:rsidRPr="0040184F" w:rsidRDefault="008A32B2" w:rsidP="00DD07FD">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40184F">
              <w:rPr>
                <w:rFonts w:ascii="Calibri" w:hAnsi="Calibri"/>
                <w:sz w:val="20"/>
                <w:szCs w:val="20"/>
              </w:rPr>
              <w:t>New Zealand</w:t>
            </w:r>
          </w:p>
        </w:tc>
        <w:tc>
          <w:tcPr>
            <w:tcW w:w="1776" w:type="dxa"/>
            <w:shd w:val="clear" w:color="auto" w:fill="E5E5E5" w:themeFill="background2" w:themeFillTint="66"/>
          </w:tcPr>
          <w:p w:rsidR="008A32B2" w:rsidRPr="0040184F" w:rsidRDefault="008A32B2" w:rsidP="00DD07FD">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40184F">
              <w:rPr>
                <w:rFonts w:ascii="Calibri" w:hAnsi="Calibri"/>
                <w:sz w:val="20"/>
                <w:szCs w:val="20"/>
              </w:rPr>
              <w:t>Auckland</w:t>
            </w:r>
          </w:p>
        </w:tc>
        <w:tc>
          <w:tcPr>
            <w:tcW w:w="1806" w:type="dxa"/>
            <w:shd w:val="clear" w:color="auto" w:fill="E5E5E5" w:themeFill="background2" w:themeFillTint="66"/>
          </w:tcPr>
          <w:p w:rsidR="008A32B2" w:rsidRPr="0040184F" w:rsidRDefault="008A32B2" w:rsidP="00DD07FD">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40184F">
              <w:rPr>
                <w:rFonts w:ascii="Calibri" w:hAnsi="Calibri"/>
                <w:sz w:val="20"/>
                <w:szCs w:val="20"/>
              </w:rPr>
              <w:t>Wellington</w:t>
            </w:r>
          </w:p>
        </w:tc>
        <w:tc>
          <w:tcPr>
            <w:tcW w:w="1831" w:type="dxa"/>
            <w:shd w:val="clear" w:color="auto" w:fill="E5E5E5" w:themeFill="background2" w:themeFillTint="66"/>
          </w:tcPr>
          <w:p w:rsidR="008A32B2" w:rsidRPr="0040184F" w:rsidRDefault="008A32B2" w:rsidP="00DD07FD">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40184F">
              <w:rPr>
                <w:rFonts w:ascii="Calibri" w:hAnsi="Calibri"/>
                <w:sz w:val="20"/>
                <w:szCs w:val="20"/>
              </w:rPr>
              <w:t>Christchurch</w:t>
            </w:r>
          </w:p>
        </w:tc>
      </w:tr>
      <w:tr w:rsidR="008A32B2" w:rsidRPr="0040184F" w:rsidTr="00DD07FD">
        <w:trPr>
          <w:cnfStyle w:val="000000100000" w:firstRow="0" w:lastRow="0" w:firstColumn="0" w:lastColumn="0" w:oddVBand="0" w:evenVBand="0" w:oddHBand="1" w:evenHBand="0" w:firstRowFirstColumn="0" w:firstRowLastColumn="0" w:lastRowFirstColumn="0" w:lastRowLastColumn="0"/>
          <w:tblCellSpacing w:w="57" w:type="dxa"/>
        </w:trPr>
        <w:tc>
          <w:tcPr>
            <w:cnfStyle w:val="001000000000" w:firstRow="0" w:lastRow="0" w:firstColumn="1" w:lastColumn="0" w:oddVBand="0" w:evenVBand="0" w:oddHBand="0" w:evenHBand="0" w:firstRowFirstColumn="0" w:firstRowLastColumn="0" w:lastRowFirstColumn="0" w:lastRowLastColumn="0"/>
            <w:tcW w:w="1787" w:type="dxa"/>
            <w:shd w:val="clear" w:color="auto" w:fill="E5E5E5" w:themeFill="background2" w:themeFillTint="66"/>
          </w:tcPr>
          <w:p w:rsidR="008A32B2" w:rsidRPr="0040184F" w:rsidRDefault="008A32B2" w:rsidP="00DD07F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0"/>
                <w:szCs w:val="20"/>
              </w:rPr>
            </w:pPr>
            <w:r w:rsidRPr="0040184F">
              <w:rPr>
                <w:rFonts w:ascii="Calibri" w:hAnsi="Calibri"/>
                <w:sz w:val="20"/>
                <w:szCs w:val="20"/>
              </w:rPr>
              <w:t>Large houses</w:t>
            </w:r>
            <w:r w:rsidRPr="0040184F">
              <w:rPr>
                <w:rFonts w:ascii="Calibri" w:hAnsi="Calibri"/>
                <w:sz w:val="20"/>
                <w:szCs w:val="20"/>
              </w:rPr>
              <w:br/>
            </w:r>
            <w:r w:rsidRPr="0040184F">
              <w:rPr>
                <w:rFonts w:ascii="Calibri" w:hAnsi="Calibri"/>
                <w:b w:val="0"/>
                <w:sz w:val="20"/>
                <w:szCs w:val="20"/>
              </w:rPr>
              <w:t>5+ bedrooms</w:t>
            </w:r>
          </w:p>
        </w:tc>
        <w:tc>
          <w:tcPr>
            <w:tcW w:w="1754" w:type="dxa"/>
            <w:shd w:val="clear" w:color="auto" w:fill="FFFFFF" w:themeFill="background1"/>
          </w:tcPr>
          <w:p w:rsidR="008A32B2" w:rsidRPr="0040184F" w:rsidRDefault="00770C4F" w:rsidP="00DD07FD">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$665</w:t>
            </w:r>
            <w:r>
              <w:rPr>
                <w:rFonts w:ascii="Calibri" w:hAnsi="Calibri"/>
                <w:sz w:val="20"/>
                <w:szCs w:val="20"/>
              </w:rPr>
              <w:br/>
              <w:t>+ 2.3</w:t>
            </w:r>
            <w:r w:rsidR="008A32B2" w:rsidRPr="0040184F">
              <w:rPr>
                <w:rFonts w:ascii="Calibri" w:hAnsi="Calibri"/>
                <w:sz w:val="20"/>
                <w:szCs w:val="20"/>
              </w:rPr>
              <w:t>%</w:t>
            </w:r>
          </w:p>
        </w:tc>
        <w:tc>
          <w:tcPr>
            <w:tcW w:w="1776" w:type="dxa"/>
            <w:shd w:val="clear" w:color="auto" w:fill="FFFFFF" w:themeFill="background1"/>
          </w:tcPr>
          <w:p w:rsidR="008A32B2" w:rsidRPr="0040184F" w:rsidRDefault="00770C4F" w:rsidP="00DD07FD">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$748</w:t>
            </w:r>
            <w:r>
              <w:rPr>
                <w:rFonts w:ascii="Calibri" w:hAnsi="Calibri"/>
                <w:sz w:val="20"/>
                <w:szCs w:val="20"/>
              </w:rPr>
              <w:br/>
              <w:t>+ 9.9</w:t>
            </w:r>
            <w:r w:rsidR="008A32B2" w:rsidRPr="0040184F">
              <w:rPr>
                <w:rFonts w:ascii="Calibri" w:hAnsi="Calibri"/>
                <w:sz w:val="20"/>
                <w:szCs w:val="20"/>
              </w:rPr>
              <w:t>%</w:t>
            </w:r>
          </w:p>
        </w:tc>
        <w:tc>
          <w:tcPr>
            <w:tcW w:w="1806" w:type="dxa"/>
            <w:shd w:val="clear" w:color="auto" w:fill="FFFFFF" w:themeFill="background1"/>
          </w:tcPr>
          <w:p w:rsidR="008A32B2" w:rsidRPr="0040184F" w:rsidRDefault="00770C4F" w:rsidP="00DD07FD">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alibri" w:hAnsi="Calibri"/>
                <w:color w:val="auto"/>
                <w:sz w:val="20"/>
                <w:szCs w:val="20"/>
              </w:rPr>
            </w:pPr>
            <w:r>
              <w:rPr>
                <w:rFonts w:ascii="Calibri" w:hAnsi="Calibri"/>
                <w:color w:val="auto"/>
                <w:sz w:val="20"/>
                <w:szCs w:val="20"/>
              </w:rPr>
              <w:t>$635</w:t>
            </w:r>
            <w:r w:rsidR="008A32B2">
              <w:rPr>
                <w:rFonts w:ascii="Calibri" w:hAnsi="Calibri"/>
                <w:color w:val="auto"/>
                <w:sz w:val="20"/>
                <w:szCs w:val="20"/>
              </w:rPr>
              <w:br/>
            </w:r>
            <w:r>
              <w:rPr>
                <w:rFonts w:ascii="Calibri" w:hAnsi="Calibri"/>
                <w:color w:val="FF0000"/>
                <w:sz w:val="20"/>
                <w:szCs w:val="20"/>
              </w:rPr>
              <w:t>- 2.3</w:t>
            </w:r>
            <w:r w:rsidRPr="00DD07FD">
              <w:rPr>
                <w:rFonts w:ascii="Calibri" w:hAnsi="Calibri"/>
                <w:color w:val="FF0000"/>
                <w:sz w:val="20"/>
                <w:szCs w:val="20"/>
              </w:rPr>
              <w:t>%</w:t>
            </w:r>
            <w:r w:rsidR="008A32B2" w:rsidRPr="0040184F">
              <w:rPr>
                <w:rFonts w:ascii="Calibri" w:hAnsi="Calibri"/>
                <w:color w:val="auto"/>
                <w:sz w:val="20"/>
                <w:szCs w:val="20"/>
              </w:rPr>
              <w:tab/>
            </w:r>
          </w:p>
        </w:tc>
        <w:tc>
          <w:tcPr>
            <w:tcW w:w="1831" w:type="dxa"/>
            <w:shd w:val="clear" w:color="auto" w:fill="FFFFFF" w:themeFill="background1"/>
          </w:tcPr>
          <w:p w:rsidR="008A32B2" w:rsidRPr="0040184F" w:rsidRDefault="00770C4F" w:rsidP="00770C4F">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$650</w:t>
            </w:r>
            <w:r w:rsidR="008A32B2">
              <w:rPr>
                <w:rFonts w:ascii="Calibri" w:hAnsi="Calibri"/>
                <w:sz w:val="20"/>
                <w:szCs w:val="20"/>
              </w:rPr>
              <w:br/>
            </w:r>
            <w:r w:rsidR="008A32B2" w:rsidRPr="00DD07FD">
              <w:rPr>
                <w:rFonts w:ascii="Calibri" w:hAnsi="Calibri"/>
                <w:color w:val="FF0000"/>
                <w:sz w:val="20"/>
                <w:szCs w:val="20"/>
              </w:rPr>
              <w:t>- 1</w:t>
            </w:r>
            <w:r>
              <w:rPr>
                <w:rFonts w:ascii="Calibri" w:hAnsi="Calibri"/>
                <w:color w:val="FF0000"/>
                <w:sz w:val="20"/>
                <w:szCs w:val="20"/>
              </w:rPr>
              <w:t>3</w:t>
            </w:r>
            <w:r w:rsidR="008A32B2" w:rsidRPr="00DD07FD">
              <w:rPr>
                <w:rFonts w:ascii="Calibri" w:hAnsi="Calibri"/>
                <w:color w:val="FF0000"/>
                <w:sz w:val="20"/>
                <w:szCs w:val="20"/>
              </w:rPr>
              <w:t>.</w:t>
            </w:r>
            <w:r>
              <w:rPr>
                <w:rFonts w:ascii="Calibri" w:hAnsi="Calibri"/>
                <w:color w:val="FF0000"/>
                <w:sz w:val="20"/>
                <w:szCs w:val="20"/>
              </w:rPr>
              <w:t>3</w:t>
            </w:r>
            <w:r w:rsidR="008A32B2" w:rsidRPr="00DD07FD">
              <w:rPr>
                <w:rFonts w:ascii="Calibri" w:hAnsi="Calibri"/>
                <w:color w:val="FF0000"/>
                <w:sz w:val="20"/>
                <w:szCs w:val="20"/>
              </w:rPr>
              <w:t>%</w:t>
            </w:r>
          </w:p>
        </w:tc>
      </w:tr>
      <w:tr w:rsidR="008A32B2" w:rsidRPr="0040184F" w:rsidTr="00DD07FD">
        <w:trPr>
          <w:tblCellSpacing w:w="57" w:type="dxa"/>
        </w:trPr>
        <w:tc>
          <w:tcPr>
            <w:cnfStyle w:val="001000000000" w:firstRow="0" w:lastRow="0" w:firstColumn="1" w:lastColumn="0" w:oddVBand="0" w:evenVBand="0" w:oddHBand="0" w:evenHBand="0" w:firstRowFirstColumn="0" w:firstRowLastColumn="0" w:lastRowFirstColumn="0" w:lastRowLastColumn="0"/>
            <w:tcW w:w="1787" w:type="dxa"/>
            <w:shd w:val="clear" w:color="auto" w:fill="E5E5E5" w:themeFill="background2" w:themeFillTint="66"/>
          </w:tcPr>
          <w:p w:rsidR="008A32B2" w:rsidRPr="0040184F" w:rsidRDefault="008A32B2" w:rsidP="00DD07F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0"/>
                <w:szCs w:val="20"/>
              </w:rPr>
            </w:pPr>
            <w:r w:rsidRPr="0040184F">
              <w:rPr>
                <w:rFonts w:ascii="Calibri" w:hAnsi="Calibri"/>
                <w:sz w:val="20"/>
                <w:szCs w:val="20"/>
              </w:rPr>
              <w:t>Medium houses</w:t>
            </w:r>
          </w:p>
          <w:p w:rsidR="008A32B2" w:rsidRPr="0040184F" w:rsidRDefault="008A32B2" w:rsidP="00DD07F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b w:val="0"/>
                <w:sz w:val="20"/>
                <w:szCs w:val="20"/>
              </w:rPr>
            </w:pPr>
            <w:r w:rsidRPr="0040184F">
              <w:rPr>
                <w:rFonts w:ascii="Calibri" w:hAnsi="Calibri"/>
                <w:b w:val="0"/>
                <w:sz w:val="20"/>
                <w:szCs w:val="20"/>
              </w:rPr>
              <w:t>3-4 bedrooms</w:t>
            </w:r>
          </w:p>
        </w:tc>
        <w:tc>
          <w:tcPr>
            <w:tcW w:w="1754" w:type="dxa"/>
            <w:shd w:val="clear" w:color="auto" w:fill="FFFFFF" w:themeFill="background1"/>
          </w:tcPr>
          <w:p w:rsidR="008A32B2" w:rsidRPr="0040184F" w:rsidRDefault="001E08F6" w:rsidP="00DD07FD">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$455</w:t>
            </w:r>
            <w:r>
              <w:rPr>
                <w:rFonts w:ascii="Calibri" w:hAnsi="Calibri"/>
                <w:sz w:val="20"/>
                <w:szCs w:val="20"/>
              </w:rPr>
              <w:br/>
              <w:t>+ 4.6</w:t>
            </w:r>
            <w:r w:rsidR="008A32B2" w:rsidRPr="0040184F">
              <w:rPr>
                <w:rFonts w:ascii="Calibri" w:hAnsi="Calibri"/>
                <w:sz w:val="20"/>
                <w:szCs w:val="20"/>
              </w:rPr>
              <w:t>%</w:t>
            </w:r>
          </w:p>
        </w:tc>
        <w:tc>
          <w:tcPr>
            <w:tcW w:w="1776" w:type="dxa"/>
            <w:shd w:val="clear" w:color="auto" w:fill="FFFFFF" w:themeFill="background1"/>
          </w:tcPr>
          <w:p w:rsidR="008A32B2" w:rsidRPr="0040184F" w:rsidRDefault="001E08F6" w:rsidP="00DD07FD">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$550</w:t>
            </w:r>
            <w:r>
              <w:rPr>
                <w:rFonts w:ascii="Calibri" w:hAnsi="Calibri"/>
                <w:sz w:val="20"/>
                <w:szCs w:val="20"/>
              </w:rPr>
              <w:br/>
              <w:t>+ 5.8</w:t>
            </w:r>
            <w:r w:rsidR="008A32B2" w:rsidRPr="0040184F">
              <w:rPr>
                <w:rFonts w:ascii="Calibri" w:hAnsi="Calibri"/>
                <w:sz w:val="20"/>
                <w:szCs w:val="20"/>
              </w:rPr>
              <w:t>%</w:t>
            </w:r>
          </w:p>
        </w:tc>
        <w:tc>
          <w:tcPr>
            <w:tcW w:w="1806" w:type="dxa"/>
            <w:shd w:val="clear" w:color="auto" w:fill="FFFFFF" w:themeFill="background1"/>
          </w:tcPr>
          <w:p w:rsidR="008A32B2" w:rsidRPr="0040184F" w:rsidRDefault="001E08F6" w:rsidP="001E08F6">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$450</w:t>
            </w:r>
            <w:r>
              <w:rPr>
                <w:rFonts w:ascii="Calibri" w:hAnsi="Calibri"/>
                <w:sz w:val="20"/>
                <w:szCs w:val="20"/>
              </w:rPr>
              <w:br/>
              <w:t>+ 2</w:t>
            </w:r>
            <w:r w:rsidR="008A32B2">
              <w:rPr>
                <w:rFonts w:ascii="Calibri" w:hAnsi="Calibri"/>
                <w:sz w:val="20"/>
                <w:szCs w:val="20"/>
              </w:rPr>
              <w:t>.</w:t>
            </w:r>
            <w:r>
              <w:rPr>
                <w:rFonts w:ascii="Calibri" w:hAnsi="Calibri"/>
                <w:sz w:val="20"/>
                <w:szCs w:val="20"/>
              </w:rPr>
              <w:t>3</w:t>
            </w:r>
            <w:r w:rsidR="008A32B2" w:rsidRPr="0040184F">
              <w:rPr>
                <w:rFonts w:ascii="Calibri" w:hAnsi="Calibri"/>
                <w:sz w:val="20"/>
                <w:szCs w:val="20"/>
              </w:rPr>
              <w:t>%</w:t>
            </w:r>
          </w:p>
        </w:tc>
        <w:tc>
          <w:tcPr>
            <w:tcW w:w="1831" w:type="dxa"/>
            <w:shd w:val="clear" w:color="auto" w:fill="FFFFFF" w:themeFill="background1"/>
          </w:tcPr>
          <w:p w:rsidR="008A32B2" w:rsidRPr="0040184F" w:rsidRDefault="001E08F6" w:rsidP="00404066">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$490</w:t>
            </w:r>
            <w:r>
              <w:rPr>
                <w:rFonts w:ascii="Calibri" w:hAnsi="Calibri"/>
                <w:sz w:val="20"/>
                <w:szCs w:val="20"/>
              </w:rPr>
              <w:br/>
              <w:t xml:space="preserve">No </w:t>
            </w:r>
            <w:r w:rsidR="00404066">
              <w:rPr>
                <w:rFonts w:ascii="Calibri" w:hAnsi="Calibri"/>
                <w:sz w:val="20"/>
                <w:szCs w:val="20"/>
              </w:rPr>
              <w:t>c</w:t>
            </w:r>
            <w:r>
              <w:rPr>
                <w:rFonts w:ascii="Calibri" w:hAnsi="Calibri"/>
                <w:sz w:val="20"/>
                <w:szCs w:val="20"/>
              </w:rPr>
              <w:t>hange</w:t>
            </w:r>
          </w:p>
        </w:tc>
      </w:tr>
      <w:tr w:rsidR="008A32B2" w:rsidRPr="0040184F" w:rsidTr="00DD07FD">
        <w:trPr>
          <w:cnfStyle w:val="000000100000" w:firstRow="0" w:lastRow="0" w:firstColumn="0" w:lastColumn="0" w:oddVBand="0" w:evenVBand="0" w:oddHBand="1" w:evenHBand="0" w:firstRowFirstColumn="0" w:firstRowLastColumn="0" w:lastRowFirstColumn="0" w:lastRowLastColumn="0"/>
          <w:trHeight w:val="242"/>
          <w:tblCellSpacing w:w="57" w:type="dxa"/>
        </w:trPr>
        <w:tc>
          <w:tcPr>
            <w:cnfStyle w:val="001000000000" w:firstRow="0" w:lastRow="0" w:firstColumn="1" w:lastColumn="0" w:oddVBand="0" w:evenVBand="0" w:oddHBand="0" w:evenHBand="0" w:firstRowFirstColumn="0" w:firstRowLastColumn="0" w:lastRowFirstColumn="0" w:lastRowLastColumn="0"/>
            <w:tcW w:w="1787" w:type="dxa"/>
            <w:shd w:val="clear" w:color="auto" w:fill="E5E5E5" w:themeFill="background2" w:themeFillTint="66"/>
          </w:tcPr>
          <w:p w:rsidR="008A32B2" w:rsidRPr="0040184F" w:rsidRDefault="008A32B2" w:rsidP="00DD07F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0"/>
                <w:szCs w:val="20"/>
              </w:rPr>
            </w:pPr>
            <w:r w:rsidRPr="0040184F">
              <w:rPr>
                <w:rFonts w:ascii="Calibri" w:hAnsi="Calibri"/>
                <w:sz w:val="20"/>
                <w:szCs w:val="20"/>
              </w:rPr>
              <w:t>Small houses</w:t>
            </w:r>
          </w:p>
          <w:p w:rsidR="008A32B2" w:rsidRPr="0040184F" w:rsidRDefault="008A32B2" w:rsidP="00DD07F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b w:val="0"/>
                <w:sz w:val="20"/>
                <w:szCs w:val="20"/>
              </w:rPr>
            </w:pPr>
            <w:r w:rsidRPr="0040184F">
              <w:rPr>
                <w:rFonts w:ascii="Calibri" w:hAnsi="Calibri"/>
                <w:b w:val="0"/>
                <w:sz w:val="20"/>
                <w:szCs w:val="20"/>
              </w:rPr>
              <w:t>1-2 bedrooms</w:t>
            </w:r>
          </w:p>
        </w:tc>
        <w:tc>
          <w:tcPr>
            <w:tcW w:w="1754" w:type="dxa"/>
            <w:shd w:val="clear" w:color="auto" w:fill="FFFFFF" w:themeFill="background1"/>
          </w:tcPr>
          <w:p w:rsidR="008A32B2" w:rsidRPr="0040184F" w:rsidRDefault="001E08F6" w:rsidP="00DD07FD">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$330</w:t>
            </w:r>
            <w:r>
              <w:rPr>
                <w:rFonts w:ascii="Calibri" w:hAnsi="Calibri"/>
                <w:sz w:val="20"/>
                <w:szCs w:val="20"/>
              </w:rPr>
              <w:br/>
              <w:t>+ 6.5</w:t>
            </w:r>
            <w:r w:rsidR="008A32B2">
              <w:rPr>
                <w:rFonts w:ascii="Calibri" w:hAnsi="Calibri"/>
                <w:sz w:val="20"/>
                <w:szCs w:val="20"/>
              </w:rPr>
              <w:t>%</w:t>
            </w:r>
            <w:r w:rsidR="008A32B2" w:rsidRPr="0040184F">
              <w:rPr>
                <w:rFonts w:ascii="Calibri" w:hAnsi="Calibri"/>
                <w:sz w:val="20"/>
                <w:szCs w:val="20"/>
              </w:rPr>
              <w:tab/>
            </w:r>
          </w:p>
        </w:tc>
        <w:tc>
          <w:tcPr>
            <w:tcW w:w="1776" w:type="dxa"/>
            <w:shd w:val="clear" w:color="auto" w:fill="FFFFFF" w:themeFill="background1"/>
          </w:tcPr>
          <w:p w:rsidR="008A32B2" w:rsidRPr="0040184F" w:rsidRDefault="001E08F6" w:rsidP="00DD07FD">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$400</w:t>
            </w:r>
            <w:r>
              <w:rPr>
                <w:rFonts w:ascii="Calibri" w:hAnsi="Calibri"/>
                <w:sz w:val="20"/>
                <w:szCs w:val="20"/>
              </w:rPr>
              <w:br/>
              <w:t>+ 5.3</w:t>
            </w:r>
            <w:r w:rsidR="008A32B2" w:rsidRPr="0040184F">
              <w:rPr>
                <w:rFonts w:ascii="Calibri" w:hAnsi="Calibri"/>
                <w:sz w:val="20"/>
                <w:szCs w:val="20"/>
              </w:rPr>
              <w:t>%</w:t>
            </w:r>
          </w:p>
        </w:tc>
        <w:tc>
          <w:tcPr>
            <w:tcW w:w="1806" w:type="dxa"/>
            <w:shd w:val="clear" w:color="auto" w:fill="FFFFFF" w:themeFill="background1"/>
          </w:tcPr>
          <w:p w:rsidR="008A32B2" w:rsidRPr="0040184F" w:rsidRDefault="001E08F6" w:rsidP="00DD07FD">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$330</w:t>
            </w:r>
            <w:r>
              <w:rPr>
                <w:rFonts w:ascii="Calibri" w:hAnsi="Calibri"/>
                <w:sz w:val="20"/>
                <w:szCs w:val="20"/>
              </w:rPr>
              <w:br/>
              <w:t>+ 4.8</w:t>
            </w:r>
            <w:r w:rsidR="008A32B2" w:rsidRPr="0040184F">
              <w:rPr>
                <w:rFonts w:ascii="Calibri" w:hAnsi="Calibri"/>
                <w:sz w:val="20"/>
                <w:szCs w:val="20"/>
              </w:rPr>
              <w:t>%</w:t>
            </w:r>
            <w:r w:rsidR="008A32B2" w:rsidRPr="0040184F">
              <w:rPr>
                <w:rFonts w:ascii="Calibri" w:hAnsi="Calibri"/>
                <w:sz w:val="20"/>
                <w:szCs w:val="20"/>
              </w:rPr>
              <w:tab/>
            </w:r>
          </w:p>
        </w:tc>
        <w:tc>
          <w:tcPr>
            <w:tcW w:w="1831" w:type="dxa"/>
            <w:shd w:val="clear" w:color="auto" w:fill="FFFFFF" w:themeFill="background1"/>
          </w:tcPr>
          <w:p w:rsidR="008A32B2" w:rsidRPr="0040184F" w:rsidRDefault="001E08F6" w:rsidP="00DD07FD">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$368</w:t>
            </w:r>
            <w:r w:rsidR="008A32B2" w:rsidRPr="0040184F">
              <w:rPr>
                <w:rFonts w:ascii="Calibri" w:hAnsi="Calibri"/>
                <w:sz w:val="20"/>
                <w:szCs w:val="20"/>
              </w:rPr>
              <w:br/>
            </w:r>
            <w:r>
              <w:rPr>
                <w:rFonts w:ascii="Calibri" w:hAnsi="Calibri"/>
                <w:sz w:val="20"/>
                <w:szCs w:val="20"/>
              </w:rPr>
              <w:t>+ 2.1</w:t>
            </w:r>
            <w:r w:rsidRPr="0040184F">
              <w:rPr>
                <w:rFonts w:ascii="Calibri" w:hAnsi="Calibri"/>
                <w:sz w:val="20"/>
                <w:szCs w:val="20"/>
              </w:rPr>
              <w:t>%</w:t>
            </w:r>
          </w:p>
        </w:tc>
      </w:tr>
      <w:tr w:rsidR="00BA0A96" w:rsidRPr="0040184F" w:rsidTr="00DD07FD">
        <w:trPr>
          <w:trHeight w:val="242"/>
          <w:tblCellSpacing w:w="57" w:type="dxa"/>
        </w:trPr>
        <w:tc>
          <w:tcPr>
            <w:cnfStyle w:val="001000000000" w:firstRow="0" w:lastRow="0" w:firstColumn="1" w:lastColumn="0" w:oddVBand="0" w:evenVBand="0" w:oddHBand="0" w:evenHBand="0" w:firstRowFirstColumn="0" w:firstRowLastColumn="0" w:lastRowFirstColumn="0" w:lastRowLastColumn="0"/>
            <w:tcW w:w="1787" w:type="dxa"/>
            <w:shd w:val="clear" w:color="auto" w:fill="E5E5E5" w:themeFill="background2" w:themeFillTint="66"/>
          </w:tcPr>
          <w:p w:rsidR="00BA0A96" w:rsidRPr="0040184F" w:rsidRDefault="00BA0A96" w:rsidP="00BA0A9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0"/>
                <w:szCs w:val="20"/>
              </w:rPr>
            </w:pPr>
            <w:r w:rsidRPr="0040184F">
              <w:rPr>
                <w:rFonts w:ascii="Calibri" w:hAnsi="Calibri"/>
                <w:sz w:val="20"/>
                <w:szCs w:val="20"/>
              </w:rPr>
              <w:t>All property types</w:t>
            </w:r>
          </w:p>
        </w:tc>
        <w:tc>
          <w:tcPr>
            <w:tcW w:w="1754" w:type="dxa"/>
            <w:shd w:val="clear" w:color="auto" w:fill="FFFFFF" w:themeFill="background1"/>
          </w:tcPr>
          <w:p w:rsidR="00BA0A96" w:rsidRDefault="00BA0A96" w:rsidP="00BA0A96">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$420</w:t>
            </w:r>
            <w:r w:rsidRPr="0040184F">
              <w:rPr>
                <w:rFonts w:ascii="Calibri" w:hAnsi="Calibri"/>
                <w:sz w:val="20"/>
                <w:szCs w:val="20"/>
              </w:rPr>
              <w:br/>
            </w:r>
            <w:r w:rsidR="001E08F6">
              <w:rPr>
                <w:rFonts w:ascii="Calibri" w:hAnsi="Calibri"/>
                <w:sz w:val="20"/>
                <w:szCs w:val="20"/>
              </w:rPr>
              <w:t>+ 6.3</w:t>
            </w:r>
            <w:r w:rsidRPr="0040184F">
              <w:rPr>
                <w:rFonts w:ascii="Calibri" w:hAnsi="Calibri"/>
                <w:sz w:val="20"/>
                <w:szCs w:val="20"/>
              </w:rPr>
              <w:t>%</w:t>
            </w:r>
          </w:p>
        </w:tc>
        <w:tc>
          <w:tcPr>
            <w:tcW w:w="1776" w:type="dxa"/>
            <w:shd w:val="clear" w:color="auto" w:fill="FFFFFF" w:themeFill="background1"/>
          </w:tcPr>
          <w:p w:rsidR="00BA0A96" w:rsidRDefault="00BA0A96" w:rsidP="00BA0A96">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40184F">
              <w:rPr>
                <w:rFonts w:ascii="Calibri" w:hAnsi="Calibri"/>
                <w:sz w:val="20"/>
                <w:szCs w:val="20"/>
              </w:rPr>
              <w:t>$</w:t>
            </w:r>
            <w:r w:rsidR="001E08F6">
              <w:rPr>
                <w:rFonts w:ascii="Calibri" w:hAnsi="Calibri"/>
                <w:sz w:val="20"/>
                <w:szCs w:val="20"/>
              </w:rPr>
              <w:t>485</w:t>
            </w:r>
            <w:r w:rsidR="001E08F6">
              <w:rPr>
                <w:rFonts w:ascii="Calibri" w:hAnsi="Calibri"/>
                <w:sz w:val="20"/>
                <w:szCs w:val="20"/>
              </w:rPr>
              <w:br/>
              <w:t>+ 5.4</w:t>
            </w:r>
            <w:r>
              <w:rPr>
                <w:rFonts w:ascii="Calibri" w:hAnsi="Calibri"/>
                <w:sz w:val="20"/>
                <w:szCs w:val="20"/>
              </w:rPr>
              <w:t>%</w:t>
            </w:r>
          </w:p>
        </w:tc>
        <w:tc>
          <w:tcPr>
            <w:tcW w:w="1806" w:type="dxa"/>
            <w:shd w:val="clear" w:color="auto" w:fill="FFFFFF" w:themeFill="background1"/>
          </w:tcPr>
          <w:p w:rsidR="00BA0A96" w:rsidRDefault="001E08F6" w:rsidP="00BA0A96">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$395</w:t>
            </w:r>
            <w:r>
              <w:rPr>
                <w:rFonts w:ascii="Calibri" w:hAnsi="Calibri"/>
                <w:sz w:val="20"/>
                <w:szCs w:val="20"/>
              </w:rPr>
              <w:br/>
              <w:t>+ 1.3</w:t>
            </w:r>
            <w:r w:rsidR="00BA0A96" w:rsidRPr="0040184F">
              <w:rPr>
                <w:rFonts w:ascii="Calibri" w:hAnsi="Calibri"/>
                <w:sz w:val="20"/>
                <w:szCs w:val="20"/>
              </w:rPr>
              <w:t>%</w:t>
            </w:r>
          </w:p>
        </w:tc>
        <w:tc>
          <w:tcPr>
            <w:tcW w:w="1831" w:type="dxa"/>
            <w:shd w:val="clear" w:color="auto" w:fill="FFFFFF" w:themeFill="background1"/>
          </w:tcPr>
          <w:p w:rsidR="00BA0A96" w:rsidRDefault="00BA0A96" w:rsidP="001E08F6">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$450</w:t>
            </w:r>
            <w:r>
              <w:rPr>
                <w:rFonts w:ascii="Calibri" w:hAnsi="Calibri"/>
                <w:sz w:val="20"/>
                <w:szCs w:val="20"/>
              </w:rPr>
              <w:br/>
            </w:r>
            <w:r w:rsidR="00404066">
              <w:rPr>
                <w:rFonts w:ascii="Calibri" w:hAnsi="Calibri"/>
                <w:sz w:val="20"/>
                <w:szCs w:val="20"/>
              </w:rPr>
              <w:t>No c</w:t>
            </w:r>
            <w:r w:rsidR="001E08F6">
              <w:rPr>
                <w:rFonts w:ascii="Calibri" w:hAnsi="Calibri"/>
                <w:sz w:val="20"/>
                <w:szCs w:val="20"/>
              </w:rPr>
              <w:t>hange</w:t>
            </w:r>
          </w:p>
        </w:tc>
      </w:tr>
    </w:tbl>
    <w:p w:rsidR="008A32B2" w:rsidRDefault="008A32B2" w:rsidP="008A32B2">
      <w:pPr>
        <w:pStyle w:val="Body"/>
        <w:rPr>
          <w:rFonts w:ascii="Calibri" w:hAnsi="Calibri"/>
          <w:i/>
          <w:sz w:val="20"/>
          <w:szCs w:val="20"/>
        </w:rPr>
      </w:pPr>
    </w:p>
    <w:p w:rsidR="00844C38" w:rsidRPr="00844C38" w:rsidRDefault="00844C38" w:rsidP="00844C38">
      <w:pPr>
        <w:rPr>
          <w:rFonts w:ascii="Calibri" w:hAnsi="Calibri" w:cs="Arial Unicode MS"/>
          <w:i/>
          <w:color w:val="000000"/>
          <w:sz w:val="20"/>
          <w:szCs w:val="20"/>
          <w:lang w:eastAsia="en-NZ"/>
        </w:rPr>
      </w:pPr>
    </w:p>
    <w:p w:rsidR="00BA0A96" w:rsidRDefault="00BA0A96" w:rsidP="00B85339">
      <w:pPr>
        <w:pStyle w:val="Body"/>
        <w:jc w:val="both"/>
        <w:rPr>
          <w:rFonts w:ascii="Calibri" w:hAnsi="Calibri"/>
          <w:b/>
        </w:rPr>
      </w:pPr>
    </w:p>
    <w:p w:rsidR="000053A5" w:rsidRDefault="00264E3B" w:rsidP="00B85339">
      <w:pPr>
        <w:pStyle w:val="Body"/>
        <w:jc w:val="both"/>
        <w:rPr>
          <w:rFonts w:ascii="Calibri" w:hAnsi="Calibri"/>
          <w:b/>
        </w:rPr>
      </w:pPr>
      <w:r>
        <w:rPr>
          <w:rFonts w:ascii="Calibri" w:hAnsi="Calibri"/>
          <w:b/>
        </w:rPr>
        <w:t xml:space="preserve">Units </w:t>
      </w:r>
      <w:r w:rsidR="00404066">
        <w:rPr>
          <w:rFonts w:ascii="Calibri" w:hAnsi="Calibri"/>
          <w:b/>
        </w:rPr>
        <w:t>&amp; a</w:t>
      </w:r>
      <w:r w:rsidR="000230E8">
        <w:rPr>
          <w:rFonts w:ascii="Calibri" w:hAnsi="Calibri"/>
          <w:b/>
        </w:rPr>
        <w:t xml:space="preserve">partments </w:t>
      </w:r>
      <w:r>
        <w:rPr>
          <w:rFonts w:ascii="Calibri" w:hAnsi="Calibri"/>
          <w:b/>
        </w:rPr>
        <w:t>continue to show strong demand</w:t>
      </w:r>
      <w:r w:rsidR="000053A5">
        <w:rPr>
          <w:rFonts w:ascii="Calibri" w:hAnsi="Calibri"/>
          <w:b/>
        </w:rPr>
        <w:t xml:space="preserve"> </w:t>
      </w:r>
    </w:p>
    <w:p w:rsidR="003532F0" w:rsidRDefault="003532F0" w:rsidP="00B85339">
      <w:pPr>
        <w:pStyle w:val="Body"/>
        <w:jc w:val="both"/>
        <w:rPr>
          <w:rFonts w:ascii="Calibri" w:hAnsi="Calibri"/>
        </w:rPr>
      </w:pPr>
    </w:p>
    <w:p w:rsidR="000053A5" w:rsidRDefault="00264E3B" w:rsidP="00996DE2">
      <w:pPr>
        <w:pStyle w:val="Body"/>
        <w:jc w:val="both"/>
        <w:rPr>
          <w:rFonts w:ascii="Calibri" w:hAnsi="Calibri"/>
        </w:rPr>
      </w:pPr>
      <w:r>
        <w:rPr>
          <w:rFonts w:ascii="Calibri" w:hAnsi="Calibri"/>
        </w:rPr>
        <w:t xml:space="preserve">Units are primarily a phenomena of the </w:t>
      </w:r>
      <w:r w:rsidR="00404066">
        <w:rPr>
          <w:rFonts w:ascii="Calibri" w:hAnsi="Calibri"/>
        </w:rPr>
        <w:t xml:space="preserve">major </w:t>
      </w:r>
      <w:r>
        <w:rPr>
          <w:rFonts w:ascii="Calibri" w:hAnsi="Calibri"/>
        </w:rPr>
        <w:t>metro</w:t>
      </w:r>
      <w:r w:rsidR="00404066">
        <w:rPr>
          <w:rFonts w:ascii="Calibri" w:hAnsi="Calibri"/>
        </w:rPr>
        <w:t>politan</w:t>
      </w:r>
      <w:r>
        <w:rPr>
          <w:rFonts w:ascii="Calibri" w:hAnsi="Calibri"/>
        </w:rPr>
        <w:t xml:space="preserve"> markets</w:t>
      </w:r>
      <w:r w:rsidR="00404066">
        <w:rPr>
          <w:rFonts w:ascii="Calibri" w:hAnsi="Calibri"/>
        </w:rPr>
        <w:t>,</w:t>
      </w:r>
      <w:r>
        <w:rPr>
          <w:rFonts w:ascii="Calibri" w:hAnsi="Calibri"/>
        </w:rPr>
        <w:t xml:space="preserve"> </w:t>
      </w:r>
      <w:r w:rsidR="00A94236">
        <w:rPr>
          <w:rFonts w:ascii="Calibri" w:hAnsi="Calibri"/>
        </w:rPr>
        <w:t xml:space="preserve">where more than </w:t>
      </w:r>
      <w:r w:rsidR="00404066">
        <w:rPr>
          <w:rFonts w:ascii="Calibri" w:hAnsi="Calibri"/>
        </w:rPr>
        <w:t xml:space="preserve">three-quarters </w:t>
      </w:r>
      <w:r>
        <w:rPr>
          <w:rFonts w:ascii="Calibri" w:hAnsi="Calibri"/>
        </w:rPr>
        <w:t xml:space="preserve">of all </w:t>
      </w:r>
      <w:r w:rsidR="00A94236">
        <w:rPr>
          <w:rFonts w:ascii="Calibri" w:hAnsi="Calibri"/>
        </w:rPr>
        <w:t>units are located</w:t>
      </w:r>
      <w:r w:rsidR="00DB0A00">
        <w:rPr>
          <w:rFonts w:ascii="Calibri" w:hAnsi="Calibri"/>
        </w:rPr>
        <w:t xml:space="preserve">. </w:t>
      </w:r>
      <w:r w:rsidR="00404066">
        <w:rPr>
          <w:rFonts w:ascii="Calibri" w:hAnsi="Calibri"/>
        </w:rPr>
        <w:t xml:space="preserve">Continued </w:t>
      </w:r>
      <w:r>
        <w:rPr>
          <w:rFonts w:ascii="Calibri" w:hAnsi="Calibri"/>
        </w:rPr>
        <w:t xml:space="preserve">demand </w:t>
      </w:r>
      <w:r w:rsidR="00DB0A00">
        <w:rPr>
          <w:rFonts w:ascii="Calibri" w:hAnsi="Calibri"/>
        </w:rPr>
        <w:t xml:space="preserve">for these properties </w:t>
      </w:r>
      <w:r>
        <w:rPr>
          <w:rFonts w:ascii="Calibri" w:hAnsi="Calibri"/>
        </w:rPr>
        <w:t xml:space="preserve">is demonstrated by the </w:t>
      </w:r>
      <w:r w:rsidR="005F26B3">
        <w:rPr>
          <w:rFonts w:ascii="Calibri" w:hAnsi="Calibri"/>
        </w:rPr>
        <w:t xml:space="preserve">record weekly rent </w:t>
      </w:r>
      <w:r w:rsidR="00DB0A00">
        <w:rPr>
          <w:rFonts w:ascii="Calibri" w:hAnsi="Calibri"/>
        </w:rPr>
        <w:t xml:space="preserve">in April </w:t>
      </w:r>
      <w:r w:rsidR="00404066">
        <w:rPr>
          <w:rFonts w:ascii="Calibri" w:hAnsi="Calibri"/>
        </w:rPr>
        <w:t>of $335 per</w:t>
      </w:r>
      <w:r w:rsidR="00DB0A00">
        <w:rPr>
          <w:rFonts w:ascii="Calibri" w:hAnsi="Calibri"/>
        </w:rPr>
        <w:t xml:space="preserve"> week, up $35 </w:t>
      </w:r>
      <w:r w:rsidR="00404066">
        <w:rPr>
          <w:rFonts w:ascii="Calibri" w:hAnsi="Calibri"/>
        </w:rPr>
        <w:t xml:space="preserve">per week </w:t>
      </w:r>
      <w:r w:rsidR="00DB0A00">
        <w:rPr>
          <w:rFonts w:ascii="Calibri" w:hAnsi="Calibri"/>
        </w:rPr>
        <w:t>over the past year</w:t>
      </w:r>
      <w:r w:rsidR="00404066">
        <w:rPr>
          <w:rFonts w:ascii="Calibri" w:hAnsi="Calibri"/>
        </w:rPr>
        <w:t xml:space="preserve">. In </w:t>
      </w:r>
      <w:r w:rsidR="005F26B3">
        <w:rPr>
          <w:rFonts w:ascii="Calibri" w:hAnsi="Calibri"/>
        </w:rPr>
        <w:t xml:space="preserve">Auckland </w:t>
      </w:r>
      <w:r w:rsidR="00DB0A00">
        <w:rPr>
          <w:rFonts w:ascii="Calibri" w:hAnsi="Calibri"/>
        </w:rPr>
        <w:t xml:space="preserve">weekly rents </w:t>
      </w:r>
      <w:r w:rsidR="00404066">
        <w:rPr>
          <w:rFonts w:ascii="Calibri" w:hAnsi="Calibri"/>
        </w:rPr>
        <w:t xml:space="preserve">reached </w:t>
      </w:r>
      <w:r w:rsidR="00DB0A00">
        <w:rPr>
          <w:rFonts w:ascii="Calibri" w:hAnsi="Calibri"/>
        </w:rPr>
        <w:t xml:space="preserve">a new record of $395 </w:t>
      </w:r>
      <w:r w:rsidR="00404066">
        <w:rPr>
          <w:rFonts w:ascii="Calibri" w:hAnsi="Calibri"/>
        </w:rPr>
        <w:t>and were up $30 per</w:t>
      </w:r>
      <w:r w:rsidR="00DB0A00">
        <w:rPr>
          <w:rFonts w:ascii="Calibri" w:hAnsi="Calibri"/>
        </w:rPr>
        <w:t xml:space="preserve"> week </w:t>
      </w:r>
      <w:r w:rsidR="00404066">
        <w:rPr>
          <w:rFonts w:ascii="Calibri" w:hAnsi="Calibri"/>
        </w:rPr>
        <w:t>since April 2014</w:t>
      </w:r>
      <w:r w:rsidR="00DB0A00">
        <w:rPr>
          <w:rFonts w:ascii="Calibri" w:hAnsi="Calibri"/>
        </w:rPr>
        <w:t xml:space="preserve">. </w:t>
      </w:r>
    </w:p>
    <w:p w:rsidR="005F26B3" w:rsidRDefault="005F26B3" w:rsidP="00996DE2">
      <w:pPr>
        <w:pStyle w:val="Body"/>
        <w:jc w:val="both"/>
        <w:rPr>
          <w:rFonts w:ascii="Calibri" w:hAnsi="Calibri"/>
        </w:rPr>
      </w:pPr>
    </w:p>
    <w:p w:rsidR="00844C38" w:rsidRPr="00844C38" w:rsidRDefault="00EA5C65" w:rsidP="00EA5C65">
      <w:pPr>
        <w:pStyle w:val="Body"/>
        <w:jc w:val="both"/>
        <w:rPr>
          <w:rFonts w:ascii="Calibri" w:hAnsi="Calibri"/>
          <w:i/>
          <w:sz w:val="20"/>
          <w:szCs w:val="20"/>
          <w:lang w:eastAsia="en-NZ"/>
        </w:rPr>
      </w:pPr>
      <w:r>
        <w:rPr>
          <w:rFonts w:ascii="Calibri" w:hAnsi="Calibri"/>
        </w:rPr>
        <w:t>The Auckland a</w:t>
      </w:r>
      <w:r w:rsidR="005F26B3">
        <w:rPr>
          <w:rFonts w:ascii="Calibri" w:hAnsi="Calibri"/>
        </w:rPr>
        <w:t xml:space="preserve">partment market </w:t>
      </w:r>
      <w:r>
        <w:rPr>
          <w:rFonts w:ascii="Calibri" w:hAnsi="Calibri"/>
        </w:rPr>
        <w:t xml:space="preserve">saw a </w:t>
      </w:r>
      <w:r w:rsidR="005F26B3">
        <w:rPr>
          <w:rFonts w:ascii="Calibri" w:hAnsi="Calibri"/>
        </w:rPr>
        <w:t xml:space="preserve">5.9 per cent rise in </w:t>
      </w:r>
      <w:r>
        <w:rPr>
          <w:rFonts w:ascii="Calibri" w:hAnsi="Calibri"/>
        </w:rPr>
        <w:t xml:space="preserve">median </w:t>
      </w:r>
      <w:r w:rsidR="005F26B3">
        <w:rPr>
          <w:rFonts w:ascii="Calibri" w:hAnsi="Calibri"/>
        </w:rPr>
        <w:t>weekly rent over the past 12 months to a new record high of $450</w:t>
      </w:r>
      <w:r>
        <w:rPr>
          <w:rFonts w:ascii="Calibri" w:hAnsi="Calibri"/>
        </w:rPr>
        <w:t>, up from $400 per week two years ago.</w:t>
      </w:r>
      <w:r w:rsidR="00F40D63" w:rsidRPr="00F40D63">
        <w:rPr>
          <w:rFonts w:ascii="Calibri" w:hAnsi="Calibri"/>
          <w:i/>
          <w:sz w:val="20"/>
          <w:szCs w:val="20"/>
        </w:rPr>
        <w:t xml:space="preserve"> </w:t>
      </w:r>
    </w:p>
    <w:p w:rsidR="00844C38" w:rsidRPr="00844C38" w:rsidRDefault="00844C38" w:rsidP="00844C38">
      <w:pPr>
        <w:rPr>
          <w:rFonts w:ascii="Calibri" w:hAnsi="Calibri" w:cs="Arial Unicode MS"/>
          <w:i/>
          <w:color w:val="000000"/>
          <w:sz w:val="20"/>
          <w:szCs w:val="20"/>
          <w:lang w:eastAsia="en-NZ"/>
        </w:rPr>
      </w:pPr>
    </w:p>
    <w:p w:rsidR="00844C38" w:rsidRPr="00844C38" w:rsidRDefault="00844C38" w:rsidP="00844C38">
      <w:pPr>
        <w:rPr>
          <w:rFonts w:ascii="Calibri" w:hAnsi="Calibri" w:cs="Arial Unicode MS"/>
          <w:i/>
          <w:color w:val="000000"/>
          <w:sz w:val="20"/>
          <w:szCs w:val="20"/>
          <w:lang w:eastAsia="en-NZ"/>
        </w:rPr>
      </w:pPr>
      <w:r w:rsidRPr="00844C38">
        <w:rPr>
          <w:rFonts w:ascii="Calibri" w:hAnsi="Calibri" w:cs="Arial Unicode MS"/>
          <w:i/>
          <w:color w:val="000000"/>
          <w:sz w:val="20"/>
          <w:szCs w:val="20"/>
          <w:lang w:eastAsia="en-NZ"/>
        </w:rPr>
        <w:t>Table 2: Median weekly rent by property type &amp; region</w:t>
      </w:r>
    </w:p>
    <w:p w:rsidR="008A32B2" w:rsidRPr="008A32B2" w:rsidRDefault="008A32B2" w:rsidP="008A32B2">
      <w:pPr>
        <w:rPr>
          <w:rFonts w:ascii="Calibri" w:hAnsi="Calibri" w:cs="Arial Unicode MS"/>
          <w:i/>
          <w:color w:val="000000"/>
          <w:sz w:val="20"/>
          <w:szCs w:val="20"/>
          <w:lang w:eastAsia="en-NZ"/>
        </w:rPr>
      </w:pPr>
    </w:p>
    <w:tbl>
      <w:tblPr>
        <w:tblStyle w:val="LightShading-Accent13"/>
        <w:tblW w:w="0" w:type="auto"/>
        <w:tblCellSpacing w:w="57" w:type="dxa"/>
        <w:tblCellMar>
          <w:top w:w="115" w:type="dxa"/>
          <w:left w:w="115" w:type="dxa"/>
          <w:bottom w:w="115" w:type="dxa"/>
          <w:right w:w="115" w:type="dxa"/>
        </w:tblCellMar>
        <w:tblLook w:val="04A0" w:firstRow="1" w:lastRow="0" w:firstColumn="1" w:lastColumn="0" w:noHBand="0" w:noVBand="1"/>
      </w:tblPr>
      <w:tblGrid>
        <w:gridCol w:w="1976"/>
        <w:gridCol w:w="1862"/>
        <w:gridCol w:w="1892"/>
        <w:gridCol w:w="1911"/>
        <w:gridCol w:w="1997"/>
      </w:tblGrid>
      <w:tr w:rsidR="008A32B2" w:rsidRPr="008A32B2" w:rsidTr="00DD07FD">
        <w:trPr>
          <w:cnfStyle w:val="100000000000" w:firstRow="1" w:lastRow="0" w:firstColumn="0" w:lastColumn="0" w:oddVBand="0" w:evenVBand="0" w:oddHBand="0" w:evenHBand="0" w:firstRowFirstColumn="0" w:firstRowLastColumn="0" w:lastRowFirstColumn="0" w:lastRowLastColumn="0"/>
          <w:tblCellSpacing w:w="57" w:type="dxa"/>
        </w:trPr>
        <w:tc>
          <w:tcPr>
            <w:cnfStyle w:val="001000000000" w:firstRow="0" w:lastRow="0" w:firstColumn="1" w:lastColumn="0" w:oddVBand="0" w:evenVBand="0" w:oddHBand="0" w:evenHBand="0" w:firstRowFirstColumn="0" w:firstRowLastColumn="0" w:lastRowFirstColumn="0" w:lastRowLastColumn="0"/>
            <w:tcW w:w="1805" w:type="dxa"/>
          </w:tcPr>
          <w:p w:rsidR="008A32B2" w:rsidRPr="008A32B2" w:rsidRDefault="008A32B2" w:rsidP="008A32B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Arial Unicode MS"/>
                <w:color w:val="000000"/>
                <w:sz w:val="20"/>
                <w:szCs w:val="20"/>
              </w:rPr>
            </w:pPr>
          </w:p>
        </w:tc>
        <w:tc>
          <w:tcPr>
            <w:tcW w:w="1748" w:type="dxa"/>
            <w:shd w:val="clear" w:color="auto" w:fill="E5E5E5" w:themeFill="background2" w:themeFillTint="66"/>
          </w:tcPr>
          <w:p w:rsidR="008A32B2" w:rsidRPr="008A32B2" w:rsidRDefault="008A32B2" w:rsidP="008A32B2">
            <w:pPr>
              <w:pBdr>
                <w:top w:val="none" w:sz="0" w:space="0" w:color="auto"/>
                <w:left w:val="none" w:sz="0" w:space="0" w:color="auto"/>
                <w:bottom w:val="none" w:sz="0" w:space="0" w:color="auto"/>
                <w:right w:val="none" w:sz="0" w:space="0" w:color="auto"/>
                <w:between w:val="none" w:sz="0" w:space="0" w:color="auto"/>
                <w:bar w:val="none" w:sz="0" w:color="auto"/>
              </w:pBdr>
              <w:jc w:val="both"/>
              <w:cnfStyle w:val="100000000000" w:firstRow="1" w:lastRow="0" w:firstColumn="0" w:lastColumn="0" w:oddVBand="0" w:evenVBand="0" w:oddHBand="0" w:evenHBand="0" w:firstRowFirstColumn="0" w:firstRowLastColumn="0" w:lastRowFirstColumn="0" w:lastRowLastColumn="0"/>
              <w:rPr>
                <w:rFonts w:ascii="Calibri" w:hAnsi="Calibri" w:cs="Arial Unicode MS"/>
                <w:color w:val="000000"/>
                <w:sz w:val="20"/>
                <w:szCs w:val="20"/>
              </w:rPr>
            </w:pPr>
            <w:r w:rsidRPr="008A32B2">
              <w:rPr>
                <w:rFonts w:ascii="Calibri" w:hAnsi="Calibri" w:cs="Arial Unicode MS"/>
                <w:color w:val="000000"/>
                <w:sz w:val="20"/>
                <w:szCs w:val="20"/>
              </w:rPr>
              <w:t>New Zealand</w:t>
            </w:r>
          </w:p>
        </w:tc>
        <w:tc>
          <w:tcPr>
            <w:tcW w:w="1778" w:type="dxa"/>
            <w:shd w:val="clear" w:color="auto" w:fill="E5E5E5" w:themeFill="background2" w:themeFillTint="66"/>
          </w:tcPr>
          <w:p w:rsidR="008A32B2" w:rsidRPr="008A32B2" w:rsidRDefault="008A32B2" w:rsidP="008A32B2">
            <w:pPr>
              <w:pBdr>
                <w:top w:val="none" w:sz="0" w:space="0" w:color="auto"/>
                <w:left w:val="none" w:sz="0" w:space="0" w:color="auto"/>
                <w:bottom w:val="none" w:sz="0" w:space="0" w:color="auto"/>
                <w:right w:val="none" w:sz="0" w:space="0" w:color="auto"/>
                <w:between w:val="none" w:sz="0" w:space="0" w:color="auto"/>
                <w:bar w:val="none" w:sz="0" w:color="auto"/>
              </w:pBdr>
              <w:jc w:val="both"/>
              <w:cnfStyle w:val="100000000000" w:firstRow="1" w:lastRow="0" w:firstColumn="0" w:lastColumn="0" w:oddVBand="0" w:evenVBand="0" w:oddHBand="0" w:evenHBand="0" w:firstRowFirstColumn="0" w:firstRowLastColumn="0" w:lastRowFirstColumn="0" w:lastRowLastColumn="0"/>
              <w:rPr>
                <w:rFonts w:ascii="Calibri" w:hAnsi="Calibri" w:cs="Arial Unicode MS"/>
                <w:color w:val="000000"/>
                <w:sz w:val="20"/>
                <w:szCs w:val="20"/>
              </w:rPr>
            </w:pPr>
            <w:r w:rsidRPr="008A32B2">
              <w:rPr>
                <w:rFonts w:ascii="Calibri" w:hAnsi="Calibri" w:cs="Arial Unicode MS"/>
                <w:color w:val="000000"/>
                <w:sz w:val="20"/>
                <w:szCs w:val="20"/>
              </w:rPr>
              <w:t>Auckland</w:t>
            </w:r>
          </w:p>
        </w:tc>
        <w:tc>
          <w:tcPr>
            <w:tcW w:w="1797" w:type="dxa"/>
            <w:shd w:val="clear" w:color="auto" w:fill="E5E5E5" w:themeFill="background2" w:themeFillTint="66"/>
          </w:tcPr>
          <w:p w:rsidR="008A32B2" w:rsidRPr="008A32B2" w:rsidRDefault="008A32B2" w:rsidP="008A32B2">
            <w:pPr>
              <w:pBdr>
                <w:top w:val="none" w:sz="0" w:space="0" w:color="auto"/>
                <w:left w:val="none" w:sz="0" w:space="0" w:color="auto"/>
                <w:bottom w:val="none" w:sz="0" w:space="0" w:color="auto"/>
                <w:right w:val="none" w:sz="0" w:space="0" w:color="auto"/>
                <w:between w:val="none" w:sz="0" w:space="0" w:color="auto"/>
                <w:bar w:val="none" w:sz="0" w:color="auto"/>
              </w:pBdr>
              <w:jc w:val="both"/>
              <w:cnfStyle w:val="100000000000" w:firstRow="1" w:lastRow="0" w:firstColumn="0" w:lastColumn="0" w:oddVBand="0" w:evenVBand="0" w:oddHBand="0" w:evenHBand="0" w:firstRowFirstColumn="0" w:firstRowLastColumn="0" w:lastRowFirstColumn="0" w:lastRowLastColumn="0"/>
              <w:rPr>
                <w:rFonts w:ascii="Calibri" w:hAnsi="Calibri" w:cs="Arial Unicode MS"/>
                <w:color w:val="000000"/>
                <w:sz w:val="20"/>
                <w:szCs w:val="20"/>
              </w:rPr>
            </w:pPr>
            <w:r w:rsidRPr="008A32B2">
              <w:rPr>
                <w:rFonts w:ascii="Calibri" w:hAnsi="Calibri" w:cs="Arial Unicode MS"/>
                <w:color w:val="000000"/>
                <w:sz w:val="20"/>
                <w:szCs w:val="20"/>
              </w:rPr>
              <w:t>Wellington</w:t>
            </w:r>
          </w:p>
        </w:tc>
        <w:tc>
          <w:tcPr>
            <w:tcW w:w="1826" w:type="dxa"/>
            <w:shd w:val="clear" w:color="auto" w:fill="E5E5E5" w:themeFill="background2" w:themeFillTint="66"/>
          </w:tcPr>
          <w:p w:rsidR="008A32B2" w:rsidRPr="008A32B2" w:rsidRDefault="008A32B2" w:rsidP="008A32B2">
            <w:pPr>
              <w:pBdr>
                <w:top w:val="none" w:sz="0" w:space="0" w:color="auto"/>
                <w:left w:val="none" w:sz="0" w:space="0" w:color="auto"/>
                <w:bottom w:val="none" w:sz="0" w:space="0" w:color="auto"/>
                <w:right w:val="none" w:sz="0" w:space="0" w:color="auto"/>
                <w:between w:val="none" w:sz="0" w:space="0" w:color="auto"/>
                <w:bar w:val="none" w:sz="0" w:color="auto"/>
              </w:pBdr>
              <w:jc w:val="both"/>
              <w:cnfStyle w:val="100000000000" w:firstRow="1" w:lastRow="0" w:firstColumn="0" w:lastColumn="0" w:oddVBand="0" w:evenVBand="0" w:oddHBand="0" w:evenHBand="0" w:firstRowFirstColumn="0" w:firstRowLastColumn="0" w:lastRowFirstColumn="0" w:lastRowLastColumn="0"/>
              <w:rPr>
                <w:rFonts w:ascii="Calibri" w:hAnsi="Calibri" w:cs="Arial Unicode MS"/>
                <w:color w:val="000000"/>
                <w:sz w:val="20"/>
                <w:szCs w:val="20"/>
              </w:rPr>
            </w:pPr>
            <w:r w:rsidRPr="008A32B2">
              <w:rPr>
                <w:rFonts w:ascii="Calibri" w:hAnsi="Calibri" w:cs="Arial Unicode MS"/>
                <w:color w:val="000000"/>
                <w:sz w:val="20"/>
                <w:szCs w:val="20"/>
              </w:rPr>
              <w:t>Christchurch</w:t>
            </w:r>
          </w:p>
        </w:tc>
      </w:tr>
      <w:tr w:rsidR="008A32B2" w:rsidRPr="008A32B2" w:rsidTr="00DD07FD">
        <w:trPr>
          <w:cnfStyle w:val="000000100000" w:firstRow="0" w:lastRow="0" w:firstColumn="0" w:lastColumn="0" w:oddVBand="0" w:evenVBand="0" w:oddHBand="1" w:evenHBand="0" w:firstRowFirstColumn="0" w:firstRowLastColumn="0" w:lastRowFirstColumn="0" w:lastRowLastColumn="0"/>
          <w:tblCellSpacing w:w="57" w:type="dxa"/>
        </w:trPr>
        <w:tc>
          <w:tcPr>
            <w:cnfStyle w:val="001000000000" w:firstRow="0" w:lastRow="0" w:firstColumn="1" w:lastColumn="0" w:oddVBand="0" w:evenVBand="0" w:oddHBand="0" w:evenHBand="0" w:firstRowFirstColumn="0" w:firstRowLastColumn="0" w:lastRowFirstColumn="0" w:lastRowLastColumn="0"/>
            <w:tcW w:w="1805" w:type="dxa"/>
            <w:shd w:val="clear" w:color="auto" w:fill="E5E5E5" w:themeFill="background2" w:themeFillTint="66"/>
          </w:tcPr>
          <w:p w:rsidR="008A32B2" w:rsidRPr="008A32B2" w:rsidRDefault="008A32B2" w:rsidP="008A32B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Arial Unicode MS"/>
                <w:color w:val="000000"/>
                <w:sz w:val="20"/>
                <w:szCs w:val="20"/>
              </w:rPr>
            </w:pPr>
            <w:r w:rsidRPr="008A32B2">
              <w:rPr>
                <w:rFonts w:ascii="Calibri" w:hAnsi="Calibri" w:cs="Arial Unicode MS"/>
                <w:color w:val="000000"/>
                <w:sz w:val="20"/>
                <w:szCs w:val="20"/>
              </w:rPr>
              <w:t>Apartments</w:t>
            </w:r>
          </w:p>
        </w:tc>
        <w:tc>
          <w:tcPr>
            <w:tcW w:w="1748" w:type="dxa"/>
            <w:shd w:val="clear" w:color="auto" w:fill="FFFFFF" w:themeFill="background1"/>
          </w:tcPr>
          <w:p w:rsidR="008A32B2" w:rsidRPr="008A32B2" w:rsidRDefault="001E08F6" w:rsidP="008A32B2">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alibri" w:hAnsi="Calibri" w:cs="Arial Unicode MS"/>
                <w:color w:val="000000"/>
                <w:sz w:val="20"/>
                <w:szCs w:val="20"/>
              </w:rPr>
            </w:pPr>
            <w:r>
              <w:rPr>
                <w:rFonts w:ascii="Calibri" w:hAnsi="Calibri" w:cs="Arial Unicode MS"/>
                <w:color w:val="000000"/>
                <w:sz w:val="20"/>
                <w:szCs w:val="20"/>
              </w:rPr>
              <w:t>$410</w:t>
            </w:r>
            <w:r>
              <w:rPr>
                <w:rFonts w:ascii="Calibri" w:hAnsi="Calibri" w:cs="Arial Unicode MS"/>
                <w:color w:val="000000"/>
                <w:sz w:val="20"/>
                <w:szCs w:val="20"/>
              </w:rPr>
              <w:br/>
              <w:t>+ 5.1</w:t>
            </w:r>
            <w:r w:rsidR="008A32B2" w:rsidRPr="008A32B2">
              <w:rPr>
                <w:rFonts w:ascii="Calibri" w:hAnsi="Calibri" w:cs="Arial Unicode MS"/>
                <w:color w:val="000000"/>
                <w:sz w:val="20"/>
                <w:szCs w:val="20"/>
              </w:rPr>
              <w:t>%</w:t>
            </w:r>
          </w:p>
        </w:tc>
        <w:tc>
          <w:tcPr>
            <w:tcW w:w="1778" w:type="dxa"/>
            <w:shd w:val="clear" w:color="auto" w:fill="FFFFFF" w:themeFill="background1"/>
          </w:tcPr>
          <w:p w:rsidR="008A32B2" w:rsidRPr="008A32B2" w:rsidRDefault="001E08F6" w:rsidP="008A32B2">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alibri" w:hAnsi="Calibri" w:cs="Arial Unicode MS"/>
                <w:color w:val="000000"/>
                <w:sz w:val="20"/>
                <w:szCs w:val="20"/>
              </w:rPr>
            </w:pPr>
            <w:r>
              <w:rPr>
                <w:rFonts w:ascii="Calibri" w:hAnsi="Calibri" w:cs="Arial Unicode MS"/>
                <w:color w:val="000000"/>
                <w:sz w:val="20"/>
                <w:szCs w:val="20"/>
              </w:rPr>
              <w:t>$450</w:t>
            </w:r>
            <w:r>
              <w:rPr>
                <w:rFonts w:ascii="Calibri" w:hAnsi="Calibri" w:cs="Arial Unicode MS"/>
                <w:color w:val="000000"/>
                <w:sz w:val="20"/>
                <w:szCs w:val="20"/>
              </w:rPr>
              <w:br/>
              <w:t>+ 5.9</w:t>
            </w:r>
            <w:r w:rsidR="008A32B2" w:rsidRPr="008A32B2">
              <w:rPr>
                <w:rFonts w:ascii="Calibri" w:hAnsi="Calibri" w:cs="Arial Unicode MS"/>
                <w:color w:val="000000"/>
                <w:sz w:val="20"/>
                <w:szCs w:val="20"/>
              </w:rPr>
              <w:t>%</w:t>
            </w:r>
          </w:p>
        </w:tc>
        <w:tc>
          <w:tcPr>
            <w:tcW w:w="1797" w:type="dxa"/>
            <w:shd w:val="clear" w:color="auto" w:fill="FFFFFF" w:themeFill="background1"/>
          </w:tcPr>
          <w:p w:rsidR="008A32B2" w:rsidRPr="008A32B2" w:rsidRDefault="001E08F6" w:rsidP="001E08F6">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alibri" w:hAnsi="Calibri" w:cs="Arial Unicode MS"/>
                <w:color w:val="000000"/>
                <w:sz w:val="20"/>
                <w:szCs w:val="20"/>
              </w:rPr>
            </w:pPr>
            <w:r>
              <w:rPr>
                <w:rFonts w:ascii="Calibri" w:hAnsi="Calibri" w:cs="Arial Unicode MS"/>
                <w:color w:val="000000"/>
                <w:sz w:val="20"/>
                <w:szCs w:val="20"/>
              </w:rPr>
              <w:t>$400</w:t>
            </w:r>
            <w:r>
              <w:rPr>
                <w:rFonts w:ascii="Calibri" w:hAnsi="Calibri" w:cs="Arial Unicode MS"/>
                <w:color w:val="000000"/>
                <w:sz w:val="20"/>
                <w:szCs w:val="20"/>
              </w:rPr>
              <w:br/>
            </w:r>
            <w:r w:rsidRPr="004D6092">
              <w:rPr>
                <w:rFonts w:ascii="Calibri" w:hAnsi="Calibri" w:cs="Arial Unicode MS"/>
                <w:color w:val="FF0000"/>
                <w:sz w:val="20"/>
                <w:szCs w:val="20"/>
              </w:rPr>
              <w:t>-</w:t>
            </w:r>
            <w:r w:rsidR="008A32B2" w:rsidRPr="004D6092">
              <w:rPr>
                <w:rFonts w:ascii="Calibri" w:hAnsi="Calibri" w:cs="Arial Unicode MS"/>
                <w:color w:val="FF0000"/>
                <w:sz w:val="20"/>
                <w:szCs w:val="20"/>
              </w:rPr>
              <w:t xml:space="preserve"> </w:t>
            </w:r>
            <w:r w:rsidRPr="004D6092">
              <w:rPr>
                <w:rFonts w:ascii="Calibri" w:hAnsi="Calibri" w:cs="Arial Unicode MS"/>
                <w:color w:val="FF0000"/>
                <w:sz w:val="20"/>
                <w:szCs w:val="20"/>
              </w:rPr>
              <w:t>1.2</w:t>
            </w:r>
            <w:r w:rsidR="008A32B2" w:rsidRPr="004D6092">
              <w:rPr>
                <w:rFonts w:ascii="Calibri" w:hAnsi="Calibri" w:cs="Arial Unicode MS"/>
                <w:color w:val="FF0000"/>
                <w:sz w:val="20"/>
                <w:szCs w:val="20"/>
              </w:rPr>
              <w:t>%</w:t>
            </w:r>
          </w:p>
        </w:tc>
        <w:tc>
          <w:tcPr>
            <w:tcW w:w="1826" w:type="dxa"/>
            <w:shd w:val="clear" w:color="auto" w:fill="FFFFFF" w:themeFill="background1"/>
          </w:tcPr>
          <w:p w:rsidR="008A32B2" w:rsidRPr="008A32B2" w:rsidRDefault="001E08F6" w:rsidP="008A32B2">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alibri" w:hAnsi="Calibri" w:cs="Arial Unicode MS"/>
                <w:color w:val="FF0000"/>
                <w:sz w:val="20"/>
                <w:szCs w:val="20"/>
              </w:rPr>
            </w:pPr>
            <w:r>
              <w:rPr>
                <w:rFonts w:ascii="Calibri" w:hAnsi="Calibri" w:cs="Arial Unicode MS"/>
                <w:color w:val="000000"/>
                <w:sz w:val="20"/>
                <w:szCs w:val="20"/>
              </w:rPr>
              <w:t>$385</w:t>
            </w:r>
            <w:r>
              <w:rPr>
                <w:rFonts w:ascii="Calibri" w:hAnsi="Calibri" w:cs="Arial Unicode MS"/>
                <w:color w:val="000000"/>
                <w:sz w:val="20"/>
                <w:szCs w:val="20"/>
              </w:rPr>
              <w:br/>
              <w:t>+ 6.9</w:t>
            </w:r>
            <w:r w:rsidR="008A32B2" w:rsidRPr="008A32B2">
              <w:rPr>
                <w:rFonts w:ascii="Calibri" w:hAnsi="Calibri" w:cs="Arial Unicode MS"/>
                <w:color w:val="000000"/>
                <w:sz w:val="20"/>
                <w:szCs w:val="20"/>
              </w:rPr>
              <w:t>%</w:t>
            </w:r>
          </w:p>
        </w:tc>
      </w:tr>
      <w:tr w:rsidR="008A32B2" w:rsidRPr="008A32B2" w:rsidTr="00DD07FD">
        <w:trPr>
          <w:tblCellSpacing w:w="57" w:type="dxa"/>
        </w:trPr>
        <w:tc>
          <w:tcPr>
            <w:cnfStyle w:val="001000000000" w:firstRow="0" w:lastRow="0" w:firstColumn="1" w:lastColumn="0" w:oddVBand="0" w:evenVBand="0" w:oddHBand="0" w:evenHBand="0" w:firstRowFirstColumn="0" w:firstRowLastColumn="0" w:lastRowFirstColumn="0" w:lastRowLastColumn="0"/>
            <w:tcW w:w="1805" w:type="dxa"/>
            <w:shd w:val="clear" w:color="auto" w:fill="E5E5E5" w:themeFill="background2" w:themeFillTint="66"/>
          </w:tcPr>
          <w:p w:rsidR="008A32B2" w:rsidRPr="008A32B2" w:rsidRDefault="008A32B2" w:rsidP="008A32B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Arial Unicode MS"/>
                <w:color w:val="000000"/>
                <w:sz w:val="20"/>
                <w:szCs w:val="20"/>
              </w:rPr>
            </w:pPr>
            <w:r w:rsidRPr="008A32B2">
              <w:rPr>
                <w:rFonts w:ascii="Calibri" w:hAnsi="Calibri" w:cs="Arial Unicode MS"/>
                <w:color w:val="000000"/>
                <w:sz w:val="20"/>
                <w:szCs w:val="20"/>
              </w:rPr>
              <w:t>Townhouses</w:t>
            </w:r>
          </w:p>
        </w:tc>
        <w:tc>
          <w:tcPr>
            <w:tcW w:w="1748" w:type="dxa"/>
            <w:shd w:val="clear" w:color="auto" w:fill="FFFFFF" w:themeFill="background1"/>
          </w:tcPr>
          <w:p w:rsidR="008A32B2" w:rsidRPr="008A32B2" w:rsidRDefault="001E08F6" w:rsidP="008A32B2">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alibri" w:hAnsi="Calibri" w:cs="Arial Unicode MS"/>
                <w:color w:val="000000"/>
                <w:sz w:val="20"/>
                <w:szCs w:val="20"/>
              </w:rPr>
            </w:pPr>
            <w:r>
              <w:rPr>
                <w:rFonts w:ascii="Calibri" w:hAnsi="Calibri" w:cs="Arial Unicode MS"/>
                <w:color w:val="000000"/>
                <w:sz w:val="20"/>
                <w:szCs w:val="20"/>
              </w:rPr>
              <w:t>$452</w:t>
            </w:r>
            <w:r>
              <w:rPr>
                <w:rFonts w:ascii="Calibri" w:hAnsi="Calibri" w:cs="Arial Unicode MS"/>
                <w:color w:val="000000"/>
                <w:sz w:val="20"/>
                <w:szCs w:val="20"/>
              </w:rPr>
              <w:br/>
              <w:t>+ 4.6</w:t>
            </w:r>
            <w:r w:rsidR="008A32B2" w:rsidRPr="008A32B2">
              <w:rPr>
                <w:rFonts w:ascii="Calibri" w:hAnsi="Calibri" w:cs="Arial Unicode MS"/>
                <w:color w:val="000000"/>
                <w:sz w:val="20"/>
                <w:szCs w:val="20"/>
              </w:rPr>
              <w:t>%</w:t>
            </w:r>
          </w:p>
        </w:tc>
        <w:tc>
          <w:tcPr>
            <w:tcW w:w="1778" w:type="dxa"/>
            <w:shd w:val="clear" w:color="auto" w:fill="FFFFFF" w:themeFill="background1"/>
          </w:tcPr>
          <w:p w:rsidR="008A32B2" w:rsidRPr="008A32B2" w:rsidRDefault="001E08F6" w:rsidP="001E08F6">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alibri" w:hAnsi="Calibri" w:cs="Arial Unicode MS"/>
                <w:color w:val="000000"/>
                <w:sz w:val="20"/>
                <w:szCs w:val="20"/>
              </w:rPr>
            </w:pPr>
            <w:r>
              <w:rPr>
                <w:rFonts w:ascii="Calibri" w:hAnsi="Calibri" w:cs="Arial Unicode MS"/>
                <w:color w:val="000000"/>
                <w:sz w:val="20"/>
                <w:szCs w:val="20"/>
              </w:rPr>
              <w:t>$560</w:t>
            </w:r>
            <w:r>
              <w:rPr>
                <w:rFonts w:ascii="Calibri" w:hAnsi="Calibri" w:cs="Arial Unicode MS"/>
                <w:color w:val="000000"/>
                <w:sz w:val="20"/>
                <w:szCs w:val="20"/>
              </w:rPr>
              <w:br/>
              <w:t>+ 12</w:t>
            </w:r>
            <w:r w:rsidR="008A32B2" w:rsidRPr="008A32B2">
              <w:rPr>
                <w:rFonts w:ascii="Calibri" w:hAnsi="Calibri" w:cs="Arial Unicode MS"/>
                <w:color w:val="000000"/>
                <w:sz w:val="20"/>
                <w:szCs w:val="20"/>
              </w:rPr>
              <w:t>.</w:t>
            </w:r>
            <w:r>
              <w:rPr>
                <w:rFonts w:ascii="Calibri" w:hAnsi="Calibri" w:cs="Arial Unicode MS"/>
                <w:color w:val="000000"/>
                <w:sz w:val="20"/>
                <w:szCs w:val="20"/>
              </w:rPr>
              <w:t>0</w:t>
            </w:r>
            <w:r w:rsidR="008A32B2" w:rsidRPr="008A32B2">
              <w:rPr>
                <w:rFonts w:ascii="Calibri" w:hAnsi="Calibri" w:cs="Arial Unicode MS"/>
                <w:color w:val="000000"/>
                <w:sz w:val="20"/>
                <w:szCs w:val="20"/>
              </w:rPr>
              <w:t>%</w:t>
            </w:r>
          </w:p>
        </w:tc>
        <w:tc>
          <w:tcPr>
            <w:tcW w:w="1797" w:type="dxa"/>
            <w:shd w:val="clear" w:color="auto" w:fill="FFFFFF" w:themeFill="background1"/>
          </w:tcPr>
          <w:p w:rsidR="008A32B2" w:rsidRPr="008A32B2" w:rsidRDefault="001E08F6" w:rsidP="008A32B2">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alibri" w:hAnsi="Calibri" w:cs="Arial Unicode MS"/>
                <w:color w:val="auto"/>
                <w:sz w:val="20"/>
                <w:szCs w:val="20"/>
              </w:rPr>
            </w:pPr>
            <w:r>
              <w:rPr>
                <w:rFonts w:ascii="Calibri" w:hAnsi="Calibri" w:cs="Arial Unicode MS"/>
                <w:color w:val="auto"/>
                <w:sz w:val="20"/>
                <w:szCs w:val="20"/>
              </w:rPr>
              <w:t>$420</w:t>
            </w:r>
            <w:r>
              <w:rPr>
                <w:rFonts w:ascii="Calibri" w:hAnsi="Calibri" w:cs="Arial Unicode MS"/>
                <w:color w:val="auto"/>
                <w:sz w:val="20"/>
                <w:szCs w:val="20"/>
              </w:rPr>
              <w:br/>
              <w:t>+ 6.3</w:t>
            </w:r>
            <w:r w:rsidR="008A32B2" w:rsidRPr="008A32B2">
              <w:rPr>
                <w:rFonts w:ascii="Calibri" w:hAnsi="Calibri" w:cs="Arial Unicode MS"/>
                <w:color w:val="auto"/>
                <w:sz w:val="20"/>
                <w:szCs w:val="20"/>
              </w:rPr>
              <w:t>%</w:t>
            </w:r>
          </w:p>
        </w:tc>
        <w:tc>
          <w:tcPr>
            <w:tcW w:w="1826" w:type="dxa"/>
            <w:shd w:val="clear" w:color="auto" w:fill="FFFFFF" w:themeFill="background1"/>
          </w:tcPr>
          <w:p w:rsidR="008A32B2" w:rsidRPr="008A32B2" w:rsidRDefault="001E08F6" w:rsidP="001E08F6">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alibri" w:hAnsi="Calibri" w:cs="Arial Unicode MS"/>
                <w:color w:val="000000"/>
                <w:sz w:val="20"/>
                <w:szCs w:val="20"/>
              </w:rPr>
            </w:pPr>
            <w:r>
              <w:rPr>
                <w:rFonts w:ascii="Calibri" w:hAnsi="Calibri" w:cs="Arial Unicode MS"/>
                <w:color w:val="000000"/>
                <w:sz w:val="20"/>
                <w:szCs w:val="20"/>
              </w:rPr>
              <w:t>$440</w:t>
            </w:r>
            <w:r>
              <w:rPr>
                <w:rFonts w:ascii="Calibri" w:hAnsi="Calibri" w:cs="Arial Unicode MS"/>
                <w:color w:val="000000"/>
                <w:sz w:val="20"/>
                <w:szCs w:val="20"/>
              </w:rPr>
              <w:br/>
            </w:r>
            <w:r w:rsidRPr="004D6092">
              <w:rPr>
                <w:rFonts w:ascii="Calibri" w:hAnsi="Calibri" w:cs="Arial Unicode MS"/>
                <w:color w:val="FF0000"/>
                <w:sz w:val="20"/>
                <w:szCs w:val="20"/>
              </w:rPr>
              <w:t>-</w:t>
            </w:r>
            <w:r w:rsidR="008A32B2" w:rsidRPr="004D6092">
              <w:rPr>
                <w:rFonts w:ascii="Calibri" w:hAnsi="Calibri" w:cs="Arial Unicode MS"/>
                <w:color w:val="FF0000"/>
                <w:sz w:val="20"/>
                <w:szCs w:val="20"/>
              </w:rPr>
              <w:t xml:space="preserve"> </w:t>
            </w:r>
            <w:r w:rsidRPr="004D6092">
              <w:rPr>
                <w:rFonts w:ascii="Calibri" w:hAnsi="Calibri" w:cs="Arial Unicode MS"/>
                <w:color w:val="FF0000"/>
                <w:sz w:val="20"/>
                <w:szCs w:val="20"/>
              </w:rPr>
              <w:t>2.2</w:t>
            </w:r>
            <w:r w:rsidR="008A32B2" w:rsidRPr="004D6092">
              <w:rPr>
                <w:rFonts w:ascii="Calibri" w:hAnsi="Calibri" w:cs="Arial Unicode MS"/>
                <w:color w:val="FF0000"/>
                <w:sz w:val="20"/>
                <w:szCs w:val="20"/>
              </w:rPr>
              <w:t>%</w:t>
            </w:r>
            <w:bookmarkStart w:id="0" w:name="_GoBack"/>
            <w:bookmarkEnd w:id="0"/>
          </w:p>
        </w:tc>
      </w:tr>
      <w:tr w:rsidR="008A32B2" w:rsidRPr="008A32B2" w:rsidTr="00DD07FD">
        <w:trPr>
          <w:cnfStyle w:val="000000100000" w:firstRow="0" w:lastRow="0" w:firstColumn="0" w:lastColumn="0" w:oddVBand="0" w:evenVBand="0" w:oddHBand="1" w:evenHBand="0" w:firstRowFirstColumn="0" w:firstRowLastColumn="0" w:lastRowFirstColumn="0" w:lastRowLastColumn="0"/>
          <w:tblCellSpacing w:w="57" w:type="dxa"/>
        </w:trPr>
        <w:tc>
          <w:tcPr>
            <w:cnfStyle w:val="001000000000" w:firstRow="0" w:lastRow="0" w:firstColumn="1" w:lastColumn="0" w:oddVBand="0" w:evenVBand="0" w:oddHBand="0" w:evenHBand="0" w:firstRowFirstColumn="0" w:firstRowLastColumn="0" w:lastRowFirstColumn="0" w:lastRowLastColumn="0"/>
            <w:tcW w:w="1805" w:type="dxa"/>
            <w:shd w:val="clear" w:color="auto" w:fill="E5E5E5" w:themeFill="background2" w:themeFillTint="66"/>
          </w:tcPr>
          <w:p w:rsidR="008A32B2" w:rsidRPr="008A32B2" w:rsidRDefault="008A32B2" w:rsidP="008A32B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Arial Unicode MS"/>
                <w:color w:val="000000"/>
                <w:sz w:val="20"/>
                <w:szCs w:val="20"/>
              </w:rPr>
            </w:pPr>
            <w:r w:rsidRPr="008A32B2">
              <w:rPr>
                <w:rFonts w:ascii="Calibri" w:hAnsi="Calibri" w:cs="Arial Unicode MS"/>
                <w:color w:val="000000"/>
                <w:sz w:val="20"/>
                <w:szCs w:val="20"/>
              </w:rPr>
              <w:t>Units</w:t>
            </w:r>
          </w:p>
        </w:tc>
        <w:tc>
          <w:tcPr>
            <w:tcW w:w="1748" w:type="dxa"/>
            <w:shd w:val="clear" w:color="auto" w:fill="FFFFFF" w:themeFill="background1"/>
          </w:tcPr>
          <w:p w:rsidR="008A32B2" w:rsidRPr="008A32B2" w:rsidRDefault="001E08F6" w:rsidP="008A32B2">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alibri" w:hAnsi="Calibri" w:cs="Arial Unicode MS"/>
                <w:color w:val="000000"/>
                <w:sz w:val="20"/>
                <w:szCs w:val="20"/>
              </w:rPr>
            </w:pPr>
            <w:r>
              <w:rPr>
                <w:rFonts w:ascii="Calibri" w:hAnsi="Calibri" w:cs="Arial Unicode MS"/>
                <w:color w:val="000000"/>
                <w:sz w:val="20"/>
                <w:szCs w:val="20"/>
              </w:rPr>
              <w:t>$335</w:t>
            </w:r>
            <w:r>
              <w:rPr>
                <w:rFonts w:ascii="Calibri" w:hAnsi="Calibri" w:cs="Arial Unicode MS"/>
                <w:color w:val="000000"/>
                <w:sz w:val="20"/>
                <w:szCs w:val="20"/>
              </w:rPr>
              <w:br/>
              <w:t>+ 11.7</w:t>
            </w:r>
            <w:r w:rsidR="008A32B2" w:rsidRPr="008A32B2">
              <w:rPr>
                <w:rFonts w:ascii="Calibri" w:hAnsi="Calibri" w:cs="Arial Unicode MS"/>
                <w:color w:val="000000"/>
                <w:sz w:val="20"/>
                <w:szCs w:val="20"/>
              </w:rPr>
              <w:t>%</w:t>
            </w:r>
          </w:p>
        </w:tc>
        <w:tc>
          <w:tcPr>
            <w:tcW w:w="1778" w:type="dxa"/>
            <w:shd w:val="clear" w:color="auto" w:fill="FFFFFF" w:themeFill="background1"/>
          </w:tcPr>
          <w:p w:rsidR="008A32B2" w:rsidRPr="008A32B2" w:rsidRDefault="001E08F6" w:rsidP="008A32B2">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alibri" w:hAnsi="Calibri" w:cs="Arial Unicode MS"/>
                <w:color w:val="000000"/>
                <w:sz w:val="20"/>
                <w:szCs w:val="20"/>
              </w:rPr>
            </w:pPr>
            <w:r>
              <w:rPr>
                <w:rFonts w:ascii="Calibri" w:hAnsi="Calibri" w:cs="Arial Unicode MS"/>
                <w:color w:val="000000"/>
                <w:sz w:val="20"/>
                <w:szCs w:val="20"/>
              </w:rPr>
              <w:t>$395</w:t>
            </w:r>
            <w:r>
              <w:rPr>
                <w:rFonts w:ascii="Calibri" w:hAnsi="Calibri" w:cs="Arial Unicode MS"/>
                <w:color w:val="000000"/>
                <w:sz w:val="20"/>
                <w:szCs w:val="20"/>
              </w:rPr>
              <w:br/>
              <w:t>+ 8.2</w:t>
            </w:r>
            <w:r w:rsidR="008A32B2" w:rsidRPr="008A32B2">
              <w:rPr>
                <w:rFonts w:ascii="Calibri" w:hAnsi="Calibri" w:cs="Arial Unicode MS"/>
                <w:color w:val="000000"/>
                <w:sz w:val="20"/>
                <w:szCs w:val="20"/>
              </w:rPr>
              <w:t>%</w:t>
            </w:r>
            <w:r w:rsidR="008A32B2" w:rsidRPr="008A32B2">
              <w:rPr>
                <w:rFonts w:ascii="Calibri" w:hAnsi="Calibri" w:cs="Arial Unicode MS"/>
                <w:color w:val="000000"/>
                <w:sz w:val="20"/>
                <w:szCs w:val="20"/>
              </w:rPr>
              <w:tab/>
            </w:r>
          </w:p>
        </w:tc>
        <w:tc>
          <w:tcPr>
            <w:tcW w:w="1797" w:type="dxa"/>
            <w:shd w:val="clear" w:color="auto" w:fill="FFFFFF" w:themeFill="background1"/>
          </w:tcPr>
          <w:p w:rsidR="008A32B2" w:rsidRPr="008A32B2" w:rsidRDefault="001E08F6" w:rsidP="008A32B2">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alibri" w:hAnsi="Calibri" w:cs="Arial Unicode MS"/>
                <w:color w:val="000000"/>
                <w:sz w:val="20"/>
                <w:szCs w:val="20"/>
              </w:rPr>
            </w:pPr>
            <w:r>
              <w:rPr>
                <w:rFonts w:ascii="Calibri" w:hAnsi="Calibri" w:cs="Arial Unicode MS"/>
                <w:color w:val="000000"/>
                <w:sz w:val="20"/>
                <w:szCs w:val="20"/>
              </w:rPr>
              <w:t>$300</w:t>
            </w:r>
            <w:r w:rsidR="008A32B2" w:rsidRPr="008A32B2">
              <w:rPr>
                <w:rFonts w:ascii="Calibri" w:hAnsi="Calibri" w:cs="Arial Unicode MS"/>
                <w:color w:val="000000"/>
                <w:sz w:val="20"/>
                <w:szCs w:val="20"/>
              </w:rPr>
              <w:br/>
            </w:r>
            <w:r>
              <w:rPr>
                <w:rFonts w:ascii="Calibri" w:hAnsi="Calibri" w:cs="Arial Unicode MS"/>
                <w:color w:val="000000"/>
                <w:sz w:val="20"/>
                <w:szCs w:val="20"/>
              </w:rPr>
              <w:t>+ 9.1</w:t>
            </w:r>
            <w:r w:rsidRPr="008A32B2">
              <w:rPr>
                <w:rFonts w:ascii="Calibri" w:hAnsi="Calibri" w:cs="Arial Unicode MS"/>
                <w:color w:val="000000"/>
                <w:sz w:val="20"/>
                <w:szCs w:val="20"/>
              </w:rPr>
              <w:t>%</w:t>
            </w:r>
            <w:r w:rsidR="008A32B2" w:rsidRPr="008A32B2">
              <w:rPr>
                <w:rFonts w:ascii="Calibri" w:hAnsi="Calibri" w:cs="Arial Unicode MS"/>
                <w:color w:val="000000"/>
                <w:sz w:val="20"/>
                <w:szCs w:val="20"/>
              </w:rPr>
              <w:tab/>
            </w:r>
          </w:p>
        </w:tc>
        <w:tc>
          <w:tcPr>
            <w:tcW w:w="1826" w:type="dxa"/>
            <w:shd w:val="clear" w:color="auto" w:fill="FFFFFF" w:themeFill="background1"/>
          </w:tcPr>
          <w:p w:rsidR="008A32B2" w:rsidRPr="008A32B2" w:rsidRDefault="001E08F6" w:rsidP="008A32B2">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alibri" w:hAnsi="Calibri" w:cs="Arial Unicode MS"/>
                <w:color w:val="000000"/>
                <w:sz w:val="20"/>
                <w:szCs w:val="20"/>
              </w:rPr>
            </w:pPr>
            <w:r>
              <w:rPr>
                <w:rFonts w:ascii="Calibri" w:hAnsi="Calibri" w:cs="Arial Unicode MS"/>
                <w:color w:val="000000"/>
                <w:sz w:val="20"/>
                <w:szCs w:val="20"/>
              </w:rPr>
              <w:t>$340</w:t>
            </w:r>
            <w:r>
              <w:rPr>
                <w:rFonts w:ascii="Calibri" w:hAnsi="Calibri" w:cs="Arial Unicode MS"/>
                <w:color w:val="000000"/>
                <w:sz w:val="20"/>
                <w:szCs w:val="20"/>
              </w:rPr>
              <w:br/>
              <w:t>+ 0.9</w:t>
            </w:r>
            <w:r w:rsidR="008A32B2" w:rsidRPr="008A32B2">
              <w:rPr>
                <w:rFonts w:ascii="Calibri" w:hAnsi="Calibri" w:cs="Arial Unicode MS"/>
                <w:color w:val="000000"/>
                <w:sz w:val="20"/>
                <w:szCs w:val="20"/>
              </w:rPr>
              <w:t>%</w:t>
            </w:r>
          </w:p>
        </w:tc>
      </w:tr>
      <w:tr w:rsidR="001E08F6" w:rsidRPr="008A32B2" w:rsidTr="00DD07FD">
        <w:trPr>
          <w:tblCellSpacing w:w="57" w:type="dxa"/>
        </w:trPr>
        <w:tc>
          <w:tcPr>
            <w:cnfStyle w:val="001000000000" w:firstRow="0" w:lastRow="0" w:firstColumn="1" w:lastColumn="0" w:oddVBand="0" w:evenVBand="0" w:oddHBand="0" w:evenHBand="0" w:firstRowFirstColumn="0" w:firstRowLastColumn="0" w:lastRowFirstColumn="0" w:lastRowLastColumn="0"/>
            <w:tcW w:w="1805" w:type="dxa"/>
            <w:shd w:val="clear" w:color="auto" w:fill="E5E5E5" w:themeFill="background2" w:themeFillTint="66"/>
          </w:tcPr>
          <w:p w:rsidR="001E08F6" w:rsidRPr="008A32B2" w:rsidRDefault="001E08F6" w:rsidP="00BA0A9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Arial Unicode MS"/>
                <w:color w:val="000000"/>
                <w:sz w:val="20"/>
                <w:szCs w:val="20"/>
              </w:rPr>
            </w:pPr>
            <w:r w:rsidRPr="008A32B2">
              <w:rPr>
                <w:rFonts w:ascii="Calibri" w:hAnsi="Calibri" w:cs="Arial Unicode MS"/>
                <w:color w:val="000000"/>
                <w:sz w:val="20"/>
                <w:szCs w:val="20"/>
              </w:rPr>
              <w:t>All property types</w:t>
            </w:r>
          </w:p>
        </w:tc>
        <w:tc>
          <w:tcPr>
            <w:tcW w:w="1748" w:type="dxa"/>
            <w:shd w:val="clear" w:color="auto" w:fill="FFFFFF" w:themeFill="background1"/>
          </w:tcPr>
          <w:p w:rsidR="001E08F6" w:rsidRPr="001E08F6" w:rsidRDefault="001E08F6" w:rsidP="00BA0A96">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alibri" w:hAnsi="Calibri" w:cs="Arial Unicode MS"/>
                <w:color w:val="auto"/>
                <w:sz w:val="20"/>
                <w:szCs w:val="20"/>
              </w:rPr>
            </w:pPr>
            <w:r w:rsidRPr="001E08F6">
              <w:rPr>
                <w:rFonts w:ascii="Calibri" w:hAnsi="Calibri"/>
                <w:color w:val="auto"/>
                <w:sz w:val="20"/>
                <w:szCs w:val="20"/>
              </w:rPr>
              <w:t>$420</w:t>
            </w:r>
            <w:r w:rsidRPr="001E08F6">
              <w:rPr>
                <w:rFonts w:ascii="Calibri" w:hAnsi="Calibri"/>
                <w:color w:val="auto"/>
                <w:sz w:val="20"/>
                <w:szCs w:val="20"/>
              </w:rPr>
              <w:br/>
              <w:t>+ 6.3%</w:t>
            </w:r>
          </w:p>
        </w:tc>
        <w:tc>
          <w:tcPr>
            <w:tcW w:w="1778" w:type="dxa"/>
            <w:shd w:val="clear" w:color="auto" w:fill="FFFFFF" w:themeFill="background1"/>
          </w:tcPr>
          <w:p w:rsidR="001E08F6" w:rsidRPr="001E08F6" w:rsidRDefault="001E08F6" w:rsidP="00BA0A96">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alibri" w:hAnsi="Calibri" w:cs="Arial Unicode MS"/>
                <w:color w:val="auto"/>
                <w:sz w:val="20"/>
                <w:szCs w:val="20"/>
              </w:rPr>
            </w:pPr>
            <w:r w:rsidRPr="001E08F6">
              <w:rPr>
                <w:rFonts w:ascii="Calibri" w:hAnsi="Calibri"/>
                <w:color w:val="auto"/>
                <w:sz w:val="20"/>
                <w:szCs w:val="20"/>
              </w:rPr>
              <w:t>$485</w:t>
            </w:r>
            <w:r w:rsidRPr="001E08F6">
              <w:rPr>
                <w:rFonts w:ascii="Calibri" w:hAnsi="Calibri"/>
                <w:color w:val="auto"/>
                <w:sz w:val="20"/>
                <w:szCs w:val="20"/>
              </w:rPr>
              <w:br/>
              <w:t>+ 5.4%</w:t>
            </w:r>
          </w:p>
        </w:tc>
        <w:tc>
          <w:tcPr>
            <w:tcW w:w="1797" w:type="dxa"/>
            <w:shd w:val="clear" w:color="auto" w:fill="FFFFFF" w:themeFill="background1"/>
          </w:tcPr>
          <w:p w:rsidR="001E08F6" w:rsidRPr="001E08F6" w:rsidRDefault="001E08F6" w:rsidP="00BA0A96">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alibri" w:hAnsi="Calibri" w:cs="Arial Unicode MS"/>
                <w:color w:val="auto"/>
                <w:sz w:val="20"/>
                <w:szCs w:val="20"/>
              </w:rPr>
            </w:pPr>
            <w:r w:rsidRPr="001E08F6">
              <w:rPr>
                <w:rFonts w:ascii="Calibri" w:hAnsi="Calibri"/>
                <w:color w:val="auto"/>
                <w:sz w:val="20"/>
                <w:szCs w:val="20"/>
              </w:rPr>
              <w:t>$395</w:t>
            </w:r>
            <w:r w:rsidRPr="001E08F6">
              <w:rPr>
                <w:rFonts w:ascii="Calibri" w:hAnsi="Calibri"/>
                <w:color w:val="auto"/>
                <w:sz w:val="20"/>
                <w:szCs w:val="20"/>
              </w:rPr>
              <w:br/>
              <w:t>+ 1.3%</w:t>
            </w:r>
          </w:p>
        </w:tc>
        <w:tc>
          <w:tcPr>
            <w:tcW w:w="1826" w:type="dxa"/>
            <w:shd w:val="clear" w:color="auto" w:fill="FFFFFF" w:themeFill="background1"/>
          </w:tcPr>
          <w:p w:rsidR="001E08F6" w:rsidRPr="001E08F6" w:rsidRDefault="001E08F6" w:rsidP="00BA0A96">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alibri" w:hAnsi="Calibri" w:cs="Arial Unicode MS"/>
                <w:color w:val="auto"/>
                <w:sz w:val="20"/>
                <w:szCs w:val="20"/>
              </w:rPr>
            </w:pPr>
            <w:r w:rsidRPr="001E08F6">
              <w:rPr>
                <w:rFonts w:ascii="Calibri" w:hAnsi="Calibri"/>
                <w:color w:val="auto"/>
                <w:sz w:val="20"/>
                <w:szCs w:val="20"/>
              </w:rPr>
              <w:t>$450</w:t>
            </w:r>
            <w:r w:rsidRPr="001E08F6">
              <w:rPr>
                <w:rFonts w:ascii="Calibri" w:hAnsi="Calibri"/>
                <w:color w:val="auto"/>
                <w:sz w:val="20"/>
                <w:szCs w:val="20"/>
              </w:rPr>
              <w:br/>
              <w:t>No Change</w:t>
            </w:r>
          </w:p>
        </w:tc>
      </w:tr>
    </w:tbl>
    <w:p w:rsidR="008A32B2" w:rsidRPr="008A32B2" w:rsidRDefault="008A32B2" w:rsidP="008A32B2">
      <w:pPr>
        <w:rPr>
          <w:rFonts w:ascii="Calibri" w:hAnsi="Calibri" w:cs="Arial Unicode MS"/>
          <w:i/>
          <w:color w:val="000000"/>
          <w:sz w:val="20"/>
          <w:szCs w:val="20"/>
          <w:lang w:eastAsia="en-NZ"/>
        </w:rPr>
      </w:pPr>
    </w:p>
    <w:p w:rsidR="00B85339" w:rsidRDefault="00B85339" w:rsidP="00B85339">
      <w:pPr>
        <w:pStyle w:val="Body"/>
        <w:jc w:val="both"/>
        <w:rPr>
          <w:rFonts w:ascii="Calibri" w:hAnsi="Calibri"/>
        </w:rPr>
      </w:pPr>
    </w:p>
    <w:p w:rsidR="00B85339" w:rsidRPr="005B7B8E" w:rsidRDefault="00B85339" w:rsidP="00B85339">
      <w:pPr>
        <w:pStyle w:val="Body"/>
        <w:jc w:val="center"/>
        <w:rPr>
          <w:rFonts w:ascii="Calibri" w:hAnsi="Calibri" w:cstheme="minorHAnsi"/>
          <w:b/>
        </w:rPr>
      </w:pPr>
      <w:r w:rsidRPr="005B7B8E">
        <w:rPr>
          <w:rFonts w:ascii="Calibri" w:hAnsi="Calibri"/>
        </w:rPr>
        <w:t>-</w:t>
      </w:r>
      <w:proofErr w:type="gramStart"/>
      <w:r w:rsidRPr="005B7B8E">
        <w:rPr>
          <w:rFonts w:ascii="Calibri" w:hAnsi="Calibri" w:cstheme="minorHAnsi"/>
          <w:b/>
        </w:rPr>
        <w:t>ends</w:t>
      </w:r>
      <w:proofErr w:type="gramEnd"/>
      <w:r w:rsidRPr="005B7B8E">
        <w:rPr>
          <w:rFonts w:ascii="Calibri" w:hAnsi="Calibri" w:cstheme="minorHAnsi"/>
          <w:b/>
        </w:rPr>
        <w:t>-</w:t>
      </w:r>
    </w:p>
    <w:p w:rsidR="00F02DDD" w:rsidRDefault="00F02DDD" w:rsidP="00B85339">
      <w:pPr>
        <w:rPr>
          <w:rFonts w:ascii="Calibri" w:hAnsi="Calibri" w:cstheme="minorHAnsi"/>
          <w:b/>
          <w:sz w:val="22"/>
          <w:szCs w:val="22"/>
        </w:rPr>
      </w:pPr>
    </w:p>
    <w:p w:rsidR="00F02DDD" w:rsidRDefault="00F02DDD" w:rsidP="00B85339">
      <w:pPr>
        <w:rPr>
          <w:rFonts w:ascii="Calibri" w:hAnsi="Calibri" w:cstheme="minorHAnsi"/>
          <w:b/>
          <w:sz w:val="22"/>
          <w:szCs w:val="22"/>
        </w:rPr>
      </w:pPr>
    </w:p>
    <w:p w:rsidR="00EA5C65" w:rsidRDefault="00EA5C65" w:rsidP="00B85339">
      <w:pPr>
        <w:rPr>
          <w:rFonts w:ascii="Calibri" w:hAnsi="Calibri" w:cstheme="minorHAnsi"/>
          <w:b/>
          <w:sz w:val="22"/>
          <w:szCs w:val="22"/>
        </w:rPr>
      </w:pPr>
    </w:p>
    <w:p w:rsidR="00EA5C65" w:rsidRDefault="00EA5C65" w:rsidP="00B85339">
      <w:pPr>
        <w:rPr>
          <w:rFonts w:ascii="Calibri" w:hAnsi="Calibri" w:cstheme="minorHAnsi"/>
          <w:b/>
          <w:sz w:val="22"/>
          <w:szCs w:val="22"/>
        </w:rPr>
      </w:pPr>
    </w:p>
    <w:p w:rsidR="00B85339" w:rsidRPr="00F20DF9" w:rsidRDefault="00F653FB" w:rsidP="00B85339">
      <w:pPr>
        <w:rPr>
          <w:rFonts w:ascii="Calibri" w:hAnsi="Calibri" w:cstheme="minorHAnsi"/>
          <w:b/>
          <w:sz w:val="22"/>
          <w:szCs w:val="22"/>
        </w:rPr>
      </w:pPr>
      <w:r>
        <w:rPr>
          <w:rFonts w:ascii="Calibri" w:hAnsi="Calibri" w:cstheme="minorHAnsi"/>
          <w:b/>
          <w:sz w:val="22"/>
          <w:szCs w:val="22"/>
        </w:rPr>
        <w:t>NOTES</w:t>
      </w:r>
    </w:p>
    <w:p w:rsidR="00B85339" w:rsidRPr="00F20DF9" w:rsidRDefault="00B85339" w:rsidP="00B85339">
      <w:pPr>
        <w:pStyle w:val="ListParagraph"/>
        <w:rPr>
          <w:rFonts w:ascii="Calibri" w:hAnsi="Calibri" w:cstheme="minorHAnsi"/>
          <w:sz w:val="22"/>
          <w:szCs w:val="22"/>
        </w:rPr>
      </w:pPr>
    </w:p>
    <w:p w:rsidR="00187EA9" w:rsidRPr="00F653FB" w:rsidRDefault="00187EA9" w:rsidP="00F653FB">
      <w:pPr>
        <w:pStyle w:val="ListParagraph"/>
        <w:numPr>
          <w:ilvl w:val="0"/>
          <w:numId w:val="7"/>
        </w:numPr>
        <w:rPr>
          <w:rFonts w:ascii="Calibri" w:hAnsi="Calibri" w:cstheme="minorHAnsi"/>
          <w:sz w:val="22"/>
          <w:szCs w:val="22"/>
        </w:rPr>
      </w:pPr>
      <w:r w:rsidRPr="00F653FB">
        <w:rPr>
          <w:rFonts w:ascii="Calibri" w:hAnsi="Calibri" w:cstheme="minorHAnsi"/>
          <w:b/>
          <w:sz w:val="22"/>
          <w:szCs w:val="22"/>
        </w:rPr>
        <w:t>About the Trade Me Property Rental Price Index</w:t>
      </w:r>
      <w:r w:rsidR="000C058D" w:rsidRPr="00F653FB">
        <w:rPr>
          <w:rFonts w:ascii="Calibri" w:hAnsi="Calibri" w:cstheme="minorHAnsi"/>
          <w:b/>
          <w:sz w:val="22"/>
          <w:szCs w:val="22"/>
        </w:rPr>
        <w:t xml:space="preserve">: </w:t>
      </w:r>
      <w:r w:rsidR="000C058D" w:rsidRPr="00F653FB">
        <w:rPr>
          <w:rFonts w:ascii="Calibri" w:hAnsi="Calibri" w:cstheme="minorHAnsi"/>
          <w:sz w:val="22"/>
          <w:szCs w:val="22"/>
        </w:rPr>
        <w:t xml:space="preserve">This </w:t>
      </w:r>
      <w:r w:rsidRPr="00F653FB">
        <w:rPr>
          <w:rFonts w:ascii="Calibri" w:hAnsi="Calibri" w:cstheme="minorHAnsi"/>
          <w:sz w:val="22"/>
          <w:szCs w:val="22"/>
        </w:rPr>
        <w:t>is the first report to provide a timely and comprehensive monthly insight into the rental market covering price trends by type and size of property across New Zealand.</w:t>
      </w:r>
    </w:p>
    <w:p w:rsidR="000C058D" w:rsidRDefault="00187EA9" w:rsidP="00F653FB">
      <w:pPr>
        <w:ind w:left="1440"/>
        <w:rPr>
          <w:rFonts w:ascii="Calibri" w:hAnsi="Calibri" w:cstheme="minorHAnsi"/>
          <w:sz w:val="22"/>
          <w:szCs w:val="22"/>
        </w:rPr>
      </w:pPr>
      <w:r w:rsidRPr="00187EA9">
        <w:rPr>
          <w:rFonts w:ascii="Calibri" w:hAnsi="Calibri" w:cstheme="minorHAnsi"/>
          <w:sz w:val="22"/>
          <w:szCs w:val="22"/>
        </w:rPr>
        <w:t xml:space="preserve">The index is produced from Trade Me Property data of properties that have been rented in the month by property managers and private landlords. On average over 14,000 properties are rented each month and the report provides </w:t>
      </w:r>
      <w:r w:rsidR="000C058D">
        <w:rPr>
          <w:rFonts w:ascii="Calibri" w:hAnsi="Calibri" w:cstheme="minorHAnsi"/>
          <w:sz w:val="22"/>
          <w:szCs w:val="22"/>
        </w:rPr>
        <w:t xml:space="preserve">a </w:t>
      </w:r>
      <w:r w:rsidRPr="00187EA9">
        <w:rPr>
          <w:rFonts w:ascii="Calibri" w:hAnsi="Calibri" w:cstheme="minorHAnsi"/>
          <w:sz w:val="22"/>
          <w:szCs w:val="22"/>
        </w:rPr>
        <w:t xml:space="preserve">comprehensive insight into this part of the property market for tenants, landlords and investors. </w:t>
      </w:r>
    </w:p>
    <w:p w:rsidR="00F653FB" w:rsidRDefault="00187EA9" w:rsidP="00F653FB">
      <w:pPr>
        <w:ind w:left="1440"/>
        <w:rPr>
          <w:rFonts w:ascii="Calibri" w:hAnsi="Calibri" w:cstheme="minorHAnsi"/>
          <w:sz w:val="22"/>
          <w:szCs w:val="22"/>
        </w:rPr>
      </w:pPr>
      <w:r w:rsidRPr="00187EA9">
        <w:rPr>
          <w:rFonts w:ascii="Calibri" w:hAnsi="Calibri" w:cstheme="minorHAnsi"/>
          <w:sz w:val="22"/>
          <w:szCs w:val="22"/>
        </w:rPr>
        <w:t xml:space="preserve">The index is calculated using </w:t>
      </w:r>
      <w:r w:rsidRPr="00F653FB">
        <w:rPr>
          <w:rFonts w:ascii="Calibri" w:hAnsi="Calibri" w:cstheme="minorHAnsi"/>
          <w:i/>
          <w:sz w:val="22"/>
          <w:szCs w:val="22"/>
        </w:rPr>
        <w:t>the median rent</w:t>
      </w:r>
      <w:r w:rsidRPr="00187EA9">
        <w:rPr>
          <w:rFonts w:ascii="Calibri" w:hAnsi="Calibri" w:cstheme="minorHAnsi"/>
          <w:sz w:val="22"/>
          <w:szCs w:val="22"/>
        </w:rPr>
        <w:t xml:space="preserve"> in the month, this being an accurate statistical assessment of the current rent being charged by landlords and property managers</w:t>
      </w:r>
      <w:r w:rsidR="000C058D">
        <w:rPr>
          <w:rFonts w:ascii="Calibri" w:hAnsi="Calibri" w:cstheme="minorHAnsi"/>
          <w:sz w:val="22"/>
          <w:szCs w:val="22"/>
        </w:rPr>
        <w:t>.</w:t>
      </w:r>
    </w:p>
    <w:p w:rsidR="00F653FB" w:rsidRDefault="00F653FB" w:rsidP="00187EA9">
      <w:pPr>
        <w:ind w:left="720"/>
        <w:rPr>
          <w:rFonts w:ascii="Calibri" w:hAnsi="Calibri" w:cstheme="minorHAnsi"/>
          <w:sz w:val="22"/>
          <w:szCs w:val="22"/>
        </w:rPr>
      </w:pPr>
    </w:p>
    <w:p w:rsidR="00F653FB" w:rsidRDefault="00F653FB" w:rsidP="00F653FB">
      <w:pPr>
        <w:pStyle w:val="Body"/>
        <w:numPr>
          <w:ilvl w:val="0"/>
          <w:numId w:val="7"/>
        </w:numPr>
        <w:jc w:val="both"/>
        <w:rPr>
          <w:rFonts w:ascii="Calibri" w:hAnsi="Calibri"/>
        </w:rPr>
      </w:pPr>
      <w:r w:rsidRPr="00F653FB">
        <w:rPr>
          <w:rFonts w:ascii="Calibri" w:hAnsi="Calibri"/>
          <w:b/>
        </w:rPr>
        <w:t>More info:</w:t>
      </w:r>
      <w:r>
        <w:rPr>
          <w:rFonts w:ascii="Calibri" w:hAnsi="Calibri"/>
        </w:rPr>
        <w:t xml:space="preserve"> </w:t>
      </w:r>
      <w:r w:rsidRPr="00207B32">
        <w:rPr>
          <w:rFonts w:ascii="Calibri" w:hAnsi="Calibri"/>
        </w:rPr>
        <w:t xml:space="preserve">For information about the differences between the Trade Me </w:t>
      </w:r>
      <w:r>
        <w:rPr>
          <w:rFonts w:ascii="Calibri" w:hAnsi="Calibri"/>
        </w:rPr>
        <w:t>P</w:t>
      </w:r>
      <w:r w:rsidRPr="00207B32">
        <w:rPr>
          <w:rFonts w:ascii="Calibri" w:hAnsi="Calibri"/>
        </w:rPr>
        <w:t xml:space="preserve">roperty data and bond data collected by Tenancy Services, please read this post by </w:t>
      </w:r>
      <w:proofErr w:type="spellStart"/>
      <w:r w:rsidRPr="00207B32">
        <w:rPr>
          <w:rFonts w:ascii="Calibri" w:hAnsi="Calibri"/>
        </w:rPr>
        <w:t>Dr</w:t>
      </w:r>
      <w:proofErr w:type="spellEnd"/>
      <w:r w:rsidRPr="00207B32">
        <w:rPr>
          <w:rFonts w:ascii="Calibri" w:hAnsi="Calibri"/>
        </w:rPr>
        <w:t xml:space="preserve"> Lucy </w:t>
      </w:r>
      <w:proofErr w:type="spellStart"/>
      <w:r w:rsidRPr="00207B32">
        <w:rPr>
          <w:rFonts w:ascii="Calibri" w:hAnsi="Calibri"/>
        </w:rPr>
        <w:t>Telfar</w:t>
      </w:r>
      <w:proofErr w:type="spellEnd"/>
      <w:r w:rsidRPr="00207B32">
        <w:rPr>
          <w:rFonts w:ascii="Calibri" w:hAnsi="Calibri"/>
        </w:rPr>
        <w:t xml:space="preserve">-Barnard </w:t>
      </w:r>
      <w:r>
        <w:rPr>
          <w:rFonts w:ascii="Calibri" w:hAnsi="Calibri"/>
        </w:rPr>
        <w:t xml:space="preserve">from </w:t>
      </w:r>
      <w:r w:rsidRPr="00207B32">
        <w:rPr>
          <w:rFonts w:ascii="Calibri" w:hAnsi="Calibri"/>
        </w:rPr>
        <w:t xml:space="preserve">the University of Otago: </w:t>
      </w:r>
      <w:hyperlink r:id="rId12" w:history="1">
        <w:r w:rsidRPr="00546115">
          <w:rPr>
            <w:rStyle w:val="Hyperlink"/>
            <w:rFonts w:ascii="Calibri" w:hAnsi="Calibri"/>
          </w:rPr>
          <w:t>http://onetwothreehome.org.nz/2015/05/11/how-high-is-the-rent/</w:t>
        </w:r>
      </w:hyperlink>
    </w:p>
    <w:p w:rsidR="00F653FB" w:rsidRDefault="00F653FB" w:rsidP="00F653FB">
      <w:pPr>
        <w:pStyle w:val="Body"/>
        <w:ind w:left="1440"/>
        <w:jc w:val="both"/>
        <w:rPr>
          <w:rFonts w:ascii="Calibri" w:hAnsi="Calibri"/>
        </w:rPr>
      </w:pPr>
    </w:p>
    <w:p w:rsidR="00B73E39" w:rsidRPr="00F653FB" w:rsidRDefault="00B73E39" w:rsidP="00F653FB">
      <w:pPr>
        <w:pStyle w:val="Body"/>
        <w:numPr>
          <w:ilvl w:val="0"/>
          <w:numId w:val="7"/>
        </w:numPr>
        <w:jc w:val="both"/>
        <w:rPr>
          <w:rFonts w:ascii="Calibri" w:hAnsi="Calibri"/>
        </w:rPr>
      </w:pPr>
      <w:r w:rsidRPr="00F653FB">
        <w:rPr>
          <w:rFonts w:ascii="Calibri" w:hAnsi="Calibri" w:cstheme="minorHAnsi"/>
          <w:b/>
        </w:rPr>
        <w:t>Regional data:</w:t>
      </w:r>
      <w:r w:rsidRPr="00F653FB">
        <w:rPr>
          <w:rFonts w:ascii="Calibri" w:hAnsi="Calibri" w:cstheme="minorHAnsi"/>
        </w:rPr>
        <w:t xml:space="preserve"> If you are after information for a particular region, please email </w:t>
      </w:r>
      <w:r w:rsidR="00343D04" w:rsidRPr="00F653FB">
        <w:rPr>
          <w:rFonts w:ascii="Calibri" w:hAnsi="Calibri" w:cstheme="minorHAnsi"/>
        </w:rPr>
        <w:t>Jeff Hunkin</w:t>
      </w:r>
      <w:r w:rsidR="000C058D" w:rsidRPr="00F653FB">
        <w:rPr>
          <w:rFonts w:ascii="Calibri" w:hAnsi="Calibri" w:cstheme="minorHAnsi"/>
        </w:rPr>
        <w:t xml:space="preserve"> </w:t>
      </w:r>
      <w:r w:rsidRPr="00F653FB">
        <w:rPr>
          <w:rFonts w:ascii="Calibri" w:hAnsi="Calibri" w:cstheme="minorHAnsi"/>
        </w:rPr>
        <w:t xml:space="preserve">via </w:t>
      </w:r>
      <w:hyperlink r:id="rId13" w:history="1">
        <w:r w:rsidRPr="00F653FB">
          <w:rPr>
            <w:rStyle w:val="Hyperlink"/>
            <w:rFonts w:ascii="Calibri" w:hAnsi="Calibri" w:cstheme="minorHAnsi"/>
          </w:rPr>
          <w:t>mediaenquiries@trademe.co.nz</w:t>
        </w:r>
      </w:hyperlink>
      <w:r w:rsidRPr="00F653FB">
        <w:rPr>
          <w:rFonts w:ascii="Calibri" w:hAnsi="Calibri" w:cstheme="minorHAnsi"/>
        </w:rPr>
        <w:t xml:space="preserve">  and we will see what we can unearth for you. We can also provide the graphs and tables.</w:t>
      </w:r>
    </w:p>
    <w:p w:rsidR="00F653FB" w:rsidRDefault="00F653FB" w:rsidP="00F653FB">
      <w:pPr>
        <w:rPr>
          <w:rFonts w:ascii="Calibri" w:hAnsi="Calibri" w:cstheme="minorHAnsi"/>
          <w:b/>
          <w:sz w:val="22"/>
          <w:szCs w:val="22"/>
        </w:rPr>
      </w:pPr>
    </w:p>
    <w:p w:rsidR="00F653FB" w:rsidRPr="00F653FB" w:rsidRDefault="00F653FB" w:rsidP="00F653FB">
      <w:pPr>
        <w:rPr>
          <w:rFonts w:ascii="Calibri" w:hAnsi="Calibri" w:cstheme="minorHAnsi"/>
          <w:b/>
          <w:sz w:val="22"/>
          <w:szCs w:val="22"/>
        </w:rPr>
      </w:pPr>
      <w:r>
        <w:rPr>
          <w:rFonts w:ascii="Calibri" w:hAnsi="Calibri" w:cstheme="minorHAnsi"/>
          <w:b/>
          <w:sz w:val="22"/>
          <w:szCs w:val="22"/>
        </w:rPr>
        <w:t>CONTACT</w:t>
      </w:r>
    </w:p>
    <w:p w:rsidR="00F653FB" w:rsidRPr="00F653FB" w:rsidRDefault="00F653FB" w:rsidP="00F653FB">
      <w:pPr>
        <w:rPr>
          <w:rFonts w:ascii="Calibri" w:hAnsi="Calibri"/>
        </w:rPr>
      </w:pPr>
    </w:p>
    <w:p w:rsidR="00B73E39" w:rsidRPr="00F653FB" w:rsidRDefault="00B73E39" w:rsidP="00F653FB">
      <w:pPr>
        <w:pStyle w:val="Body"/>
        <w:numPr>
          <w:ilvl w:val="0"/>
          <w:numId w:val="7"/>
        </w:numPr>
        <w:jc w:val="both"/>
        <w:rPr>
          <w:rFonts w:ascii="Calibri" w:hAnsi="Calibri"/>
        </w:rPr>
      </w:pPr>
      <w:r w:rsidRPr="00F653FB">
        <w:rPr>
          <w:rFonts w:ascii="Calibri" w:hAnsi="Calibri" w:cstheme="minorHAnsi"/>
        </w:rPr>
        <w:t xml:space="preserve">Nigel Jeffries is available for interviews. To tee up a time that suits, please email </w:t>
      </w:r>
      <w:r w:rsidR="00343D04" w:rsidRPr="00F653FB">
        <w:rPr>
          <w:rFonts w:ascii="Calibri" w:hAnsi="Calibri" w:cstheme="minorHAnsi"/>
        </w:rPr>
        <w:t xml:space="preserve">Jeff Hunkin </w:t>
      </w:r>
      <w:r w:rsidRPr="00F653FB">
        <w:rPr>
          <w:rFonts w:ascii="Calibri" w:hAnsi="Calibri" w:cstheme="minorHAnsi"/>
        </w:rPr>
        <w:t xml:space="preserve">via </w:t>
      </w:r>
      <w:hyperlink r:id="rId14" w:history="1">
        <w:r w:rsidRPr="00F653FB">
          <w:rPr>
            <w:rStyle w:val="Hyperlink"/>
            <w:rFonts w:ascii="Calibri" w:hAnsi="Calibri" w:cstheme="minorHAnsi"/>
          </w:rPr>
          <w:t>mediaenquiries@trademe.co.nz</w:t>
        </w:r>
      </w:hyperlink>
      <w:r w:rsidRPr="00F653FB">
        <w:rPr>
          <w:rFonts w:ascii="Calibri" w:hAnsi="Calibri" w:cstheme="minorHAnsi"/>
        </w:rPr>
        <w:t xml:space="preserve"> or phone (04) 803 </w:t>
      </w:r>
      <w:r w:rsidR="00A62BD6">
        <w:rPr>
          <w:rFonts w:ascii="Calibri" w:hAnsi="Calibri" w:cstheme="minorHAnsi"/>
        </w:rPr>
        <w:t>2601</w:t>
      </w:r>
      <w:r w:rsidRPr="00F653FB">
        <w:rPr>
          <w:rFonts w:ascii="Calibri" w:hAnsi="Calibri" w:cstheme="minorHAnsi"/>
        </w:rPr>
        <w:t>.</w:t>
      </w:r>
    </w:p>
    <w:p w:rsidR="00B73E39" w:rsidRPr="00B16D16" w:rsidRDefault="00B73E39" w:rsidP="00B16D16">
      <w:pPr>
        <w:rPr>
          <w:rFonts w:ascii="Calibri" w:hAnsi="Calibri"/>
          <w:sz w:val="22"/>
          <w:szCs w:val="22"/>
        </w:rPr>
      </w:pPr>
    </w:p>
    <w:p w:rsidR="003532F0" w:rsidRDefault="003532F0" w:rsidP="00B85339">
      <w:pPr>
        <w:pStyle w:val="Body"/>
        <w:jc w:val="both"/>
        <w:rPr>
          <w:rFonts w:ascii="Calibri" w:hAnsi="Calibri"/>
        </w:rPr>
      </w:pPr>
    </w:p>
    <w:p w:rsidR="00887CCE" w:rsidRDefault="00887CCE" w:rsidP="00B85339">
      <w:pPr>
        <w:pStyle w:val="Body"/>
        <w:jc w:val="both"/>
        <w:rPr>
          <w:rFonts w:ascii="Calibri" w:hAnsi="Calibri"/>
        </w:rPr>
      </w:pPr>
    </w:p>
    <w:sectPr w:rsidR="00887CCE" w:rsidSect="00187EA9">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709"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2B3" w:rsidRDefault="000F32B3">
      <w:r>
        <w:separator/>
      </w:r>
    </w:p>
  </w:endnote>
  <w:endnote w:type="continuationSeparator" w:id="0">
    <w:p w:rsidR="000F32B3" w:rsidRDefault="000F3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Helvetica Light">
    <w:charset w:val="00"/>
    <w:family w:val="auto"/>
    <w:pitch w:val="variable"/>
    <w:sig w:usb0="800000AF" w:usb1="4000204A"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D1D" w:rsidRDefault="00171D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D1D" w:rsidRDefault="00171D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D1D" w:rsidRDefault="00171D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2B3" w:rsidRDefault="000F32B3">
      <w:r>
        <w:separator/>
      </w:r>
    </w:p>
  </w:footnote>
  <w:footnote w:type="continuationSeparator" w:id="0">
    <w:p w:rsidR="000F32B3" w:rsidRDefault="000F32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D1D" w:rsidRDefault="00171D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D1D" w:rsidRDefault="00171D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D1D" w:rsidRDefault="00171D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81536"/>
    <w:multiLevelType w:val="hybridMultilevel"/>
    <w:tmpl w:val="E14CB68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
    <w:nsid w:val="07A57BF4"/>
    <w:multiLevelType w:val="hybridMultilevel"/>
    <w:tmpl w:val="1DD6EAD0"/>
    <w:lvl w:ilvl="0" w:tplc="14090005">
      <w:start w:val="1"/>
      <w:numFmt w:val="bullet"/>
      <w:lvlText w:val=""/>
      <w:lvlJc w:val="left"/>
      <w:pPr>
        <w:ind w:left="1800" w:hanging="360"/>
      </w:pPr>
      <w:rPr>
        <w:rFonts w:ascii="Wingdings" w:hAnsi="Wingdings"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2">
    <w:nsid w:val="0AD07C8A"/>
    <w:multiLevelType w:val="hybridMultilevel"/>
    <w:tmpl w:val="38F21D12"/>
    <w:lvl w:ilvl="0" w:tplc="0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
    <w:nsid w:val="15C25903"/>
    <w:multiLevelType w:val="hybridMultilevel"/>
    <w:tmpl w:val="3CA84C2C"/>
    <w:lvl w:ilvl="0" w:tplc="14090005">
      <w:start w:val="1"/>
      <w:numFmt w:val="bullet"/>
      <w:lvlText w:val=""/>
      <w:lvlJc w:val="left"/>
      <w:pPr>
        <w:ind w:left="108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nsid w:val="29B9695B"/>
    <w:multiLevelType w:val="hybridMultilevel"/>
    <w:tmpl w:val="F8DEE064"/>
    <w:lvl w:ilvl="0" w:tplc="04090005">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2D683170"/>
    <w:multiLevelType w:val="hybridMultilevel"/>
    <w:tmpl w:val="956E12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2FCD0C6D"/>
    <w:multiLevelType w:val="hybridMultilevel"/>
    <w:tmpl w:val="DBDC2908"/>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39814CE7"/>
    <w:multiLevelType w:val="hybridMultilevel"/>
    <w:tmpl w:val="39F4B0E0"/>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8">
    <w:nsid w:val="474C782E"/>
    <w:multiLevelType w:val="hybridMultilevel"/>
    <w:tmpl w:val="99EC5FC6"/>
    <w:lvl w:ilvl="0" w:tplc="04090005">
      <w:start w:val="1"/>
      <w:numFmt w:val="bullet"/>
      <w:lvlText w:val=""/>
      <w:lvlJc w:val="left"/>
      <w:pPr>
        <w:ind w:left="0" w:hanging="360"/>
      </w:pPr>
      <w:rPr>
        <w:rFonts w:ascii="Wingdings" w:hAnsi="Wingdings" w:hint="default"/>
      </w:rPr>
    </w:lvl>
    <w:lvl w:ilvl="1" w:tplc="14090003" w:tentative="1">
      <w:start w:val="1"/>
      <w:numFmt w:val="bullet"/>
      <w:lvlText w:val="o"/>
      <w:lvlJc w:val="left"/>
      <w:pPr>
        <w:ind w:left="720" w:hanging="360"/>
      </w:pPr>
      <w:rPr>
        <w:rFonts w:ascii="Courier New" w:hAnsi="Courier New" w:cs="Courier New" w:hint="default"/>
      </w:rPr>
    </w:lvl>
    <w:lvl w:ilvl="2" w:tplc="14090005" w:tentative="1">
      <w:start w:val="1"/>
      <w:numFmt w:val="bullet"/>
      <w:lvlText w:val=""/>
      <w:lvlJc w:val="left"/>
      <w:pPr>
        <w:ind w:left="1440" w:hanging="360"/>
      </w:pPr>
      <w:rPr>
        <w:rFonts w:ascii="Wingdings" w:hAnsi="Wingdings" w:hint="default"/>
      </w:rPr>
    </w:lvl>
    <w:lvl w:ilvl="3" w:tplc="14090001" w:tentative="1">
      <w:start w:val="1"/>
      <w:numFmt w:val="bullet"/>
      <w:lvlText w:val=""/>
      <w:lvlJc w:val="left"/>
      <w:pPr>
        <w:ind w:left="2160" w:hanging="360"/>
      </w:pPr>
      <w:rPr>
        <w:rFonts w:ascii="Symbol" w:hAnsi="Symbol" w:hint="default"/>
      </w:rPr>
    </w:lvl>
    <w:lvl w:ilvl="4" w:tplc="14090003" w:tentative="1">
      <w:start w:val="1"/>
      <w:numFmt w:val="bullet"/>
      <w:lvlText w:val="o"/>
      <w:lvlJc w:val="left"/>
      <w:pPr>
        <w:ind w:left="2880" w:hanging="360"/>
      </w:pPr>
      <w:rPr>
        <w:rFonts w:ascii="Courier New" w:hAnsi="Courier New" w:cs="Courier New" w:hint="default"/>
      </w:rPr>
    </w:lvl>
    <w:lvl w:ilvl="5" w:tplc="14090005" w:tentative="1">
      <w:start w:val="1"/>
      <w:numFmt w:val="bullet"/>
      <w:lvlText w:val=""/>
      <w:lvlJc w:val="left"/>
      <w:pPr>
        <w:ind w:left="3600" w:hanging="360"/>
      </w:pPr>
      <w:rPr>
        <w:rFonts w:ascii="Wingdings" w:hAnsi="Wingdings" w:hint="default"/>
      </w:rPr>
    </w:lvl>
    <w:lvl w:ilvl="6" w:tplc="14090001" w:tentative="1">
      <w:start w:val="1"/>
      <w:numFmt w:val="bullet"/>
      <w:lvlText w:val=""/>
      <w:lvlJc w:val="left"/>
      <w:pPr>
        <w:ind w:left="4320" w:hanging="360"/>
      </w:pPr>
      <w:rPr>
        <w:rFonts w:ascii="Symbol" w:hAnsi="Symbol" w:hint="default"/>
      </w:rPr>
    </w:lvl>
    <w:lvl w:ilvl="7" w:tplc="14090003" w:tentative="1">
      <w:start w:val="1"/>
      <w:numFmt w:val="bullet"/>
      <w:lvlText w:val="o"/>
      <w:lvlJc w:val="left"/>
      <w:pPr>
        <w:ind w:left="5040" w:hanging="360"/>
      </w:pPr>
      <w:rPr>
        <w:rFonts w:ascii="Courier New" w:hAnsi="Courier New" w:cs="Courier New" w:hint="default"/>
      </w:rPr>
    </w:lvl>
    <w:lvl w:ilvl="8" w:tplc="14090005" w:tentative="1">
      <w:start w:val="1"/>
      <w:numFmt w:val="bullet"/>
      <w:lvlText w:val=""/>
      <w:lvlJc w:val="left"/>
      <w:pPr>
        <w:ind w:left="5760"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8"/>
  </w:num>
  <w:num w:numId="6">
    <w:abstractNumId w:val="6"/>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2F0"/>
    <w:rsid w:val="000053A5"/>
    <w:rsid w:val="00013705"/>
    <w:rsid w:val="00013E09"/>
    <w:rsid w:val="000230E8"/>
    <w:rsid w:val="00032C44"/>
    <w:rsid w:val="0003405C"/>
    <w:rsid w:val="0005292E"/>
    <w:rsid w:val="00054770"/>
    <w:rsid w:val="00073AD7"/>
    <w:rsid w:val="000855B3"/>
    <w:rsid w:val="0009093E"/>
    <w:rsid w:val="000A1392"/>
    <w:rsid w:val="000C058D"/>
    <w:rsid w:val="000E6C3B"/>
    <w:rsid w:val="000F2A1D"/>
    <w:rsid w:val="000F32B3"/>
    <w:rsid w:val="001140A8"/>
    <w:rsid w:val="0014398D"/>
    <w:rsid w:val="00152A97"/>
    <w:rsid w:val="00171D1D"/>
    <w:rsid w:val="00177BE6"/>
    <w:rsid w:val="00187EA9"/>
    <w:rsid w:val="001B095B"/>
    <w:rsid w:val="001B316A"/>
    <w:rsid w:val="001D49DB"/>
    <w:rsid w:val="001D594D"/>
    <w:rsid w:val="001D7BBF"/>
    <w:rsid w:val="001E08F6"/>
    <w:rsid w:val="00207B32"/>
    <w:rsid w:val="002214A8"/>
    <w:rsid w:val="00226C44"/>
    <w:rsid w:val="002358C2"/>
    <w:rsid w:val="00240539"/>
    <w:rsid w:val="00246FC2"/>
    <w:rsid w:val="00262955"/>
    <w:rsid w:val="00264E3B"/>
    <w:rsid w:val="0027185A"/>
    <w:rsid w:val="002A462D"/>
    <w:rsid w:val="002C50EA"/>
    <w:rsid w:val="002C514F"/>
    <w:rsid w:val="002C79E9"/>
    <w:rsid w:val="002D5ADF"/>
    <w:rsid w:val="002E71B5"/>
    <w:rsid w:val="002F20AE"/>
    <w:rsid w:val="00322073"/>
    <w:rsid w:val="00332096"/>
    <w:rsid w:val="00337FC0"/>
    <w:rsid w:val="003420D1"/>
    <w:rsid w:val="0034386D"/>
    <w:rsid w:val="00343D04"/>
    <w:rsid w:val="003532F0"/>
    <w:rsid w:val="00357A55"/>
    <w:rsid w:val="0037740C"/>
    <w:rsid w:val="003962D7"/>
    <w:rsid w:val="003B4CEB"/>
    <w:rsid w:val="003B67F4"/>
    <w:rsid w:val="003C7145"/>
    <w:rsid w:val="003E3E6F"/>
    <w:rsid w:val="00404066"/>
    <w:rsid w:val="00432CFA"/>
    <w:rsid w:val="00456B18"/>
    <w:rsid w:val="00475952"/>
    <w:rsid w:val="004958F3"/>
    <w:rsid w:val="004B5312"/>
    <w:rsid w:val="004C2919"/>
    <w:rsid w:val="004C4BE7"/>
    <w:rsid w:val="004D3F3D"/>
    <w:rsid w:val="004D6092"/>
    <w:rsid w:val="004E72E0"/>
    <w:rsid w:val="00524636"/>
    <w:rsid w:val="00543759"/>
    <w:rsid w:val="00571DBD"/>
    <w:rsid w:val="00580B84"/>
    <w:rsid w:val="00585FEA"/>
    <w:rsid w:val="00592B4A"/>
    <w:rsid w:val="00593DF8"/>
    <w:rsid w:val="005A3C80"/>
    <w:rsid w:val="005B69BA"/>
    <w:rsid w:val="005E3B16"/>
    <w:rsid w:val="005F26B3"/>
    <w:rsid w:val="006362B6"/>
    <w:rsid w:val="00637380"/>
    <w:rsid w:val="0065193A"/>
    <w:rsid w:val="00655D6B"/>
    <w:rsid w:val="00672F35"/>
    <w:rsid w:val="006C5B55"/>
    <w:rsid w:val="006C62CD"/>
    <w:rsid w:val="006E34B8"/>
    <w:rsid w:val="0070709D"/>
    <w:rsid w:val="00713E38"/>
    <w:rsid w:val="0071496A"/>
    <w:rsid w:val="00735316"/>
    <w:rsid w:val="007366FD"/>
    <w:rsid w:val="00770C4F"/>
    <w:rsid w:val="00775321"/>
    <w:rsid w:val="00776003"/>
    <w:rsid w:val="0078502E"/>
    <w:rsid w:val="007A2BF9"/>
    <w:rsid w:val="007A63B0"/>
    <w:rsid w:val="007F4BB7"/>
    <w:rsid w:val="007F78E1"/>
    <w:rsid w:val="007F7F4A"/>
    <w:rsid w:val="00812A5A"/>
    <w:rsid w:val="00813935"/>
    <w:rsid w:val="00815F69"/>
    <w:rsid w:val="00825F07"/>
    <w:rsid w:val="00844C38"/>
    <w:rsid w:val="00866D20"/>
    <w:rsid w:val="00887CCE"/>
    <w:rsid w:val="008A32B2"/>
    <w:rsid w:val="008B1AFA"/>
    <w:rsid w:val="008C1E36"/>
    <w:rsid w:val="008D397D"/>
    <w:rsid w:val="008D7967"/>
    <w:rsid w:val="008F0618"/>
    <w:rsid w:val="00911F83"/>
    <w:rsid w:val="009222BF"/>
    <w:rsid w:val="00962E26"/>
    <w:rsid w:val="00996DE2"/>
    <w:rsid w:val="009D6930"/>
    <w:rsid w:val="009F2B8C"/>
    <w:rsid w:val="00A06E58"/>
    <w:rsid w:val="00A149BB"/>
    <w:rsid w:val="00A25711"/>
    <w:rsid w:val="00A515C4"/>
    <w:rsid w:val="00A62BD6"/>
    <w:rsid w:val="00A660AD"/>
    <w:rsid w:val="00A8186C"/>
    <w:rsid w:val="00A93571"/>
    <w:rsid w:val="00A94236"/>
    <w:rsid w:val="00A976D3"/>
    <w:rsid w:val="00AA2701"/>
    <w:rsid w:val="00AB6803"/>
    <w:rsid w:val="00AE19E5"/>
    <w:rsid w:val="00AE4F64"/>
    <w:rsid w:val="00B16D16"/>
    <w:rsid w:val="00B247CB"/>
    <w:rsid w:val="00B2792D"/>
    <w:rsid w:val="00B30825"/>
    <w:rsid w:val="00B34B2D"/>
    <w:rsid w:val="00B53928"/>
    <w:rsid w:val="00B73E39"/>
    <w:rsid w:val="00B758A8"/>
    <w:rsid w:val="00B85339"/>
    <w:rsid w:val="00BA0A96"/>
    <w:rsid w:val="00BD1A9B"/>
    <w:rsid w:val="00C01D4C"/>
    <w:rsid w:val="00C13B2B"/>
    <w:rsid w:val="00C13B6C"/>
    <w:rsid w:val="00C4286D"/>
    <w:rsid w:val="00C7593B"/>
    <w:rsid w:val="00C81A0B"/>
    <w:rsid w:val="00C920C7"/>
    <w:rsid w:val="00C95FAE"/>
    <w:rsid w:val="00CA2B50"/>
    <w:rsid w:val="00CA73B1"/>
    <w:rsid w:val="00CD4EC6"/>
    <w:rsid w:val="00CD7D53"/>
    <w:rsid w:val="00CE2C49"/>
    <w:rsid w:val="00D01733"/>
    <w:rsid w:val="00D04AAA"/>
    <w:rsid w:val="00D13F13"/>
    <w:rsid w:val="00D224E4"/>
    <w:rsid w:val="00D47278"/>
    <w:rsid w:val="00D55083"/>
    <w:rsid w:val="00D61F08"/>
    <w:rsid w:val="00D706A8"/>
    <w:rsid w:val="00D816BB"/>
    <w:rsid w:val="00D96D77"/>
    <w:rsid w:val="00DA6AB5"/>
    <w:rsid w:val="00DB0A00"/>
    <w:rsid w:val="00DB65E9"/>
    <w:rsid w:val="00DB7A83"/>
    <w:rsid w:val="00DC5346"/>
    <w:rsid w:val="00DD07FD"/>
    <w:rsid w:val="00E06C35"/>
    <w:rsid w:val="00E14F38"/>
    <w:rsid w:val="00E30D65"/>
    <w:rsid w:val="00E64D0C"/>
    <w:rsid w:val="00E96019"/>
    <w:rsid w:val="00EA5C65"/>
    <w:rsid w:val="00EB37B5"/>
    <w:rsid w:val="00EC4346"/>
    <w:rsid w:val="00EE4D8E"/>
    <w:rsid w:val="00F02DDD"/>
    <w:rsid w:val="00F057C8"/>
    <w:rsid w:val="00F13AF0"/>
    <w:rsid w:val="00F271AD"/>
    <w:rsid w:val="00F2768F"/>
    <w:rsid w:val="00F37A4E"/>
    <w:rsid w:val="00F40D63"/>
    <w:rsid w:val="00F4255F"/>
    <w:rsid w:val="00F45B10"/>
    <w:rsid w:val="00F51118"/>
    <w:rsid w:val="00F653FB"/>
    <w:rsid w:val="00F817B6"/>
    <w:rsid w:val="00F87670"/>
    <w:rsid w:val="00F94750"/>
    <w:rsid w:val="00FA275C"/>
    <w:rsid w:val="00FA2C2B"/>
    <w:rsid w:val="00FD0B21"/>
    <w:rsid w:val="00FD5AA6"/>
    <w:rsid w:val="00FE24A9"/>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sz w:val="24"/>
        <w:szCs w:val="24"/>
        <w:bdr w:val="nil"/>
        <w:lang w:val="en-NZ"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lang w:val="en-US"/>
    </w:rPr>
  </w:style>
  <w:style w:type="paragraph" w:customStyle="1" w:styleId="LabelDark">
    <w:name w:val="Label Dark"/>
    <w:pPr>
      <w:jc w:val="center"/>
    </w:pPr>
    <w:rPr>
      <w:rFonts w:ascii="Helvetica Light" w:hAnsi="Arial Unicode MS" w:cs="Arial Unicode MS"/>
      <w:color w:val="000000"/>
      <w:lang w:val="en-US"/>
    </w:rPr>
  </w:style>
  <w:style w:type="character" w:styleId="CommentReference">
    <w:name w:val="annotation reference"/>
    <w:basedOn w:val="DefaultParagraphFont"/>
    <w:uiPriority w:val="99"/>
    <w:semiHidden/>
    <w:unhideWhenUsed/>
    <w:rsid w:val="00A8186C"/>
    <w:rPr>
      <w:sz w:val="16"/>
      <w:szCs w:val="16"/>
    </w:rPr>
  </w:style>
  <w:style w:type="paragraph" w:styleId="CommentText">
    <w:name w:val="annotation text"/>
    <w:basedOn w:val="Normal"/>
    <w:link w:val="CommentTextChar"/>
    <w:uiPriority w:val="99"/>
    <w:semiHidden/>
    <w:unhideWhenUsed/>
    <w:rsid w:val="00A8186C"/>
    <w:rPr>
      <w:sz w:val="20"/>
      <w:szCs w:val="20"/>
    </w:rPr>
  </w:style>
  <w:style w:type="character" w:customStyle="1" w:styleId="CommentTextChar">
    <w:name w:val="Comment Text Char"/>
    <w:basedOn w:val="DefaultParagraphFont"/>
    <w:link w:val="CommentText"/>
    <w:uiPriority w:val="99"/>
    <w:semiHidden/>
    <w:rsid w:val="00A8186C"/>
    <w:rPr>
      <w:lang w:val="en-US"/>
    </w:rPr>
  </w:style>
  <w:style w:type="paragraph" w:styleId="CommentSubject">
    <w:name w:val="annotation subject"/>
    <w:basedOn w:val="CommentText"/>
    <w:next w:val="CommentText"/>
    <w:link w:val="CommentSubjectChar"/>
    <w:uiPriority w:val="99"/>
    <w:semiHidden/>
    <w:unhideWhenUsed/>
    <w:rsid w:val="00A8186C"/>
    <w:rPr>
      <w:b/>
      <w:bCs/>
    </w:rPr>
  </w:style>
  <w:style w:type="character" w:customStyle="1" w:styleId="CommentSubjectChar">
    <w:name w:val="Comment Subject Char"/>
    <w:basedOn w:val="CommentTextChar"/>
    <w:link w:val="CommentSubject"/>
    <w:uiPriority w:val="99"/>
    <w:semiHidden/>
    <w:rsid w:val="00A8186C"/>
    <w:rPr>
      <w:b/>
      <w:bCs/>
      <w:lang w:val="en-US"/>
    </w:rPr>
  </w:style>
  <w:style w:type="paragraph" w:styleId="BalloonText">
    <w:name w:val="Balloon Text"/>
    <w:basedOn w:val="Normal"/>
    <w:link w:val="BalloonTextChar"/>
    <w:uiPriority w:val="99"/>
    <w:semiHidden/>
    <w:unhideWhenUsed/>
    <w:rsid w:val="00A818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86C"/>
    <w:rPr>
      <w:rFonts w:ascii="Segoe UI" w:hAnsi="Segoe UI" w:cs="Segoe UI"/>
      <w:sz w:val="18"/>
      <w:szCs w:val="18"/>
      <w:lang w:val="en-US"/>
    </w:rPr>
  </w:style>
  <w:style w:type="paragraph" w:styleId="ListParagraph">
    <w:name w:val="List Paragraph"/>
    <w:basedOn w:val="Normal"/>
    <w:uiPriority w:val="34"/>
    <w:qFormat/>
    <w:rsid w:val="00B85339"/>
    <w:pPr>
      <w:ind w:left="720"/>
      <w:contextualSpacing/>
    </w:pPr>
  </w:style>
  <w:style w:type="table" w:styleId="LightShading-Accent1">
    <w:name w:val="Light Shading Accent 1"/>
    <w:basedOn w:val="TableNormal"/>
    <w:uiPriority w:val="60"/>
    <w:rsid w:val="00F40D63"/>
    <w:rPr>
      <w:color w:val="2F759E" w:themeColor="accent1" w:themeShade="BF"/>
      <w:lang w:eastAsia="en-NZ"/>
    </w:rPr>
    <w:tblPr>
      <w:tblStyleRowBandSize w:val="1"/>
      <w:tblStyleColBandSize w:val="1"/>
      <w:tblBorders>
        <w:top w:val="single" w:sz="4" w:space="0" w:color="8F8F8F" w:themeColor="background2" w:themeShade="BF"/>
        <w:bottom w:val="single" w:sz="4" w:space="0" w:color="8F8F8F" w:themeColor="background2" w:themeShade="BF"/>
      </w:tblBorders>
    </w:tblPr>
    <w:tblStylePr w:type="firstRow">
      <w:pPr>
        <w:spacing w:before="0" w:after="0" w:line="240" w:lineRule="auto"/>
      </w:pPr>
      <w:rPr>
        <w:b/>
        <w:bCs/>
      </w:rPr>
      <w:tblPr/>
      <w:tcPr>
        <w:tcBorders>
          <w:top w:val="single" w:sz="8" w:space="0" w:color="499BC9" w:themeColor="accent1"/>
          <w:left w:val="nil"/>
          <w:bottom w:val="single" w:sz="8" w:space="0" w:color="499BC9" w:themeColor="accent1"/>
          <w:right w:val="nil"/>
          <w:insideH w:val="nil"/>
          <w:insideV w:val="nil"/>
        </w:tcBorders>
      </w:tcPr>
    </w:tblStylePr>
    <w:tblStylePr w:type="lastRow">
      <w:pPr>
        <w:spacing w:before="0" w:after="0" w:line="240" w:lineRule="auto"/>
      </w:pPr>
      <w:rPr>
        <w:b/>
        <w:bCs/>
      </w:rPr>
      <w:tblPr/>
      <w:tcPr>
        <w:tcBorders>
          <w:top w:val="single" w:sz="8" w:space="0" w:color="499BC9" w:themeColor="accent1"/>
          <w:left w:val="nil"/>
          <w:bottom w:val="single" w:sz="8" w:space="0" w:color="499B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6F1" w:themeFill="accent1" w:themeFillTint="3F"/>
      </w:tcPr>
    </w:tblStylePr>
    <w:tblStylePr w:type="band1Horz">
      <w:tblPr/>
      <w:tcPr>
        <w:shd w:val="clear" w:color="auto" w:fill="ADDB7B"/>
      </w:tcPr>
    </w:tblStylePr>
  </w:style>
  <w:style w:type="paragraph" w:styleId="Revision">
    <w:name w:val="Revision"/>
    <w:hidden/>
    <w:uiPriority w:val="99"/>
    <w:semiHidden/>
    <w:rsid w:val="005A3C80"/>
    <w:pPr>
      <w:pBdr>
        <w:top w:val="none" w:sz="0" w:space="0" w:color="auto"/>
        <w:left w:val="none" w:sz="0" w:space="0" w:color="auto"/>
        <w:bottom w:val="none" w:sz="0" w:space="0" w:color="auto"/>
        <w:right w:val="none" w:sz="0" w:space="0" w:color="auto"/>
        <w:between w:val="none" w:sz="0" w:space="0" w:color="auto"/>
        <w:bar w:val="none" w:sz="0" w:color="auto"/>
      </w:pBdr>
    </w:pPr>
    <w:rPr>
      <w:lang w:val="en-US"/>
    </w:rPr>
  </w:style>
  <w:style w:type="table" w:customStyle="1" w:styleId="LightShading-Accent11">
    <w:name w:val="Light Shading - Accent 11"/>
    <w:basedOn w:val="TableNormal"/>
    <w:next w:val="LightShading-Accent1"/>
    <w:uiPriority w:val="60"/>
    <w:rsid w:val="00844C38"/>
    <w:rPr>
      <w:color w:val="2F759E" w:themeColor="accent1" w:themeShade="BF"/>
      <w:lang w:eastAsia="en-NZ"/>
    </w:rPr>
    <w:tblPr>
      <w:tblStyleRowBandSize w:val="1"/>
      <w:tblStyleColBandSize w:val="1"/>
      <w:tblBorders>
        <w:top w:val="single" w:sz="8" w:space="0" w:color="499BC9" w:themeColor="accent1"/>
        <w:bottom w:val="single" w:sz="8" w:space="0" w:color="499BC9" w:themeColor="accent1"/>
      </w:tblBorders>
    </w:tblPr>
    <w:tblStylePr w:type="firstRow">
      <w:pPr>
        <w:spacing w:before="0" w:after="0" w:line="240" w:lineRule="auto"/>
      </w:pPr>
      <w:rPr>
        <w:b/>
        <w:bCs/>
      </w:rPr>
      <w:tblPr/>
      <w:tcPr>
        <w:tcBorders>
          <w:top w:val="single" w:sz="8" w:space="0" w:color="499BC9" w:themeColor="accent1"/>
          <w:left w:val="nil"/>
          <w:bottom w:val="single" w:sz="8" w:space="0" w:color="499BC9" w:themeColor="accent1"/>
          <w:right w:val="nil"/>
          <w:insideH w:val="nil"/>
          <w:insideV w:val="nil"/>
        </w:tcBorders>
      </w:tcPr>
    </w:tblStylePr>
    <w:tblStylePr w:type="lastRow">
      <w:pPr>
        <w:spacing w:before="0" w:after="0" w:line="240" w:lineRule="auto"/>
      </w:pPr>
      <w:rPr>
        <w:b/>
        <w:bCs/>
      </w:rPr>
      <w:tblPr/>
      <w:tcPr>
        <w:tcBorders>
          <w:top w:val="single" w:sz="8" w:space="0" w:color="499BC9" w:themeColor="accent1"/>
          <w:left w:val="nil"/>
          <w:bottom w:val="single" w:sz="8" w:space="0" w:color="499B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6F1" w:themeFill="accent1" w:themeFillTint="3F"/>
      </w:tcPr>
    </w:tblStylePr>
    <w:tblStylePr w:type="band1Horz">
      <w:tblPr/>
      <w:tcPr>
        <w:tcBorders>
          <w:left w:val="nil"/>
          <w:right w:val="nil"/>
          <w:insideH w:val="nil"/>
          <w:insideV w:val="nil"/>
        </w:tcBorders>
        <w:shd w:val="clear" w:color="auto" w:fill="D2E6F1" w:themeFill="accent1" w:themeFillTint="3F"/>
      </w:tcPr>
    </w:tblStylePr>
  </w:style>
  <w:style w:type="table" w:customStyle="1" w:styleId="LightShading-Accent12">
    <w:name w:val="Light Shading - Accent 12"/>
    <w:basedOn w:val="TableNormal"/>
    <w:next w:val="LightShading-Accent1"/>
    <w:uiPriority w:val="60"/>
    <w:rsid w:val="00844C38"/>
    <w:rPr>
      <w:color w:val="2F759E" w:themeColor="accent1" w:themeShade="BF"/>
      <w:lang w:eastAsia="en-NZ"/>
    </w:rPr>
    <w:tblPr>
      <w:tblStyleRowBandSize w:val="1"/>
      <w:tblStyleColBandSize w:val="1"/>
      <w:tblBorders>
        <w:top w:val="single" w:sz="8" w:space="0" w:color="499BC9" w:themeColor="accent1"/>
        <w:bottom w:val="single" w:sz="8" w:space="0" w:color="499BC9" w:themeColor="accent1"/>
      </w:tblBorders>
    </w:tblPr>
    <w:tblStylePr w:type="firstRow">
      <w:pPr>
        <w:spacing w:before="0" w:after="0" w:line="240" w:lineRule="auto"/>
      </w:pPr>
      <w:rPr>
        <w:b/>
        <w:bCs/>
      </w:rPr>
      <w:tblPr/>
      <w:tcPr>
        <w:tcBorders>
          <w:top w:val="single" w:sz="8" w:space="0" w:color="499BC9" w:themeColor="accent1"/>
          <w:left w:val="nil"/>
          <w:bottom w:val="single" w:sz="8" w:space="0" w:color="499BC9" w:themeColor="accent1"/>
          <w:right w:val="nil"/>
          <w:insideH w:val="nil"/>
          <w:insideV w:val="nil"/>
        </w:tcBorders>
      </w:tcPr>
    </w:tblStylePr>
    <w:tblStylePr w:type="lastRow">
      <w:pPr>
        <w:spacing w:before="0" w:after="0" w:line="240" w:lineRule="auto"/>
      </w:pPr>
      <w:rPr>
        <w:b/>
        <w:bCs/>
      </w:rPr>
      <w:tblPr/>
      <w:tcPr>
        <w:tcBorders>
          <w:top w:val="single" w:sz="8" w:space="0" w:color="499BC9" w:themeColor="accent1"/>
          <w:left w:val="nil"/>
          <w:bottom w:val="single" w:sz="8" w:space="0" w:color="499B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6F1" w:themeFill="accent1" w:themeFillTint="3F"/>
      </w:tcPr>
    </w:tblStylePr>
    <w:tblStylePr w:type="band1Horz">
      <w:tblPr/>
      <w:tcPr>
        <w:tcBorders>
          <w:left w:val="nil"/>
          <w:right w:val="nil"/>
          <w:insideH w:val="nil"/>
          <w:insideV w:val="nil"/>
        </w:tcBorders>
        <w:shd w:val="clear" w:color="auto" w:fill="D2E6F1" w:themeFill="accent1" w:themeFillTint="3F"/>
      </w:tcPr>
    </w:tblStylePr>
  </w:style>
  <w:style w:type="table" w:customStyle="1" w:styleId="LightShading-Accent13">
    <w:name w:val="Light Shading - Accent 13"/>
    <w:basedOn w:val="TableNormal"/>
    <w:next w:val="LightShading-Accent1"/>
    <w:uiPriority w:val="60"/>
    <w:rsid w:val="008A32B2"/>
    <w:rPr>
      <w:color w:val="2F759E" w:themeColor="accent1" w:themeShade="BF"/>
      <w:lang w:eastAsia="en-NZ"/>
    </w:rPr>
    <w:tblPr>
      <w:tblStyleRowBandSize w:val="1"/>
      <w:tblStyleColBandSize w:val="1"/>
      <w:tblBorders>
        <w:top w:val="single" w:sz="8" w:space="0" w:color="499BC9" w:themeColor="accent1"/>
        <w:bottom w:val="single" w:sz="8" w:space="0" w:color="499BC9" w:themeColor="accent1"/>
      </w:tblBorders>
    </w:tblPr>
    <w:tblStylePr w:type="firstRow">
      <w:pPr>
        <w:spacing w:before="0" w:after="0" w:line="240" w:lineRule="auto"/>
      </w:pPr>
      <w:rPr>
        <w:b/>
        <w:bCs/>
      </w:rPr>
      <w:tblPr/>
      <w:tcPr>
        <w:tcBorders>
          <w:top w:val="single" w:sz="8" w:space="0" w:color="499BC9" w:themeColor="accent1"/>
          <w:left w:val="nil"/>
          <w:bottom w:val="single" w:sz="8" w:space="0" w:color="499BC9" w:themeColor="accent1"/>
          <w:right w:val="nil"/>
          <w:insideH w:val="nil"/>
          <w:insideV w:val="nil"/>
        </w:tcBorders>
      </w:tcPr>
    </w:tblStylePr>
    <w:tblStylePr w:type="lastRow">
      <w:pPr>
        <w:spacing w:before="0" w:after="0" w:line="240" w:lineRule="auto"/>
      </w:pPr>
      <w:rPr>
        <w:b/>
        <w:bCs/>
      </w:rPr>
      <w:tblPr/>
      <w:tcPr>
        <w:tcBorders>
          <w:top w:val="single" w:sz="8" w:space="0" w:color="499BC9" w:themeColor="accent1"/>
          <w:left w:val="nil"/>
          <w:bottom w:val="single" w:sz="8" w:space="0" w:color="499B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6F1" w:themeFill="accent1" w:themeFillTint="3F"/>
      </w:tcPr>
    </w:tblStylePr>
    <w:tblStylePr w:type="band1Horz">
      <w:tblPr/>
      <w:tcPr>
        <w:tcBorders>
          <w:left w:val="nil"/>
          <w:right w:val="nil"/>
          <w:insideH w:val="nil"/>
          <w:insideV w:val="nil"/>
        </w:tcBorders>
        <w:shd w:val="clear" w:color="auto" w:fill="D2E6F1" w:themeFill="accent1" w:themeFillTint="3F"/>
      </w:tcPr>
    </w:tblStylePr>
  </w:style>
  <w:style w:type="paragraph" w:styleId="Header">
    <w:name w:val="header"/>
    <w:basedOn w:val="Normal"/>
    <w:link w:val="HeaderChar"/>
    <w:uiPriority w:val="99"/>
    <w:unhideWhenUsed/>
    <w:rsid w:val="00171D1D"/>
    <w:pPr>
      <w:tabs>
        <w:tab w:val="center" w:pos="4513"/>
        <w:tab w:val="right" w:pos="9026"/>
      </w:tabs>
    </w:pPr>
  </w:style>
  <w:style w:type="character" w:customStyle="1" w:styleId="HeaderChar">
    <w:name w:val="Header Char"/>
    <w:basedOn w:val="DefaultParagraphFont"/>
    <w:link w:val="Header"/>
    <w:uiPriority w:val="99"/>
    <w:rsid w:val="00171D1D"/>
    <w:rPr>
      <w:lang w:val="en-US"/>
    </w:rPr>
  </w:style>
  <w:style w:type="paragraph" w:styleId="Footer">
    <w:name w:val="footer"/>
    <w:basedOn w:val="Normal"/>
    <w:link w:val="FooterChar"/>
    <w:uiPriority w:val="99"/>
    <w:unhideWhenUsed/>
    <w:rsid w:val="00171D1D"/>
    <w:pPr>
      <w:tabs>
        <w:tab w:val="center" w:pos="4513"/>
        <w:tab w:val="right" w:pos="9026"/>
      </w:tabs>
    </w:pPr>
  </w:style>
  <w:style w:type="character" w:customStyle="1" w:styleId="FooterChar">
    <w:name w:val="Footer Char"/>
    <w:basedOn w:val="DefaultParagraphFont"/>
    <w:link w:val="Footer"/>
    <w:uiPriority w:val="99"/>
    <w:rsid w:val="00171D1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ediaenquiries@trademe.co.nz"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onetwothreehome.org.nz/2015/05/11/how-high-is-the-ren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gi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mailto:mediaenquiries@trademe.co.nz" TargetMode="External"/><Relationship Id="rId22"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5C7A3-55FB-4D2F-9B87-6CCF77F48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2015-05-19T04:38:00Z</dcterms:created>
  <dcterms:modified xsi:type="dcterms:W3CDTF">2015-05-19T20:58:00Z</dcterms:modified>
</cp:coreProperties>
</file>