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97D" w:rsidRPr="00571DBD" w:rsidRDefault="008D397D" w:rsidP="00292FC9">
      <w:pPr>
        <w:jc w:val="both"/>
        <w:rPr>
          <w:rFonts w:ascii="Calibri" w:hAnsi="Calibri" w:cstheme="minorHAnsi"/>
          <w:b/>
          <w:bCs/>
          <w:sz w:val="22"/>
          <w:szCs w:val="22"/>
        </w:rPr>
      </w:pPr>
      <w:bookmarkStart w:id="0" w:name="_GoBack"/>
      <w:bookmarkEnd w:id="0"/>
      <w:r w:rsidRPr="00B53928">
        <w:rPr>
          <w:rFonts w:ascii="Calibri" w:hAnsi="Calibri" w:cstheme="minorHAnsi"/>
          <w:b/>
          <w:bCs/>
          <w:noProof/>
          <w:sz w:val="22"/>
          <w:szCs w:val="22"/>
          <w:highlight w:val="yellow"/>
          <w:lang w:val="en-NZ" w:eastAsia="en-NZ"/>
        </w:rPr>
        <w:drawing>
          <wp:anchor distT="0" distB="0" distL="114300" distR="114300" simplePos="0" relativeHeight="251666432" behindDoc="1" locked="0" layoutInCell="1" allowOverlap="1" wp14:anchorId="3BFB48F2" wp14:editId="322A441B">
            <wp:simplePos x="0" y="0"/>
            <wp:positionH relativeFrom="column">
              <wp:posOffset>3608070</wp:posOffset>
            </wp:positionH>
            <wp:positionV relativeFrom="paragraph">
              <wp:posOffset>-120650</wp:posOffset>
            </wp:positionV>
            <wp:extent cx="2609850" cy="517525"/>
            <wp:effectExtent l="0" t="0" r="0" b="0"/>
            <wp:wrapNone/>
            <wp:docPr id="2" name="Picture 2" descr="property 2010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perty 2010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9850" cy="517525"/>
                    </a:xfrm>
                    <a:prstGeom prst="rect">
                      <a:avLst/>
                    </a:prstGeom>
                    <a:noFill/>
                  </pic:spPr>
                </pic:pic>
              </a:graphicData>
            </a:graphic>
            <wp14:sizeRelH relativeFrom="page">
              <wp14:pctWidth>0</wp14:pctWidth>
            </wp14:sizeRelH>
            <wp14:sizeRelV relativeFrom="page">
              <wp14:pctHeight>0</wp14:pctHeight>
            </wp14:sizeRelV>
          </wp:anchor>
        </w:drawing>
      </w:r>
      <w:r w:rsidRPr="00571DBD">
        <w:rPr>
          <w:rFonts w:ascii="Calibri" w:hAnsi="Calibri" w:cstheme="minorHAnsi"/>
          <w:b/>
          <w:bCs/>
          <w:sz w:val="22"/>
          <w:szCs w:val="22"/>
        </w:rPr>
        <w:t xml:space="preserve">Media Release </w:t>
      </w:r>
    </w:p>
    <w:p w:rsidR="008D397D" w:rsidRPr="00FE24A9" w:rsidRDefault="00700889" w:rsidP="00292FC9">
      <w:pPr>
        <w:jc w:val="both"/>
        <w:rPr>
          <w:rFonts w:ascii="Calibri" w:hAnsi="Calibri" w:cstheme="minorHAnsi"/>
          <w:b/>
          <w:bCs/>
          <w:sz w:val="22"/>
          <w:szCs w:val="22"/>
        </w:rPr>
      </w:pPr>
      <w:r w:rsidRPr="00525280">
        <w:rPr>
          <w:rFonts w:ascii="Calibri" w:hAnsi="Calibri" w:cstheme="minorHAnsi"/>
          <w:b/>
          <w:bCs/>
          <w:sz w:val="22"/>
          <w:szCs w:val="22"/>
        </w:rPr>
        <w:t>22</w:t>
      </w:r>
      <w:r w:rsidR="00AE19E5">
        <w:rPr>
          <w:rFonts w:ascii="Calibri" w:hAnsi="Calibri" w:cstheme="minorHAnsi"/>
          <w:b/>
          <w:bCs/>
          <w:sz w:val="22"/>
          <w:szCs w:val="22"/>
        </w:rPr>
        <w:t xml:space="preserve"> </w:t>
      </w:r>
      <w:r>
        <w:rPr>
          <w:rFonts w:ascii="Calibri" w:hAnsi="Calibri" w:cstheme="minorHAnsi"/>
          <w:b/>
          <w:bCs/>
          <w:sz w:val="22"/>
          <w:szCs w:val="22"/>
        </w:rPr>
        <w:t>April</w:t>
      </w:r>
      <w:r w:rsidR="00B16D16">
        <w:rPr>
          <w:rFonts w:ascii="Calibri" w:hAnsi="Calibri" w:cstheme="minorHAnsi"/>
          <w:b/>
          <w:bCs/>
          <w:sz w:val="22"/>
          <w:szCs w:val="22"/>
        </w:rPr>
        <w:t xml:space="preserve"> 20</w:t>
      </w:r>
      <w:r w:rsidR="00F40D63">
        <w:rPr>
          <w:rFonts w:ascii="Calibri" w:hAnsi="Calibri" w:cstheme="minorHAnsi"/>
          <w:b/>
          <w:bCs/>
          <w:sz w:val="22"/>
          <w:szCs w:val="22"/>
        </w:rPr>
        <w:t>1</w:t>
      </w:r>
      <w:r w:rsidR="00B16D16">
        <w:rPr>
          <w:rFonts w:ascii="Calibri" w:hAnsi="Calibri" w:cstheme="minorHAnsi"/>
          <w:b/>
          <w:bCs/>
          <w:sz w:val="22"/>
          <w:szCs w:val="22"/>
        </w:rPr>
        <w:t>5</w:t>
      </w:r>
    </w:p>
    <w:p w:rsidR="008D397D" w:rsidRPr="00B85339" w:rsidRDefault="008D397D" w:rsidP="00292FC9">
      <w:pPr>
        <w:pStyle w:val="Body"/>
        <w:jc w:val="both"/>
        <w:rPr>
          <w:rFonts w:ascii="Calibri" w:hAnsi="Calibri"/>
        </w:rPr>
      </w:pPr>
    </w:p>
    <w:p w:rsidR="00543759" w:rsidRPr="00B85339" w:rsidRDefault="00543759" w:rsidP="00292FC9">
      <w:pPr>
        <w:pStyle w:val="Body"/>
        <w:jc w:val="both"/>
        <w:rPr>
          <w:rFonts w:ascii="Calibri" w:hAnsi="Calibri"/>
        </w:rPr>
      </w:pPr>
    </w:p>
    <w:p w:rsidR="008D397D" w:rsidRPr="004C4BE7" w:rsidRDefault="00787CED" w:rsidP="00292FC9">
      <w:pPr>
        <w:pStyle w:val="Body"/>
        <w:jc w:val="center"/>
        <w:rPr>
          <w:rFonts w:ascii="Calibri" w:hAnsi="Calibri"/>
          <w:b/>
          <w:color w:val="000000" w:themeColor="text1"/>
          <w:sz w:val="36"/>
          <w:szCs w:val="36"/>
        </w:rPr>
      </w:pPr>
      <w:r>
        <w:rPr>
          <w:rFonts w:ascii="Calibri" w:hAnsi="Calibri"/>
          <w:b/>
          <w:color w:val="000000" w:themeColor="text1"/>
          <w:sz w:val="36"/>
          <w:szCs w:val="36"/>
        </w:rPr>
        <w:t xml:space="preserve">Rent </w:t>
      </w:r>
      <w:r w:rsidR="004C229B">
        <w:rPr>
          <w:rFonts w:ascii="Calibri" w:hAnsi="Calibri"/>
          <w:b/>
          <w:color w:val="000000" w:themeColor="text1"/>
          <w:sz w:val="36"/>
          <w:szCs w:val="36"/>
        </w:rPr>
        <w:t>rises</w:t>
      </w:r>
      <w:r>
        <w:rPr>
          <w:rFonts w:ascii="Calibri" w:hAnsi="Calibri"/>
          <w:b/>
          <w:color w:val="000000" w:themeColor="text1"/>
          <w:sz w:val="36"/>
          <w:szCs w:val="36"/>
        </w:rPr>
        <w:t xml:space="preserve"> </w:t>
      </w:r>
      <w:r w:rsidR="00E36C8E">
        <w:rPr>
          <w:rFonts w:ascii="Calibri" w:hAnsi="Calibri"/>
          <w:b/>
          <w:color w:val="000000" w:themeColor="text1"/>
          <w:sz w:val="36"/>
          <w:szCs w:val="36"/>
        </w:rPr>
        <w:t xml:space="preserve">steaming ahead of </w:t>
      </w:r>
      <w:r>
        <w:rPr>
          <w:rFonts w:ascii="Calibri" w:hAnsi="Calibri"/>
          <w:b/>
          <w:color w:val="000000" w:themeColor="text1"/>
          <w:sz w:val="36"/>
          <w:szCs w:val="36"/>
        </w:rPr>
        <w:t>inflation</w:t>
      </w:r>
    </w:p>
    <w:p w:rsidR="00C4286D" w:rsidRDefault="00C4286D" w:rsidP="00292FC9">
      <w:pPr>
        <w:pStyle w:val="Body"/>
        <w:jc w:val="both"/>
        <w:rPr>
          <w:rFonts w:ascii="Calibri" w:hAnsi="Calibri"/>
        </w:rPr>
      </w:pPr>
    </w:p>
    <w:p w:rsidR="00E36C8E" w:rsidRDefault="00E36C8E" w:rsidP="007F7C92">
      <w:pPr>
        <w:pStyle w:val="Body"/>
        <w:jc w:val="both"/>
        <w:rPr>
          <w:rFonts w:ascii="Calibri" w:hAnsi="Calibri"/>
        </w:rPr>
      </w:pPr>
      <w:r>
        <w:rPr>
          <w:rFonts w:ascii="Calibri" w:hAnsi="Calibri"/>
        </w:rPr>
        <w:t xml:space="preserve">Rents across New Zealand continue to steam ahead of </w:t>
      </w:r>
      <w:r w:rsidR="00787CED">
        <w:rPr>
          <w:rFonts w:ascii="Calibri" w:hAnsi="Calibri"/>
        </w:rPr>
        <w:t>in</w:t>
      </w:r>
      <w:r w:rsidR="009870F9">
        <w:rPr>
          <w:rFonts w:ascii="Calibri" w:hAnsi="Calibri"/>
        </w:rPr>
        <w:t xml:space="preserve">flation </w:t>
      </w:r>
      <w:r>
        <w:rPr>
          <w:rFonts w:ascii="Calibri" w:hAnsi="Calibri"/>
        </w:rPr>
        <w:t xml:space="preserve">with the median asking rent in March 2015 up 7.7 per cent compared with March 2014. By comparison, inflation across the wider economy is at a 16-year low and up just 0.1 </w:t>
      </w:r>
      <w:r w:rsidR="004C229B">
        <w:rPr>
          <w:rFonts w:ascii="Calibri" w:hAnsi="Calibri"/>
        </w:rPr>
        <w:t>per cent</w:t>
      </w:r>
      <w:r>
        <w:rPr>
          <w:rFonts w:ascii="Calibri" w:hAnsi="Calibri"/>
        </w:rPr>
        <w:t xml:space="preserve"> year-on-year.</w:t>
      </w:r>
    </w:p>
    <w:p w:rsidR="00E36C8E" w:rsidRDefault="00E36C8E" w:rsidP="007F7C92">
      <w:pPr>
        <w:pStyle w:val="Body"/>
        <w:jc w:val="both"/>
        <w:rPr>
          <w:rFonts w:ascii="Calibri" w:hAnsi="Calibri"/>
        </w:rPr>
      </w:pPr>
    </w:p>
    <w:p w:rsidR="00A10831" w:rsidRDefault="00A10831" w:rsidP="00A10831">
      <w:pPr>
        <w:pStyle w:val="Body"/>
        <w:jc w:val="both"/>
        <w:rPr>
          <w:rFonts w:ascii="Calibri" w:hAnsi="Calibri"/>
        </w:rPr>
      </w:pPr>
      <w:r>
        <w:rPr>
          <w:rFonts w:ascii="Calibri" w:hAnsi="Calibri"/>
        </w:rPr>
        <w:t>In March, the median rent being asked for by landlords bounced up to a record high of $420 per week, up from $39</w:t>
      </w:r>
      <w:r w:rsidR="00525280">
        <w:rPr>
          <w:rFonts w:ascii="Calibri" w:hAnsi="Calibri"/>
        </w:rPr>
        <w:t>0</w:t>
      </w:r>
      <w:r>
        <w:rPr>
          <w:rFonts w:ascii="Calibri" w:hAnsi="Calibri"/>
        </w:rPr>
        <w:t xml:space="preserve"> per week a year ago. </w:t>
      </w:r>
    </w:p>
    <w:p w:rsidR="00A10831" w:rsidRDefault="00A10831" w:rsidP="007F7C92">
      <w:pPr>
        <w:pStyle w:val="Body"/>
        <w:jc w:val="both"/>
        <w:rPr>
          <w:rFonts w:ascii="Calibri" w:hAnsi="Calibri"/>
        </w:rPr>
      </w:pPr>
    </w:p>
    <w:p w:rsidR="00A10831" w:rsidRDefault="00E36C8E" w:rsidP="007F7C92">
      <w:pPr>
        <w:pStyle w:val="Body"/>
        <w:jc w:val="both"/>
        <w:rPr>
          <w:rFonts w:ascii="Calibri" w:hAnsi="Calibri"/>
        </w:rPr>
      </w:pPr>
      <w:r>
        <w:rPr>
          <w:rFonts w:ascii="Calibri" w:hAnsi="Calibri"/>
        </w:rPr>
        <w:t xml:space="preserve">According to Trade Me Property’s </w:t>
      </w:r>
      <w:r w:rsidR="00A10831">
        <w:rPr>
          <w:rFonts w:ascii="Calibri" w:hAnsi="Calibri"/>
        </w:rPr>
        <w:t>Rental Price Index</w:t>
      </w:r>
      <w:r>
        <w:rPr>
          <w:rFonts w:ascii="Calibri" w:hAnsi="Calibri"/>
        </w:rPr>
        <w:t xml:space="preserve">, median rents were up </w:t>
      </w:r>
      <w:r w:rsidR="00386E9D">
        <w:rPr>
          <w:rFonts w:ascii="Calibri" w:hAnsi="Calibri"/>
        </w:rPr>
        <w:t xml:space="preserve">6.5 per cent </w:t>
      </w:r>
      <w:r w:rsidR="00A10831">
        <w:rPr>
          <w:rFonts w:ascii="Calibri" w:hAnsi="Calibri"/>
        </w:rPr>
        <w:t xml:space="preserve">year-on-year in </w:t>
      </w:r>
      <w:r w:rsidR="00386E9D">
        <w:rPr>
          <w:rFonts w:ascii="Calibri" w:hAnsi="Calibri"/>
        </w:rPr>
        <w:t xml:space="preserve">February and </w:t>
      </w:r>
      <w:r w:rsidR="00A10831">
        <w:rPr>
          <w:rFonts w:ascii="Calibri" w:hAnsi="Calibri"/>
        </w:rPr>
        <w:t xml:space="preserve">up 9.1 </w:t>
      </w:r>
      <w:r w:rsidR="00386E9D">
        <w:rPr>
          <w:rFonts w:ascii="Calibri" w:hAnsi="Calibri"/>
        </w:rPr>
        <w:t xml:space="preserve">per cent </w:t>
      </w:r>
      <w:r w:rsidR="00A10831">
        <w:rPr>
          <w:rFonts w:ascii="Calibri" w:hAnsi="Calibri"/>
        </w:rPr>
        <w:t xml:space="preserve">year-on-year in January. </w:t>
      </w:r>
    </w:p>
    <w:p w:rsidR="00A10831" w:rsidRDefault="00A10831" w:rsidP="007F7C92">
      <w:pPr>
        <w:pStyle w:val="Body"/>
        <w:jc w:val="both"/>
        <w:rPr>
          <w:rFonts w:ascii="Calibri" w:hAnsi="Calibri"/>
        </w:rPr>
      </w:pPr>
    </w:p>
    <w:p w:rsidR="00A10831" w:rsidRDefault="00AB6803" w:rsidP="00292FC9">
      <w:pPr>
        <w:pStyle w:val="Body"/>
        <w:jc w:val="both"/>
        <w:rPr>
          <w:rFonts w:ascii="Calibri" w:hAnsi="Calibri"/>
        </w:rPr>
      </w:pPr>
      <w:r w:rsidRPr="00F20DF9">
        <w:rPr>
          <w:rFonts w:ascii="Calibri" w:hAnsi="Calibri"/>
        </w:rPr>
        <w:t xml:space="preserve">Head of Trade Me Property Nigel Jeffries </w:t>
      </w:r>
      <w:r>
        <w:rPr>
          <w:rFonts w:ascii="Calibri" w:hAnsi="Calibri"/>
        </w:rPr>
        <w:t xml:space="preserve">said </w:t>
      </w:r>
      <w:r w:rsidR="00524636">
        <w:rPr>
          <w:rFonts w:ascii="Calibri" w:hAnsi="Calibri"/>
        </w:rPr>
        <w:t xml:space="preserve">the </w:t>
      </w:r>
      <w:r w:rsidR="00A976D3">
        <w:rPr>
          <w:rFonts w:ascii="Calibri" w:hAnsi="Calibri"/>
        </w:rPr>
        <w:t xml:space="preserve">rental </w:t>
      </w:r>
      <w:r w:rsidR="00524636">
        <w:rPr>
          <w:rFonts w:ascii="Calibri" w:hAnsi="Calibri"/>
        </w:rPr>
        <w:t xml:space="preserve">market </w:t>
      </w:r>
      <w:r w:rsidR="00A10831">
        <w:rPr>
          <w:rFonts w:ascii="Calibri" w:hAnsi="Calibri"/>
        </w:rPr>
        <w:t xml:space="preserve">was not a great one for tenants, </w:t>
      </w:r>
      <w:r w:rsidR="001C0FCA">
        <w:rPr>
          <w:rFonts w:ascii="Calibri" w:hAnsi="Calibri"/>
        </w:rPr>
        <w:t>with increases in 11 out of 15 regions across the country</w:t>
      </w:r>
      <w:r w:rsidR="00A10831">
        <w:rPr>
          <w:rFonts w:ascii="Calibri" w:hAnsi="Calibri"/>
        </w:rPr>
        <w:t xml:space="preserve">. </w:t>
      </w:r>
      <w:r w:rsidR="00386E9D">
        <w:rPr>
          <w:rFonts w:ascii="Calibri" w:hAnsi="Calibri"/>
        </w:rPr>
        <w:t>“</w:t>
      </w:r>
      <w:r w:rsidR="00A10831">
        <w:rPr>
          <w:rFonts w:ascii="Calibri" w:hAnsi="Calibri"/>
        </w:rPr>
        <w:t xml:space="preserve">There is </w:t>
      </w:r>
      <w:r w:rsidR="00386E9D">
        <w:rPr>
          <w:rFonts w:ascii="Calibri" w:hAnsi="Calibri"/>
        </w:rPr>
        <w:t xml:space="preserve">continued </w:t>
      </w:r>
      <w:r w:rsidR="009870F9">
        <w:rPr>
          <w:rFonts w:ascii="Calibri" w:hAnsi="Calibri"/>
        </w:rPr>
        <w:t xml:space="preserve">pressure </w:t>
      </w:r>
      <w:r w:rsidR="00A10831">
        <w:rPr>
          <w:rFonts w:ascii="Calibri" w:hAnsi="Calibri"/>
        </w:rPr>
        <w:t xml:space="preserve">on asking rents, with </w:t>
      </w:r>
      <w:r w:rsidR="00787CED">
        <w:rPr>
          <w:rFonts w:ascii="Calibri" w:hAnsi="Calibri"/>
        </w:rPr>
        <w:t xml:space="preserve">Auckland </w:t>
      </w:r>
      <w:r w:rsidR="001C0FCA">
        <w:rPr>
          <w:rFonts w:ascii="Calibri" w:hAnsi="Calibri"/>
        </w:rPr>
        <w:t xml:space="preserve">tenants being asked to pay almost 7 per cent more than a year ago, with the median rent at </w:t>
      </w:r>
      <w:r w:rsidR="00787CED">
        <w:rPr>
          <w:rFonts w:ascii="Calibri" w:hAnsi="Calibri"/>
        </w:rPr>
        <w:t>a new high of $480</w:t>
      </w:r>
      <w:r w:rsidR="00A10831">
        <w:rPr>
          <w:rFonts w:ascii="Calibri" w:hAnsi="Calibri"/>
        </w:rPr>
        <w:t xml:space="preserve"> per week,” he said. “</w:t>
      </w:r>
      <w:r w:rsidR="00787CED">
        <w:rPr>
          <w:rFonts w:ascii="Calibri" w:hAnsi="Calibri"/>
        </w:rPr>
        <w:t xml:space="preserve">Weekly rents in the city have broken through new records in </w:t>
      </w:r>
      <w:r w:rsidR="00A10831">
        <w:rPr>
          <w:rFonts w:ascii="Calibri" w:hAnsi="Calibri"/>
        </w:rPr>
        <w:t xml:space="preserve">22 out of the past </w:t>
      </w:r>
      <w:r w:rsidR="00787CED">
        <w:rPr>
          <w:rFonts w:ascii="Calibri" w:hAnsi="Calibri"/>
        </w:rPr>
        <w:t>24 months</w:t>
      </w:r>
      <w:r w:rsidR="00A10831">
        <w:rPr>
          <w:rFonts w:ascii="Calibri" w:hAnsi="Calibri"/>
        </w:rPr>
        <w:t xml:space="preserve"> and have </w:t>
      </w:r>
      <w:r w:rsidR="001C0FCA">
        <w:rPr>
          <w:rFonts w:ascii="Calibri" w:hAnsi="Calibri"/>
        </w:rPr>
        <w:t xml:space="preserve">continued to </w:t>
      </w:r>
      <w:r w:rsidR="00A10831">
        <w:rPr>
          <w:rFonts w:ascii="Calibri" w:hAnsi="Calibri"/>
        </w:rPr>
        <w:t xml:space="preserve">tick up from </w:t>
      </w:r>
      <w:r w:rsidR="001C0FCA">
        <w:rPr>
          <w:rFonts w:ascii="Calibri" w:hAnsi="Calibri"/>
        </w:rPr>
        <w:t xml:space="preserve">when they were </w:t>
      </w:r>
      <w:r w:rsidR="00A10831">
        <w:rPr>
          <w:rFonts w:ascii="Calibri" w:hAnsi="Calibri"/>
        </w:rPr>
        <w:t xml:space="preserve">$440 </w:t>
      </w:r>
      <w:r w:rsidR="001C0FCA">
        <w:rPr>
          <w:rFonts w:ascii="Calibri" w:hAnsi="Calibri"/>
        </w:rPr>
        <w:t xml:space="preserve">per week </w:t>
      </w:r>
      <w:r w:rsidR="00A10831">
        <w:rPr>
          <w:rFonts w:ascii="Calibri" w:hAnsi="Calibri"/>
        </w:rPr>
        <w:t>back in March 2013.”</w:t>
      </w:r>
    </w:p>
    <w:p w:rsidR="00A10831" w:rsidRDefault="00A10831" w:rsidP="00292FC9">
      <w:pPr>
        <w:pStyle w:val="Body"/>
        <w:jc w:val="both"/>
        <w:rPr>
          <w:rFonts w:ascii="Calibri" w:hAnsi="Calibri"/>
        </w:rPr>
      </w:pPr>
    </w:p>
    <w:p w:rsidR="006D6D1E" w:rsidRDefault="00A10831" w:rsidP="007F7C92">
      <w:pPr>
        <w:pStyle w:val="Body"/>
        <w:jc w:val="both"/>
        <w:rPr>
          <w:rFonts w:ascii="Calibri" w:hAnsi="Calibri"/>
        </w:rPr>
      </w:pPr>
      <w:proofErr w:type="spellStart"/>
      <w:r>
        <w:rPr>
          <w:rFonts w:ascii="Calibri" w:hAnsi="Calibri"/>
        </w:rPr>
        <w:t>Mr</w:t>
      </w:r>
      <w:proofErr w:type="spellEnd"/>
      <w:r>
        <w:rPr>
          <w:rFonts w:ascii="Calibri" w:hAnsi="Calibri"/>
        </w:rPr>
        <w:t xml:space="preserve"> Jeffries said that although 7.7 per cent was “</w:t>
      </w:r>
      <w:r w:rsidR="00787CED">
        <w:rPr>
          <w:rFonts w:ascii="Calibri" w:hAnsi="Calibri"/>
        </w:rPr>
        <w:t xml:space="preserve">not </w:t>
      </w:r>
      <w:r w:rsidR="00530431">
        <w:rPr>
          <w:rFonts w:ascii="Calibri" w:hAnsi="Calibri"/>
        </w:rPr>
        <w:t>even close to the super-h</w:t>
      </w:r>
      <w:r>
        <w:rPr>
          <w:rFonts w:ascii="Calibri" w:hAnsi="Calibri"/>
        </w:rPr>
        <w:t xml:space="preserve">ot </w:t>
      </w:r>
      <w:r w:rsidR="00787CED">
        <w:rPr>
          <w:rFonts w:ascii="Calibri" w:hAnsi="Calibri"/>
        </w:rPr>
        <w:t xml:space="preserve">pace </w:t>
      </w:r>
      <w:r w:rsidR="00530431">
        <w:rPr>
          <w:rFonts w:ascii="Calibri" w:hAnsi="Calibri"/>
        </w:rPr>
        <w:t>of</w:t>
      </w:r>
      <w:r w:rsidR="00787CED">
        <w:rPr>
          <w:rFonts w:ascii="Calibri" w:hAnsi="Calibri"/>
        </w:rPr>
        <w:t xml:space="preserve"> house price</w:t>
      </w:r>
      <w:r>
        <w:rPr>
          <w:rFonts w:ascii="Calibri" w:hAnsi="Calibri"/>
        </w:rPr>
        <w:t xml:space="preserve">s”, it was well ahead of </w:t>
      </w:r>
      <w:r w:rsidR="00787CED">
        <w:rPr>
          <w:rFonts w:ascii="Calibri" w:hAnsi="Calibri"/>
        </w:rPr>
        <w:t>general inflatio</w:t>
      </w:r>
      <w:r>
        <w:rPr>
          <w:rFonts w:ascii="Calibri" w:hAnsi="Calibri"/>
        </w:rPr>
        <w:t>n</w:t>
      </w:r>
      <w:r w:rsidR="00530431">
        <w:rPr>
          <w:rFonts w:ascii="Calibri" w:hAnsi="Calibri"/>
        </w:rPr>
        <w:t>.</w:t>
      </w:r>
      <w:r w:rsidR="00092308">
        <w:rPr>
          <w:rFonts w:ascii="Calibri" w:hAnsi="Calibri"/>
        </w:rPr>
        <w:t xml:space="preserve"> </w:t>
      </w:r>
      <w:r>
        <w:rPr>
          <w:rFonts w:ascii="Calibri" w:hAnsi="Calibri"/>
        </w:rPr>
        <w:t xml:space="preserve">He said </w:t>
      </w:r>
      <w:r w:rsidR="00A976D3">
        <w:rPr>
          <w:rFonts w:ascii="Calibri" w:hAnsi="Calibri"/>
        </w:rPr>
        <w:t xml:space="preserve">the </w:t>
      </w:r>
      <w:r w:rsidR="00A06E58">
        <w:rPr>
          <w:rFonts w:ascii="Calibri" w:hAnsi="Calibri"/>
        </w:rPr>
        <w:t xml:space="preserve">rental market </w:t>
      </w:r>
      <w:r w:rsidR="001B316A">
        <w:rPr>
          <w:rFonts w:ascii="Calibri" w:hAnsi="Calibri"/>
        </w:rPr>
        <w:t xml:space="preserve">was </w:t>
      </w:r>
      <w:r w:rsidR="0010300A">
        <w:rPr>
          <w:rFonts w:ascii="Calibri" w:hAnsi="Calibri"/>
        </w:rPr>
        <w:t xml:space="preserve">seeing </w:t>
      </w:r>
      <w:r>
        <w:rPr>
          <w:rFonts w:ascii="Calibri" w:hAnsi="Calibri"/>
        </w:rPr>
        <w:t>“</w:t>
      </w:r>
      <w:r w:rsidR="0010300A">
        <w:rPr>
          <w:rFonts w:ascii="Calibri" w:hAnsi="Calibri"/>
        </w:rPr>
        <w:t xml:space="preserve">the economic reality of limited supply </w:t>
      </w:r>
      <w:r>
        <w:rPr>
          <w:rFonts w:ascii="Calibri" w:hAnsi="Calibri"/>
        </w:rPr>
        <w:t xml:space="preserve">and fierce </w:t>
      </w:r>
      <w:r w:rsidR="0010300A">
        <w:rPr>
          <w:rFonts w:ascii="Calibri" w:hAnsi="Calibri"/>
        </w:rPr>
        <w:t>demand</w:t>
      </w:r>
      <w:r>
        <w:rPr>
          <w:rFonts w:ascii="Calibri" w:hAnsi="Calibri"/>
        </w:rPr>
        <w:t>”</w:t>
      </w:r>
      <w:r w:rsidR="0010300A">
        <w:rPr>
          <w:rFonts w:ascii="Calibri" w:hAnsi="Calibri"/>
        </w:rPr>
        <w:t xml:space="preserve"> in </w:t>
      </w:r>
      <w:r w:rsidR="001C0FCA">
        <w:rPr>
          <w:rFonts w:ascii="Calibri" w:hAnsi="Calibri"/>
        </w:rPr>
        <w:t xml:space="preserve">most </w:t>
      </w:r>
      <w:r w:rsidR="00135C49">
        <w:rPr>
          <w:rFonts w:ascii="Calibri" w:hAnsi="Calibri"/>
        </w:rPr>
        <w:t>regions</w:t>
      </w:r>
      <w:r w:rsidR="006D6D1E">
        <w:rPr>
          <w:rFonts w:ascii="Calibri" w:hAnsi="Calibri"/>
        </w:rPr>
        <w:t>.</w:t>
      </w:r>
    </w:p>
    <w:p w:rsidR="001C0FCA" w:rsidRDefault="001C0FCA" w:rsidP="007F7C92">
      <w:pPr>
        <w:pStyle w:val="Body"/>
        <w:jc w:val="both"/>
        <w:rPr>
          <w:rFonts w:ascii="Calibri" w:hAnsi="Calibri"/>
        </w:rPr>
      </w:pPr>
    </w:p>
    <w:p w:rsidR="001C0FCA" w:rsidRDefault="001C0FCA" w:rsidP="001C0FCA">
      <w:pPr>
        <w:pStyle w:val="Body"/>
        <w:jc w:val="both"/>
        <w:rPr>
          <w:rFonts w:ascii="Calibri" w:hAnsi="Calibri"/>
        </w:rPr>
      </w:pPr>
      <w:r>
        <w:rPr>
          <w:rFonts w:ascii="Calibri" w:hAnsi="Calibri"/>
        </w:rPr>
        <w:t>Across the country over the past five years, the median weekly rent has risen by 23.5 per cent from $340 to $420. The majority of this increase was in the past 18 months, with rents up 13.5 per cent from $370 per week in September 2013 to $420 per week in March 2015.</w:t>
      </w:r>
    </w:p>
    <w:p w:rsidR="001C0FCA" w:rsidRDefault="001C0FCA" w:rsidP="007F7C92">
      <w:pPr>
        <w:pStyle w:val="Body"/>
        <w:jc w:val="both"/>
        <w:rPr>
          <w:rFonts w:ascii="Calibri" w:hAnsi="Calibri"/>
        </w:rPr>
      </w:pPr>
    </w:p>
    <w:p w:rsidR="006D6D1E" w:rsidRDefault="006D6D1E" w:rsidP="00292FC9">
      <w:pPr>
        <w:pStyle w:val="Body"/>
        <w:jc w:val="both"/>
        <w:rPr>
          <w:rFonts w:ascii="Calibri" w:hAnsi="Calibri"/>
        </w:rPr>
      </w:pPr>
    </w:p>
    <w:p w:rsidR="00543759" w:rsidRDefault="00543759" w:rsidP="00292FC9">
      <w:pPr>
        <w:pStyle w:val="Body"/>
        <w:jc w:val="both"/>
        <w:rPr>
          <w:rFonts w:ascii="Calibri" w:hAnsi="Calibri"/>
        </w:rPr>
      </w:pPr>
    </w:p>
    <w:p w:rsidR="00D816BB" w:rsidRDefault="00EC6361" w:rsidP="00292FC9">
      <w:pPr>
        <w:pStyle w:val="Body"/>
        <w:jc w:val="both"/>
        <w:rPr>
          <w:rFonts w:ascii="Calibri" w:hAnsi="Calibri"/>
        </w:rPr>
      </w:pPr>
      <w:r>
        <w:rPr>
          <w:rFonts w:ascii="Calibri" w:hAnsi="Calibri"/>
          <w:noProof/>
          <w:lang w:val="en-NZ" w:eastAsia="en-NZ"/>
        </w:rPr>
        <w:drawing>
          <wp:inline distT="0" distB="0" distL="0" distR="0" wp14:anchorId="00F62B2A" wp14:editId="7EE29BDB">
            <wp:extent cx="6120130" cy="30664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Monthly-Change-Mar-2015.gif"/>
                    <pic:cNvPicPr/>
                  </pic:nvPicPr>
                  <pic:blipFill>
                    <a:blip r:embed="rId9">
                      <a:extLst>
                        <a:ext uri="{28A0092B-C50C-407E-A947-70E740481C1C}">
                          <a14:useLocalDpi xmlns:a14="http://schemas.microsoft.com/office/drawing/2010/main" val="0"/>
                        </a:ext>
                      </a:extLst>
                    </a:blip>
                    <a:stretch>
                      <a:fillRect/>
                    </a:stretch>
                  </pic:blipFill>
                  <pic:spPr>
                    <a:xfrm>
                      <a:off x="0" y="0"/>
                      <a:ext cx="6120130" cy="3066415"/>
                    </a:xfrm>
                    <a:prstGeom prst="rect">
                      <a:avLst/>
                    </a:prstGeom>
                  </pic:spPr>
                </pic:pic>
              </a:graphicData>
            </a:graphic>
          </wp:inline>
        </w:drawing>
      </w:r>
    </w:p>
    <w:p w:rsidR="00524636" w:rsidRDefault="00524636" w:rsidP="00292FC9">
      <w:pPr>
        <w:pStyle w:val="Body"/>
        <w:jc w:val="both"/>
        <w:rPr>
          <w:rFonts w:ascii="Calibri" w:hAnsi="Calibri"/>
        </w:rPr>
      </w:pPr>
    </w:p>
    <w:p w:rsidR="00456B18" w:rsidRDefault="00456B18" w:rsidP="00292FC9">
      <w:pPr>
        <w:pStyle w:val="Body"/>
        <w:jc w:val="both"/>
        <w:rPr>
          <w:rFonts w:ascii="Calibri" w:hAnsi="Calibri"/>
        </w:rPr>
      </w:pPr>
    </w:p>
    <w:p w:rsidR="00713A81" w:rsidRDefault="00713A81" w:rsidP="00292FC9">
      <w:pPr>
        <w:pStyle w:val="Body"/>
        <w:jc w:val="both"/>
        <w:rPr>
          <w:rFonts w:ascii="Calibri" w:hAnsi="Calibri"/>
        </w:rPr>
      </w:pPr>
    </w:p>
    <w:p w:rsidR="00027AAE" w:rsidRDefault="00027AAE" w:rsidP="00292FC9">
      <w:pPr>
        <w:pStyle w:val="Body"/>
        <w:jc w:val="both"/>
        <w:rPr>
          <w:rFonts w:ascii="Calibri" w:hAnsi="Calibri"/>
        </w:rPr>
      </w:pPr>
    </w:p>
    <w:p w:rsidR="00027AAE" w:rsidRDefault="00027AAE" w:rsidP="00292FC9">
      <w:pPr>
        <w:pStyle w:val="Body"/>
        <w:jc w:val="both"/>
        <w:rPr>
          <w:rFonts w:ascii="Calibri" w:hAnsi="Calibri"/>
        </w:rPr>
      </w:pPr>
    </w:p>
    <w:p w:rsidR="00F13AF0" w:rsidRDefault="00EC6361" w:rsidP="00B85339">
      <w:pPr>
        <w:pStyle w:val="Body"/>
        <w:jc w:val="both"/>
        <w:rPr>
          <w:rFonts w:ascii="Calibri" w:hAnsi="Calibri"/>
        </w:rPr>
      </w:pPr>
      <w:r>
        <w:rPr>
          <w:rFonts w:ascii="Calibri" w:hAnsi="Calibri"/>
          <w:noProof/>
          <w:lang w:val="en-NZ" w:eastAsia="en-NZ"/>
        </w:rPr>
        <w:drawing>
          <wp:inline distT="0" distB="0" distL="0" distR="0" wp14:anchorId="56822A34" wp14:editId="5A99E5D4">
            <wp:extent cx="6120130" cy="30797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2-5-Year-Increase-Mar-2015.gif"/>
                    <pic:cNvPicPr/>
                  </pic:nvPicPr>
                  <pic:blipFill>
                    <a:blip r:embed="rId10">
                      <a:extLst>
                        <a:ext uri="{28A0092B-C50C-407E-A947-70E740481C1C}">
                          <a14:useLocalDpi xmlns:a14="http://schemas.microsoft.com/office/drawing/2010/main" val="0"/>
                        </a:ext>
                      </a:extLst>
                    </a:blip>
                    <a:stretch>
                      <a:fillRect/>
                    </a:stretch>
                  </pic:blipFill>
                  <pic:spPr>
                    <a:xfrm>
                      <a:off x="0" y="0"/>
                      <a:ext cx="6120130" cy="3079750"/>
                    </a:xfrm>
                    <a:prstGeom prst="rect">
                      <a:avLst/>
                    </a:prstGeom>
                  </pic:spPr>
                </pic:pic>
              </a:graphicData>
            </a:graphic>
          </wp:inline>
        </w:drawing>
      </w:r>
    </w:p>
    <w:p w:rsidR="00543759" w:rsidRDefault="00543759" w:rsidP="00B85339">
      <w:pPr>
        <w:pStyle w:val="Body"/>
        <w:jc w:val="both"/>
        <w:rPr>
          <w:rFonts w:ascii="Calibri" w:hAnsi="Calibri"/>
          <w:b/>
        </w:rPr>
      </w:pPr>
    </w:p>
    <w:p w:rsidR="00672F35" w:rsidRDefault="00672F35" w:rsidP="00B85339">
      <w:pPr>
        <w:pStyle w:val="Body"/>
        <w:jc w:val="both"/>
        <w:rPr>
          <w:rFonts w:ascii="Calibri" w:hAnsi="Calibri"/>
          <w:b/>
        </w:rPr>
      </w:pPr>
    </w:p>
    <w:p w:rsidR="003532F0" w:rsidRPr="00B85339" w:rsidRDefault="00FE24A9" w:rsidP="00B85339">
      <w:pPr>
        <w:pStyle w:val="Body"/>
        <w:jc w:val="both"/>
        <w:rPr>
          <w:rFonts w:ascii="Calibri" w:hAnsi="Calibri"/>
          <w:b/>
        </w:rPr>
      </w:pPr>
      <w:r w:rsidRPr="00B85339">
        <w:rPr>
          <w:rFonts w:ascii="Calibri" w:hAnsi="Calibri"/>
          <w:b/>
        </w:rPr>
        <w:t>Ups and downs in</w:t>
      </w:r>
      <w:r w:rsidR="00226C44" w:rsidRPr="00B85339">
        <w:rPr>
          <w:rFonts w:ascii="Calibri" w:hAnsi="Calibri"/>
          <w:b/>
        </w:rPr>
        <w:t xml:space="preserve"> the regions</w:t>
      </w:r>
    </w:p>
    <w:p w:rsidR="003532F0" w:rsidRPr="00B85339" w:rsidRDefault="003532F0" w:rsidP="00B85339">
      <w:pPr>
        <w:pStyle w:val="Body"/>
        <w:jc w:val="both"/>
        <w:rPr>
          <w:rFonts w:ascii="Calibri" w:hAnsi="Calibri"/>
        </w:rPr>
      </w:pPr>
    </w:p>
    <w:p w:rsidR="00813F4F" w:rsidRDefault="003D7CE0" w:rsidP="007F7C92">
      <w:pPr>
        <w:pStyle w:val="Body"/>
        <w:jc w:val="both"/>
        <w:rPr>
          <w:rFonts w:ascii="Calibri" w:hAnsi="Calibri"/>
        </w:rPr>
      </w:pPr>
      <w:r>
        <w:rPr>
          <w:rFonts w:ascii="Calibri" w:hAnsi="Calibri"/>
        </w:rPr>
        <w:t xml:space="preserve">Of the </w:t>
      </w:r>
      <w:r w:rsidR="001C0FCA">
        <w:rPr>
          <w:rFonts w:ascii="Calibri" w:hAnsi="Calibri"/>
        </w:rPr>
        <w:t xml:space="preserve">15 </w:t>
      </w:r>
      <w:r>
        <w:rPr>
          <w:rFonts w:ascii="Calibri" w:hAnsi="Calibri"/>
        </w:rPr>
        <w:t xml:space="preserve">regions, two </w:t>
      </w:r>
      <w:r w:rsidR="001C0FCA">
        <w:rPr>
          <w:rFonts w:ascii="Calibri" w:hAnsi="Calibri"/>
        </w:rPr>
        <w:t>stood still</w:t>
      </w:r>
      <w:r>
        <w:rPr>
          <w:rFonts w:ascii="Calibri" w:hAnsi="Calibri"/>
        </w:rPr>
        <w:t xml:space="preserve">, two dropped and the remainder increased by between 2 and 14 per cent. The </w:t>
      </w:r>
      <w:r w:rsidR="001C0FCA">
        <w:rPr>
          <w:rFonts w:ascii="Calibri" w:hAnsi="Calibri"/>
        </w:rPr>
        <w:t xml:space="preserve">strongest growth was in </w:t>
      </w:r>
      <w:r>
        <w:rPr>
          <w:rFonts w:ascii="Calibri" w:hAnsi="Calibri"/>
        </w:rPr>
        <w:t xml:space="preserve">Canterbury, </w:t>
      </w:r>
      <w:r w:rsidR="001C0FCA">
        <w:rPr>
          <w:rFonts w:ascii="Calibri" w:hAnsi="Calibri"/>
        </w:rPr>
        <w:t xml:space="preserve">where median rents were up </w:t>
      </w:r>
      <w:r>
        <w:rPr>
          <w:rFonts w:ascii="Calibri" w:hAnsi="Calibri"/>
        </w:rPr>
        <w:t xml:space="preserve">14.1 per cent </w:t>
      </w:r>
      <w:r w:rsidR="001C0FCA">
        <w:rPr>
          <w:rFonts w:ascii="Calibri" w:hAnsi="Calibri"/>
        </w:rPr>
        <w:t xml:space="preserve">over </w:t>
      </w:r>
      <w:r>
        <w:rPr>
          <w:rFonts w:ascii="Calibri" w:hAnsi="Calibri"/>
        </w:rPr>
        <w:t>the past year</w:t>
      </w:r>
      <w:r w:rsidR="00813F4F">
        <w:rPr>
          <w:rFonts w:ascii="Calibri" w:hAnsi="Calibri"/>
        </w:rPr>
        <w:t>, jumping from $450 per week last month to $485 per week in March.</w:t>
      </w:r>
    </w:p>
    <w:p w:rsidR="00813F4F" w:rsidRDefault="00813F4F" w:rsidP="007F7C92">
      <w:pPr>
        <w:pStyle w:val="Body"/>
        <w:jc w:val="both"/>
        <w:rPr>
          <w:rFonts w:ascii="Calibri" w:hAnsi="Calibri"/>
        </w:rPr>
      </w:pPr>
    </w:p>
    <w:p w:rsidR="00813F4F" w:rsidRDefault="00813F4F" w:rsidP="007F7C92">
      <w:pPr>
        <w:pStyle w:val="Body"/>
        <w:jc w:val="both"/>
        <w:rPr>
          <w:rFonts w:ascii="Calibri" w:hAnsi="Calibri"/>
        </w:rPr>
      </w:pPr>
      <w:r>
        <w:rPr>
          <w:rFonts w:ascii="Calibri" w:hAnsi="Calibri"/>
        </w:rPr>
        <w:t>Canterbury is top of the table as the most expensive region for renting a property, despite the number of listings having soared by more than 50 per cent on a year ago.</w:t>
      </w:r>
    </w:p>
    <w:p w:rsidR="00813F4F" w:rsidRDefault="00813F4F" w:rsidP="007F7C92">
      <w:pPr>
        <w:pStyle w:val="Body"/>
        <w:jc w:val="both"/>
        <w:rPr>
          <w:rFonts w:ascii="Calibri" w:hAnsi="Calibri"/>
        </w:rPr>
      </w:pPr>
    </w:p>
    <w:p w:rsidR="00813F4F" w:rsidRDefault="00813F4F" w:rsidP="007F7C92">
      <w:pPr>
        <w:pStyle w:val="Body"/>
        <w:jc w:val="both"/>
        <w:rPr>
          <w:rFonts w:ascii="Calibri" w:hAnsi="Calibri"/>
        </w:rPr>
      </w:pPr>
      <w:proofErr w:type="spellStart"/>
      <w:r>
        <w:rPr>
          <w:rFonts w:ascii="Calibri" w:hAnsi="Calibri"/>
        </w:rPr>
        <w:t>Mr</w:t>
      </w:r>
      <w:proofErr w:type="spellEnd"/>
      <w:r>
        <w:rPr>
          <w:rFonts w:ascii="Calibri" w:hAnsi="Calibri"/>
        </w:rPr>
        <w:t xml:space="preserve"> Jeffries said it was a familiar refrain but the region was heavily influenced by the Christchurch market, growing strongly on the back of the post-quake rebuild. </w:t>
      </w:r>
    </w:p>
    <w:p w:rsidR="00813F4F" w:rsidRDefault="00813F4F" w:rsidP="00771B1F">
      <w:pPr>
        <w:pStyle w:val="Body"/>
        <w:jc w:val="both"/>
        <w:rPr>
          <w:rFonts w:ascii="Calibri" w:hAnsi="Calibri"/>
        </w:rPr>
      </w:pPr>
    </w:p>
    <w:p w:rsidR="003D7CE0" w:rsidRDefault="003D7CE0" w:rsidP="00771B1F">
      <w:pPr>
        <w:pStyle w:val="Body"/>
        <w:jc w:val="both"/>
        <w:rPr>
          <w:rFonts w:ascii="Calibri" w:hAnsi="Calibri"/>
        </w:rPr>
      </w:pPr>
      <w:r>
        <w:rPr>
          <w:rFonts w:ascii="Calibri" w:hAnsi="Calibri"/>
        </w:rPr>
        <w:t>Northland also saw double</w:t>
      </w:r>
      <w:r w:rsidR="001C0FCA">
        <w:rPr>
          <w:rFonts w:ascii="Calibri" w:hAnsi="Calibri"/>
        </w:rPr>
        <w:t>-</w:t>
      </w:r>
      <w:r>
        <w:rPr>
          <w:rFonts w:ascii="Calibri" w:hAnsi="Calibri"/>
        </w:rPr>
        <w:t xml:space="preserve">digit </w:t>
      </w:r>
      <w:r w:rsidR="00530431">
        <w:rPr>
          <w:rFonts w:ascii="Calibri" w:hAnsi="Calibri"/>
        </w:rPr>
        <w:t>growth</w:t>
      </w:r>
      <w:r>
        <w:rPr>
          <w:rFonts w:ascii="Calibri" w:hAnsi="Calibri"/>
        </w:rPr>
        <w:t>, up 12.5 per cent</w:t>
      </w:r>
      <w:r w:rsidR="001C0FCA">
        <w:rPr>
          <w:rFonts w:ascii="Calibri" w:hAnsi="Calibri"/>
        </w:rPr>
        <w:t xml:space="preserve"> year-on-year</w:t>
      </w:r>
      <w:r>
        <w:rPr>
          <w:rFonts w:ascii="Calibri" w:hAnsi="Calibri"/>
        </w:rPr>
        <w:t>.</w:t>
      </w:r>
    </w:p>
    <w:p w:rsidR="00771B1F" w:rsidRDefault="003D7CE0" w:rsidP="00771B1F">
      <w:pPr>
        <w:pStyle w:val="Body"/>
        <w:jc w:val="both"/>
        <w:rPr>
          <w:rFonts w:ascii="Calibri" w:hAnsi="Calibri"/>
        </w:rPr>
      </w:pPr>
      <w:r>
        <w:rPr>
          <w:rFonts w:ascii="Calibri" w:hAnsi="Calibri"/>
        </w:rPr>
        <w:t xml:space="preserve"> </w:t>
      </w:r>
    </w:p>
    <w:p w:rsidR="00813F4F" w:rsidRDefault="003D7CE0" w:rsidP="00771B1F">
      <w:pPr>
        <w:pStyle w:val="Body"/>
        <w:jc w:val="both"/>
        <w:rPr>
          <w:rFonts w:ascii="Calibri" w:hAnsi="Calibri"/>
        </w:rPr>
      </w:pPr>
      <w:r>
        <w:rPr>
          <w:rFonts w:ascii="Calibri" w:hAnsi="Calibri"/>
        </w:rPr>
        <w:t>The West Coast</w:t>
      </w:r>
      <w:r w:rsidR="00813F4F">
        <w:rPr>
          <w:rFonts w:ascii="Calibri" w:hAnsi="Calibri"/>
        </w:rPr>
        <w:t xml:space="preserve"> has had a tough run and has been the laggard </w:t>
      </w:r>
      <w:r>
        <w:rPr>
          <w:rFonts w:ascii="Calibri" w:hAnsi="Calibri"/>
        </w:rPr>
        <w:t>after many consecutive months of rental falls</w:t>
      </w:r>
      <w:r w:rsidR="00813F4F">
        <w:rPr>
          <w:rFonts w:ascii="Calibri" w:hAnsi="Calibri"/>
        </w:rPr>
        <w:t xml:space="preserve">. In March this </w:t>
      </w:r>
      <w:r>
        <w:rPr>
          <w:rFonts w:ascii="Calibri" w:hAnsi="Calibri"/>
        </w:rPr>
        <w:t>leve</w:t>
      </w:r>
      <w:r w:rsidR="00530431">
        <w:rPr>
          <w:rFonts w:ascii="Calibri" w:hAnsi="Calibri"/>
        </w:rPr>
        <w:t>l</w:t>
      </w:r>
      <w:r>
        <w:rPr>
          <w:rFonts w:ascii="Calibri" w:hAnsi="Calibri"/>
        </w:rPr>
        <w:t xml:space="preserve">led off </w:t>
      </w:r>
      <w:r w:rsidR="00813F4F">
        <w:rPr>
          <w:rFonts w:ascii="Calibri" w:hAnsi="Calibri"/>
        </w:rPr>
        <w:t xml:space="preserve">and was unchanged. Median asking rents in </w:t>
      </w:r>
      <w:r>
        <w:rPr>
          <w:rFonts w:ascii="Calibri" w:hAnsi="Calibri"/>
        </w:rPr>
        <w:t xml:space="preserve">Gisborne </w:t>
      </w:r>
      <w:r w:rsidR="00813F4F">
        <w:rPr>
          <w:rFonts w:ascii="Calibri" w:hAnsi="Calibri"/>
        </w:rPr>
        <w:t xml:space="preserve">fell for the third consecutive month, down </w:t>
      </w:r>
      <w:r>
        <w:rPr>
          <w:rFonts w:ascii="Calibri" w:hAnsi="Calibri"/>
        </w:rPr>
        <w:t>6.7 per cent</w:t>
      </w:r>
      <w:r w:rsidR="00813F4F">
        <w:rPr>
          <w:rFonts w:ascii="Calibri" w:hAnsi="Calibri"/>
        </w:rPr>
        <w:t xml:space="preserve"> year-on-year</w:t>
      </w:r>
      <w:r>
        <w:rPr>
          <w:rFonts w:ascii="Calibri" w:hAnsi="Calibri"/>
        </w:rPr>
        <w:t xml:space="preserve">. </w:t>
      </w:r>
    </w:p>
    <w:p w:rsidR="00813F4F" w:rsidRDefault="00813F4F" w:rsidP="00771B1F">
      <w:pPr>
        <w:pStyle w:val="Body"/>
        <w:jc w:val="both"/>
        <w:rPr>
          <w:rFonts w:ascii="Calibri" w:hAnsi="Calibri"/>
        </w:rPr>
      </w:pPr>
    </w:p>
    <w:p w:rsidR="00771B1F" w:rsidRDefault="00813F4F" w:rsidP="00771B1F">
      <w:pPr>
        <w:pStyle w:val="Body"/>
        <w:jc w:val="both"/>
        <w:rPr>
          <w:rFonts w:ascii="Calibri" w:hAnsi="Calibri"/>
        </w:rPr>
      </w:pPr>
      <w:r>
        <w:rPr>
          <w:rFonts w:ascii="Calibri" w:hAnsi="Calibri"/>
        </w:rPr>
        <w:t xml:space="preserve">Asking rents in </w:t>
      </w:r>
      <w:r w:rsidR="003D7CE0">
        <w:rPr>
          <w:rFonts w:ascii="Calibri" w:hAnsi="Calibri"/>
        </w:rPr>
        <w:t>Marlborough</w:t>
      </w:r>
      <w:r>
        <w:rPr>
          <w:rFonts w:ascii="Calibri" w:hAnsi="Calibri"/>
        </w:rPr>
        <w:t xml:space="preserve"> tumbled </w:t>
      </w:r>
      <w:r w:rsidR="003D7CE0">
        <w:rPr>
          <w:rFonts w:ascii="Calibri" w:hAnsi="Calibri"/>
        </w:rPr>
        <w:t xml:space="preserve">10.0 per cent </w:t>
      </w:r>
      <w:r>
        <w:rPr>
          <w:rFonts w:ascii="Calibri" w:hAnsi="Calibri"/>
        </w:rPr>
        <w:t xml:space="preserve">since March 2014, </w:t>
      </w:r>
      <w:r w:rsidR="00BF4917">
        <w:rPr>
          <w:rFonts w:ascii="Calibri" w:hAnsi="Calibri"/>
        </w:rPr>
        <w:t xml:space="preserve">reversing a steady rise in rents over </w:t>
      </w:r>
      <w:r>
        <w:rPr>
          <w:rFonts w:ascii="Calibri" w:hAnsi="Calibri"/>
        </w:rPr>
        <w:t>2015</w:t>
      </w:r>
      <w:r w:rsidR="00BF4917">
        <w:rPr>
          <w:rFonts w:ascii="Calibri" w:hAnsi="Calibri"/>
        </w:rPr>
        <w:t>.</w:t>
      </w:r>
    </w:p>
    <w:p w:rsidR="00771B1F" w:rsidRDefault="00771B1F" w:rsidP="00771B1F">
      <w:pPr>
        <w:pStyle w:val="Body"/>
        <w:jc w:val="both"/>
        <w:rPr>
          <w:rFonts w:ascii="Calibri" w:hAnsi="Calibri"/>
        </w:rPr>
      </w:pPr>
      <w:r>
        <w:rPr>
          <w:rFonts w:ascii="Calibri" w:hAnsi="Calibri"/>
        </w:rPr>
        <w:t xml:space="preserve"> </w:t>
      </w:r>
    </w:p>
    <w:p w:rsidR="00771B1F" w:rsidRDefault="00771B1F" w:rsidP="00771B1F">
      <w:pPr>
        <w:pStyle w:val="Body"/>
        <w:jc w:val="both"/>
        <w:rPr>
          <w:rFonts w:ascii="Calibri" w:hAnsi="Calibri"/>
        </w:rPr>
      </w:pPr>
    </w:p>
    <w:p w:rsidR="00771B1F" w:rsidRDefault="00771B1F" w:rsidP="00771B1F">
      <w:pPr>
        <w:pStyle w:val="Body"/>
        <w:jc w:val="both"/>
        <w:rPr>
          <w:rFonts w:ascii="Calibri" w:hAnsi="Calibri"/>
        </w:rPr>
      </w:pPr>
    </w:p>
    <w:p w:rsidR="003532F0" w:rsidRDefault="003532F0" w:rsidP="00B85339">
      <w:pPr>
        <w:pStyle w:val="Body"/>
        <w:jc w:val="both"/>
        <w:rPr>
          <w:rFonts w:ascii="Calibri" w:hAnsi="Calibri"/>
        </w:rPr>
      </w:pPr>
    </w:p>
    <w:p w:rsidR="00F02DDD" w:rsidRDefault="00F02DDD" w:rsidP="00B85339">
      <w:pPr>
        <w:pStyle w:val="Body"/>
        <w:jc w:val="both"/>
        <w:rPr>
          <w:rFonts w:ascii="Calibri" w:hAnsi="Calibri"/>
        </w:rPr>
      </w:pPr>
    </w:p>
    <w:p w:rsidR="00F02DDD" w:rsidRDefault="00F02DDD" w:rsidP="00B85339">
      <w:pPr>
        <w:pStyle w:val="Body"/>
        <w:jc w:val="both"/>
        <w:rPr>
          <w:rFonts w:ascii="Calibri" w:hAnsi="Calibri"/>
        </w:rPr>
      </w:pPr>
    </w:p>
    <w:p w:rsidR="00F02DDD" w:rsidRPr="00B85339" w:rsidRDefault="00F02DDD" w:rsidP="00B85339">
      <w:pPr>
        <w:pStyle w:val="Body"/>
        <w:jc w:val="both"/>
        <w:rPr>
          <w:rFonts w:ascii="Calibri" w:hAnsi="Calibri"/>
        </w:rPr>
      </w:pPr>
    </w:p>
    <w:p w:rsidR="003532F0" w:rsidRDefault="00EC6361" w:rsidP="00B85339">
      <w:pPr>
        <w:pStyle w:val="Body"/>
        <w:jc w:val="both"/>
        <w:rPr>
          <w:rFonts w:ascii="Calibri" w:hAnsi="Calibri"/>
        </w:rPr>
      </w:pPr>
      <w:r>
        <w:rPr>
          <w:rFonts w:ascii="Calibri" w:hAnsi="Calibri"/>
          <w:noProof/>
          <w:lang w:val="en-NZ" w:eastAsia="en-NZ"/>
        </w:rPr>
        <w:lastRenderedPageBreak/>
        <w:drawing>
          <wp:inline distT="0" distB="0" distL="0" distR="0" wp14:anchorId="3FF2035B" wp14:editId="4277A13C">
            <wp:extent cx="6120130" cy="5638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3-YOY-Change-Mar-2015.gif"/>
                    <pic:cNvPicPr/>
                  </pic:nvPicPr>
                  <pic:blipFill>
                    <a:blip r:embed="rId11">
                      <a:extLst>
                        <a:ext uri="{28A0092B-C50C-407E-A947-70E740481C1C}">
                          <a14:useLocalDpi xmlns:a14="http://schemas.microsoft.com/office/drawing/2010/main" val="0"/>
                        </a:ext>
                      </a:extLst>
                    </a:blip>
                    <a:stretch>
                      <a:fillRect/>
                    </a:stretch>
                  </pic:blipFill>
                  <pic:spPr>
                    <a:xfrm>
                      <a:off x="0" y="0"/>
                      <a:ext cx="6120130" cy="5638800"/>
                    </a:xfrm>
                    <a:prstGeom prst="rect">
                      <a:avLst/>
                    </a:prstGeom>
                  </pic:spPr>
                </pic:pic>
              </a:graphicData>
            </a:graphic>
          </wp:inline>
        </w:drawing>
      </w:r>
    </w:p>
    <w:p w:rsidR="00F40D63" w:rsidRPr="00B85339" w:rsidRDefault="00F40D63" w:rsidP="00B85339">
      <w:pPr>
        <w:pStyle w:val="Body"/>
        <w:jc w:val="both"/>
        <w:rPr>
          <w:rFonts w:ascii="Calibri" w:hAnsi="Calibri"/>
        </w:rPr>
      </w:pPr>
    </w:p>
    <w:p w:rsidR="00A660AD" w:rsidRDefault="00A660AD" w:rsidP="00B85339">
      <w:pPr>
        <w:pStyle w:val="Body"/>
        <w:jc w:val="both"/>
        <w:rPr>
          <w:rFonts w:ascii="Calibri" w:hAnsi="Calibri"/>
          <w:b/>
        </w:rPr>
      </w:pPr>
    </w:p>
    <w:p w:rsidR="00F02DDD" w:rsidRDefault="00F02DDD" w:rsidP="00B85339">
      <w:pPr>
        <w:pStyle w:val="Body"/>
        <w:jc w:val="both"/>
        <w:rPr>
          <w:rFonts w:ascii="Calibri" w:hAnsi="Calibri"/>
          <w:b/>
        </w:rPr>
      </w:pPr>
    </w:p>
    <w:p w:rsidR="00E258B2" w:rsidRPr="00B85339" w:rsidRDefault="00E258B2" w:rsidP="00E258B2">
      <w:pPr>
        <w:pStyle w:val="Body"/>
        <w:jc w:val="both"/>
        <w:rPr>
          <w:rFonts w:ascii="Calibri" w:hAnsi="Calibri"/>
          <w:b/>
        </w:rPr>
      </w:pPr>
      <w:r>
        <w:rPr>
          <w:rFonts w:ascii="Calibri" w:hAnsi="Calibri"/>
          <w:b/>
        </w:rPr>
        <w:t xml:space="preserve">Auckland and </w:t>
      </w:r>
      <w:r w:rsidR="00591E87">
        <w:rPr>
          <w:rFonts w:ascii="Calibri" w:hAnsi="Calibri"/>
          <w:b/>
        </w:rPr>
        <w:t>Christchurch driving the increases in rents</w:t>
      </w:r>
      <w:r w:rsidRPr="00B85339">
        <w:rPr>
          <w:rFonts w:ascii="Calibri" w:hAnsi="Calibri"/>
          <w:b/>
        </w:rPr>
        <w:t xml:space="preserve"> </w:t>
      </w:r>
    </w:p>
    <w:p w:rsidR="00E258B2" w:rsidRPr="00B85339" w:rsidRDefault="00E258B2" w:rsidP="00E258B2">
      <w:pPr>
        <w:pStyle w:val="Body"/>
        <w:jc w:val="both"/>
        <w:rPr>
          <w:rFonts w:ascii="Calibri" w:hAnsi="Calibri"/>
        </w:rPr>
      </w:pPr>
    </w:p>
    <w:p w:rsidR="00E258B2" w:rsidRDefault="0021513B" w:rsidP="00E258B2">
      <w:pPr>
        <w:pStyle w:val="Body"/>
        <w:jc w:val="both"/>
        <w:rPr>
          <w:rFonts w:ascii="Calibri" w:hAnsi="Calibri"/>
        </w:rPr>
      </w:pPr>
      <w:r>
        <w:rPr>
          <w:rFonts w:ascii="Calibri" w:hAnsi="Calibri"/>
        </w:rPr>
        <w:t>The market for 3 and 4 bedroom properties represent the largest segment of the rental market accounting for over 4 out of 10 properties for rent, they also represent the most dynamic segment of the market rising 9.3 per cent in the past year from $430 to $470 a week</w:t>
      </w:r>
      <w:r w:rsidR="00E258B2">
        <w:rPr>
          <w:rFonts w:ascii="Calibri" w:hAnsi="Calibri"/>
        </w:rPr>
        <w:t xml:space="preserve">. </w:t>
      </w:r>
    </w:p>
    <w:p w:rsidR="00E258B2" w:rsidRDefault="00E258B2" w:rsidP="00E258B2">
      <w:pPr>
        <w:pStyle w:val="Body"/>
        <w:jc w:val="both"/>
        <w:rPr>
          <w:rFonts w:ascii="Calibri" w:hAnsi="Calibri"/>
        </w:rPr>
      </w:pPr>
    </w:p>
    <w:p w:rsidR="00E258B2" w:rsidRDefault="00E258B2" w:rsidP="00E258B2">
      <w:pPr>
        <w:pStyle w:val="Body"/>
        <w:jc w:val="both"/>
        <w:rPr>
          <w:rFonts w:ascii="Calibri" w:hAnsi="Calibri"/>
        </w:rPr>
      </w:pPr>
      <w:proofErr w:type="spellStart"/>
      <w:r>
        <w:rPr>
          <w:rFonts w:ascii="Calibri" w:hAnsi="Calibri"/>
        </w:rPr>
        <w:t>Mr</w:t>
      </w:r>
      <w:proofErr w:type="spellEnd"/>
      <w:r>
        <w:rPr>
          <w:rFonts w:ascii="Calibri" w:hAnsi="Calibri"/>
        </w:rPr>
        <w:t xml:space="preserve"> Jeffries said this strength in this </w:t>
      </w:r>
      <w:r w:rsidR="00B259C9">
        <w:rPr>
          <w:rFonts w:ascii="Calibri" w:hAnsi="Calibri"/>
        </w:rPr>
        <w:t>segment</w:t>
      </w:r>
      <w:r>
        <w:rPr>
          <w:rFonts w:ascii="Calibri" w:hAnsi="Calibri"/>
        </w:rPr>
        <w:t xml:space="preserve"> of the market was most pronounced in Auckland and </w:t>
      </w:r>
      <w:r w:rsidR="00B259C9">
        <w:rPr>
          <w:rFonts w:ascii="Calibri" w:hAnsi="Calibri"/>
        </w:rPr>
        <w:t>Christchurch</w:t>
      </w:r>
      <w:r>
        <w:rPr>
          <w:rFonts w:ascii="Calibri" w:hAnsi="Calibri"/>
        </w:rPr>
        <w:t xml:space="preserve">. “These properties </w:t>
      </w:r>
      <w:r w:rsidR="00B259C9">
        <w:rPr>
          <w:rFonts w:ascii="Calibri" w:hAnsi="Calibri"/>
        </w:rPr>
        <w:t>are the touch point of the market and are commanding the largest rent increases, a medium sized property has risen by $50 a week in Auckland over the past year to a new record high of $550. Christchurch 3 and 4 bedroom properties which in the month of March made up nearly half of all properties rented</w:t>
      </w:r>
      <w:r w:rsidR="00530431">
        <w:rPr>
          <w:rFonts w:ascii="Calibri" w:hAnsi="Calibri"/>
        </w:rPr>
        <w:t>,</w:t>
      </w:r>
      <w:r w:rsidR="00B259C9">
        <w:rPr>
          <w:rFonts w:ascii="Calibri" w:hAnsi="Calibri"/>
        </w:rPr>
        <w:t xml:space="preserve"> saw rents rise over the past year by $70 to top Auckland’s rent at $560 a week representing a 14.3 per cent rise</w:t>
      </w:r>
      <w:r>
        <w:rPr>
          <w:rFonts w:ascii="Calibri" w:hAnsi="Calibri"/>
        </w:rPr>
        <w:t>”</w:t>
      </w:r>
    </w:p>
    <w:p w:rsidR="00E258B2" w:rsidRDefault="00E258B2" w:rsidP="00E258B2">
      <w:pPr>
        <w:pStyle w:val="Body"/>
        <w:jc w:val="both"/>
        <w:rPr>
          <w:rFonts w:ascii="Calibri" w:hAnsi="Calibri"/>
        </w:rPr>
      </w:pPr>
    </w:p>
    <w:p w:rsidR="00C4286D" w:rsidRDefault="00E258B2" w:rsidP="00B259C9">
      <w:pPr>
        <w:pStyle w:val="Body"/>
        <w:jc w:val="both"/>
        <w:rPr>
          <w:rFonts w:ascii="Calibri" w:hAnsi="Calibri"/>
          <w:i/>
          <w:sz w:val="20"/>
          <w:szCs w:val="20"/>
          <w:lang w:eastAsia="en-NZ"/>
        </w:rPr>
      </w:pPr>
      <w:proofErr w:type="spellStart"/>
      <w:r>
        <w:rPr>
          <w:rFonts w:ascii="Calibri" w:hAnsi="Calibri"/>
        </w:rPr>
        <w:t>Mr</w:t>
      </w:r>
      <w:proofErr w:type="spellEnd"/>
      <w:r>
        <w:rPr>
          <w:rFonts w:ascii="Calibri" w:hAnsi="Calibri"/>
        </w:rPr>
        <w:t xml:space="preserve"> Jeffries said the Christchurch rental market </w:t>
      </w:r>
      <w:r w:rsidR="00B259C9">
        <w:rPr>
          <w:rFonts w:ascii="Calibri" w:hAnsi="Calibri"/>
        </w:rPr>
        <w:t xml:space="preserve">had begun to </w:t>
      </w:r>
      <w:r>
        <w:rPr>
          <w:rFonts w:ascii="Calibri" w:hAnsi="Calibri"/>
        </w:rPr>
        <w:t>show signs of easing</w:t>
      </w:r>
      <w:r w:rsidR="00B259C9">
        <w:rPr>
          <w:rFonts w:ascii="Calibri" w:hAnsi="Calibri"/>
        </w:rPr>
        <w:t xml:space="preserve">, however the March figures “certainly indicate that the market is active with strong transaction activity </w:t>
      </w:r>
      <w:r w:rsidR="00530431">
        <w:rPr>
          <w:rFonts w:ascii="Calibri" w:hAnsi="Calibri"/>
        </w:rPr>
        <w:t xml:space="preserve">driven by increased supply </w:t>
      </w:r>
      <w:r w:rsidR="00B259C9">
        <w:rPr>
          <w:rFonts w:ascii="Calibri" w:hAnsi="Calibri"/>
        </w:rPr>
        <w:t>matched to</w:t>
      </w:r>
      <w:r w:rsidR="00530431">
        <w:rPr>
          <w:rFonts w:ascii="Calibri" w:hAnsi="Calibri"/>
        </w:rPr>
        <w:t xml:space="preserve"> strong</w:t>
      </w:r>
      <w:r w:rsidR="00B259C9">
        <w:rPr>
          <w:rFonts w:ascii="Calibri" w:hAnsi="Calibri"/>
        </w:rPr>
        <w:t xml:space="preserve"> demand with landlords leveraging some significant increases in rents”</w:t>
      </w:r>
      <w:r>
        <w:rPr>
          <w:rFonts w:ascii="Calibri" w:hAnsi="Calibri"/>
        </w:rPr>
        <w:t>.</w:t>
      </w:r>
      <w:r w:rsidR="00C4286D">
        <w:rPr>
          <w:rFonts w:ascii="Calibri" w:hAnsi="Calibri"/>
          <w:i/>
          <w:sz w:val="20"/>
          <w:szCs w:val="20"/>
          <w:lang w:eastAsia="en-NZ"/>
        </w:rPr>
        <w:br w:type="page"/>
      </w:r>
    </w:p>
    <w:p w:rsidR="008A32B2" w:rsidRDefault="008A32B2" w:rsidP="008A32B2">
      <w:pPr>
        <w:pStyle w:val="Body"/>
        <w:rPr>
          <w:rFonts w:ascii="Calibri" w:hAnsi="Calibri"/>
          <w:i/>
          <w:sz w:val="20"/>
          <w:szCs w:val="20"/>
        </w:rPr>
      </w:pPr>
    </w:p>
    <w:p w:rsidR="008A32B2" w:rsidRPr="0040184F" w:rsidRDefault="008A32B2" w:rsidP="008A32B2">
      <w:pPr>
        <w:pStyle w:val="Body"/>
        <w:rPr>
          <w:rFonts w:ascii="Calibri" w:hAnsi="Calibri"/>
          <w:i/>
          <w:sz w:val="20"/>
          <w:szCs w:val="20"/>
        </w:rPr>
      </w:pPr>
      <w:r w:rsidRPr="0040184F">
        <w:rPr>
          <w:rFonts w:ascii="Calibri" w:hAnsi="Calibri"/>
          <w:i/>
          <w:sz w:val="20"/>
          <w:szCs w:val="20"/>
        </w:rPr>
        <w:t>Table 1: Median weekly rent by property size &amp; region</w:t>
      </w:r>
    </w:p>
    <w:p w:rsidR="008A32B2" w:rsidRPr="0040184F" w:rsidRDefault="008A32B2" w:rsidP="008A32B2">
      <w:pPr>
        <w:pStyle w:val="Body"/>
        <w:rPr>
          <w:rFonts w:ascii="Calibri" w:hAnsi="Calibri"/>
          <w:i/>
          <w:sz w:val="20"/>
          <w:szCs w:val="20"/>
        </w:rPr>
      </w:pPr>
    </w:p>
    <w:tbl>
      <w:tblPr>
        <w:tblStyle w:val="LightShading-Accent1"/>
        <w:tblW w:w="0" w:type="auto"/>
        <w:tblCellSpacing w:w="57" w:type="dxa"/>
        <w:tblCellMar>
          <w:top w:w="115" w:type="dxa"/>
          <w:left w:w="115" w:type="dxa"/>
          <w:bottom w:w="115" w:type="dxa"/>
          <w:right w:w="115" w:type="dxa"/>
        </w:tblCellMar>
        <w:tblLook w:val="04A0" w:firstRow="1" w:lastRow="0" w:firstColumn="1" w:lastColumn="0" w:noHBand="0" w:noVBand="1"/>
      </w:tblPr>
      <w:tblGrid>
        <w:gridCol w:w="1958"/>
        <w:gridCol w:w="1868"/>
        <w:gridCol w:w="1890"/>
        <w:gridCol w:w="1920"/>
        <w:gridCol w:w="2002"/>
      </w:tblGrid>
      <w:tr w:rsidR="008A32B2" w:rsidRPr="0040184F" w:rsidTr="00DD07FD">
        <w:trPr>
          <w:cnfStyle w:val="100000000000" w:firstRow="1" w:lastRow="0" w:firstColumn="0" w:lastColumn="0" w:oddVBand="0" w:evenVBand="0" w:oddHBand="0" w:evenHBand="0" w:firstRowFirstColumn="0" w:firstRowLastColumn="0" w:lastRowFirstColumn="0" w:lastRowLastColumn="0"/>
          <w:tblCellSpacing w:w="57" w:type="dxa"/>
        </w:trPr>
        <w:tc>
          <w:tcPr>
            <w:cnfStyle w:val="001000000000" w:firstRow="0" w:lastRow="0" w:firstColumn="1" w:lastColumn="0" w:oddVBand="0" w:evenVBand="0" w:oddHBand="0" w:evenHBand="0" w:firstRowFirstColumn="0" w:firstRowLastColumn="0" w:lastRowFirstColumn="0" w:lastRowLastColumn="0"/>
            <w:tcW w:w="1787" w:type="dxa"/>
          </w:tcPr>
          <w:p w:rsidR="008A32B2" w:rsidRPr="0040184F" w:rsidRDefault="008A32B2" w:rsidP="00DD07FD">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sz w:val="20"/>
                <w:szCs w:val="20"/>
              </w:rPr>
            </w:pPr>
          </w:p>
        </w:tc>
        <w:tc>
          <w:tcPr>
            <w:tcW w:w="1754" w:type="dxa"/>
            <w:shd w:val="clear" w:color="auto" w:fill="E5E5E5" w:themeFill="background2" w:themeFillTint="66"/>
          </w:tcPr>
          <w:p w:rsidR="008A32B2" w:rsidRPr="0040184F" w:rsidRDefault="008A32B2" w:rsidP="00DD07FD">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40184F">
              <w:rPr>
                <w:rFonts w:ascii="Calibri" w:hAnsi="Calibri"/>
                <w:sz w:val="20"/>
                <w:szCs w:val="20"/>
              </w:rPr>
              <w:t>New Zealand</w:t>
            </w:r>
          </w:p>
        </w:tc>
        <w:tc>
          <w:tcPr>
            <w:tcW w:w="1776" w:type="dxa"/>
            <w:shd w:val="clear" w:color="auto" w:fill="E5E5E5" w:themeFill="background2" w:themeFillTint="66"/>
          </w:tcPr>
          <w:p w:rsidR="008A32B2" w:rsidRPr="0040184F" w:rsidRDefault="008A32B2" w:rsidP="00DD07FD">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40184F">
              <w:rPr>
                <w:rFonts w:ascii="Calibri" w:hAnsi="Calibri"/>
                <w:sz w:val="20"/>
                <w:szCs w:val="20"/>
              </w:rPr>
              <w:t>Auckland</w:t>
            </w:r>
          </w:p>
        </w:tc>
        <w:tc>
          <w:tcPr>
            <w:tcW w:w="1806" w:type="dxa"/>
            <w:shd w:val="clear" w:color="auto" w:fill="E5E5E5" w:themeFill="background2" w:themeFillTint="66"/>
          </w:tcPr>
          <w:p w:rsidR="008A32B2" w:rsidRPr="0040184F" w:rsidRDefault="008A32B2" w:rsidP="00DD07FD">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40184F">
              <w:rPr>
                <w:rFonts w:ascii="Calibri" w:hAnsi="Calibri"/>
                <w:sz w:val="20"/>
                <w:szCs w:val="20"/>
              </w:rPr>
              <w:t>Wellington</w:t>
            </w:r>
          </w:p>
        </w:tc>
        <w:tc>
          <w:tcPr>
            <w:tcW w:w="1831" w:type="dxa"/>
            <w:shd w:val="clear" w:color="auto" w:fill="E5E5E5" w:themeFill="background2" w:themeFillTint="66"/>
          </w:tcPr>
          <w:p w:rsidR="008A32B2" w:rsidRPr="0040184F" w:rsidRDefault="008A32B2" w:rsidP="00DD07FD">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40184F">
              <w:rPr>
                <w:rFonts w:ascii="Calibri" w:hAnsi="Calibri"/>
                <w:sz w:val="20"/>
                <w:szCs w:val="20"/>
              </w:rPr>
              <w:t>Christchurch</w:t>
            </w:r>
          </w:p>
        </w:tc>
      </w:tr>
      <w:tr w:rsidR="008A32B2" w:rsidRPr="0040184F" w:rsidTr="00DD07FD">
        <w:trPr>
          <w:cnfStyle w:val="000000100000" w:firstRow="0" w:lastRow="0" w:firstColumn="0" w:lastColumn="0" w:oddVBand="0" w:evenVBand="0" w:oddHBand="1" w:evenHBand="0" w:firstRowFirstColumn="0" w:firstRowLastColumn="0" w:lastRowFirstColumn="0" w:lastRowLastColumn="0"/>
          <w:tblCellSpacing w:w="57" w:type="dxa"/>
        </w:trPr>
        <w:tc>
          <w:tcPr>
            <w:cnfStyle w:val="001000000000" w:firstRow="0" w:lastRow="0" w:firstColumn="1" w:lastColumn="0" w:oddVBand="0" w:evenVBand="0" w:oddHBand="0" w:evenHBand="0" w:firstRowFirstColumn="0" w:firstRowLastColumn="0" w:lastRowFirstColumn="0" w:lastRowLastColumn="0"/>
            <w:tcW w:w="1787" w:type="dxa"/>
            <w:shd w:val="clear" w:color="auto" w:fill="E5E5E5" w:themeFill="background2" w:themeFillTint="66"/>
          </w:tcPr>
          <w:p w:rsidR="008A32B2" w:rsidRPr="0040184F" w:rsidRDefault="008A32B2" w:rsidP="00DD07F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0"/>
                <w:szCs w:val="20"/>
              </w:rPr>
            </w:pPr>
            <w:r w:rsidRPr="0040184F">
              <w:rPr>
                <w:rFonts w:ascii="Calibri" w:hAnsi="Calibri"/>
                <w:sz w:val="20"/>
                <w:szCs w:val="20"/>
              </w:rPr>
              <w:t>Large houses</w:t>
            </w:r>
            <w:r w:rsidRPr="0040184F">
              <w:rPr>
                <w:rFonts w:ascii="Calibri" w:hAnsi="Calibri"/>
                <w:sz w:val="20"/>
                <w:szCs w:val="20"/>
              </w:rPr>
              <w:br/>
            </w:r>
            <w:r w:rsidRPr="0040184F">
              <w:rPr>
                <w:rFonts w:ascii="Calibri" w:hAnsi="Calibri"/>
                <w:b w:val="0"/>
                <w:sz w:val="20"/>
                <w:szCs w:val="20"/>
              </w:rPr>
              <w:t>5+ bedrooms</w:t>
            </w:r>
          </w:p>
        </w:tc>
        <w:tc>
          <w:tcPr>
            <w:tcW w:w="1754" w:type="dxa"/>
            <w:shd w:val="clear" w:color="auto" w:fill="FFFFFF" w:themeFill="background1"/>
          </w:tcPr>
          <w:p w:rsidR="008A32B2" w:rsidRPr="0040184F" w:rsidRDefault="00436023" w:rsidP="00DD07FD">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$680</w:t>
            </w:r>
            <w:r>
              <w:rPr>
                <w:rFonts w:ascii="Calibri" w:hAnsi="Calibri"/>
                <w:sz w:val="20"/>
                <w:szCs w:val="20"/>
              </w:rPr>
              <w:br/>
              <w:t>+ 4.6</w:t>
            </w:r>
            <w:r w:rsidR="008A32B2" w:rsidRPr="0040184F">
              <w:rPr>
                <w:rFonts w:ascii="Calibri" w:hAnsi="Calibri"/>
                <w:sz w:val="20"/>
                <w:szCs w:val="20"/>
              </w:rPr>
              <w:t>%</w:t>
            </w:r>
          </w:p>
        </w:tc>
        <w:tc>
          <w:tcPr>
            <w:tcW w:w="1776" w:type="dxa"/>
            <w:shd w:val="clear" w:color="auto" w:fill="FFFFFF" w:themeFill="background1"/>
          </w:tcPr>
          <w:p w:rsidR="008A32B2" w:rsidRPr="0040184F" w:rsidRDefault="00436023" w:rsidP="00DD07FD">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$733</w:t>
            </w:r>
            <w:r>
              <w:rPr>
                <w:rFonts w:ascii="Calibri" w:hAnsi="Calibri"/>
                <w:sz w:val="20"/>
                <w:szCs w:val="20"/>
              </w:rPr>
              <w:br/>
              <w:t>+ 4.6</w:t>
            </w:r>
            <w:r w:rsidR="008A32B2" w:rsidRPr="0040184F">
              <w:rPr>
                <w:rFonts w:ascii="Calibri" w:hAnsi="Calibri"/>
                <w:sz w:val="20"/>
                <w:szCs w:val="20"/>
              </w:rPr>
              <w:t>%</w:t>
            </w:r>
          </w:p>
        </w:tc>
        <w:tc>
          <w:tcPr>
            <w:tcW w:w="1806" w:type="dxa"/>
            <w:shd w:val="clear" w:color="auto" w:fill="FFFFFF" w:themeFill="background1"/>
          </w:tcPr>
          <w:p w:rsidR="008A32B2" w:rsidRPr="0040184F" w:rsidRDefault="00436023" w:rsidP="00DD07FD">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alibri" w:hAnsi="Calibri"/>
                <w:color w:val="auto"/>
                <w:sz w:val="20"/>
                <w:szCs w:val="20"/>
              </w:rPr>
            </w:pPr>
            <w:r>
              <w:rPr>
                <w:rFonts w:ascii="Calibri" w:hAnsi="Calibri"/>
                <w:color w:val="auto"/>
                <w:sz w:val="20"/>
                <w:szCs w:val="20"/>
              </w:rPr>
              <w:t>$750</w:t>
            </w:r>
            <w:r w:rsidR="008A32B2">
              <w:rPr>
                <w:rFonts w:ascii="Calibri" w:hAnsi="Calibri"/>
                <w:color w:val="auto"/>
                <w:sz w:val="20"/>
                <w:szCs w:val="20"/>
              </w:rPr>
              <w:br/>
            </w:r>
            <w:r>
              <w:rPr>
                <w:rFonts w:ascii="Calibri" w:hAnsi="Calibri"/>
                <w:sz w:val="20"/>
                <w:szCs w:val="20"/>
              </w:rPr>
              <w:t>+ 8.7</w:t>
            </w:r>
            <w:r w:rsidR="00025EFE">
              <w:rPr>
                <w:rFonts w:ascii="Calibri" w:hAnsi="Calibri"/>
                <w:sz w:val="20"/>
                <w:szCs w:val="20"/>
              </w:rPr>
              <w:t>%</w:t>
            </w:r>
            <w:r w:rsidR="008A32B2" w:rsidRPr="0040184F">
              <w:rPr>
                <w:rFonts w:ascii="Calibri" w:hAnsi="Calibri"/>
                <w:color w:val="auto"/>
                <w:sz w:val="20"/>
                <w:szCs w:val="20"/>
              </w:rPr>
              <w:tab/>
            </w:r>
          </w:p>
        </w:tc>
        <w:tc>
          <w:tcPr>
            <w:tcW w:w="1831" w:type="dxa"/>
            <w:shd w:val="clear" w:color="auto" w:fill="FFFFFF" w:themeFill="background1"/>
          </w:tcPr>
          <w:p w:rsidR="008A32B2" w:rsidRPr="0040184F" w:rsidRDefault="00436023" w:rsidP="00025EF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$750</w:t>
            </w:r>
            <w:r w:rsidR="008A32B2">
              <w:rPr>
                <w:rFonts w:ascii="Calibri" w:hAnsi="Calibri"/>
                <w:sz w:val="20"/>
                <w:szCs w:val="20"/>
              </w:rPr>
              <w:br/>
            </w:r>
            <w:r>
              <w:rPr>
                <w:rFonts w:ascii="Calibri" w:hAnsi="Calibri"/>
                <w:sz w:val="20"/>
                <w:szCs w:val="20"/>
              </w:rPr>
              <w:t>No Change</w:t>
            </w:r>
          </w:p>
        </w:tc>
      </w:tr>
      <w:tr w:rsidR="008A32B2" w:rsidRPr="0040184F" w:rsidTr="00DD07FD">
        <w:trPr>
          <w:tblCellSpacing w:w="57" w:type="dxa"/>
        </w:trPr>
        <w:tc>
          <w:tcPr>
            <w:cnfStyle w:val="001000000000" w:firstRow="0" w:lastRow="0" w:firstColumn="1" w:lastColumn="0" w:oddVBand="0" w:evenVBand="0" w:oddHBand="0" w:evenHBand="0" w:firstRowFirstColumn="0" w:firstRowLastColumn="0" w:lastRowFirstColumn="0" w:lastRowLastColumn="0"/>
            <w:tcW w:w="1787" w:type="dxa"/>
            <w:shd w:val="clear" w:color="auto" w:fill="E5E5E5" w:themeFill="background2" w:themeFillTint="66"/>
          </w:tcPr>
          <w:p w:rsidR="008A32B2" w:rsidRPr="0040184F" w:rsidRDefault="008A32B2" w:rsidP="00DD07F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0"/>
                <w:szCs w:val="20"/>
              </w:rPr>
            </w:pPr>
            <w:r w:rsidRPr="0040184F">
              <w:rPr>
                <w:rFonts w:ascii="Calibri" w:hAnsi="Calibri"/>
                <w:sz w:val="20"/>
                <w:szCs w:val="20"/>
              </w:rPr>
              <w:t>Medium houses</w:t>
            </w:r>
          </w:p>
          <w:p w:rsidR="008A32B2" w:rsidRPr="0040184F" w:rsidRDefault="008A32B2" w:rsidP="00DD07F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b w:val="0"/>
                <w:sz w:val="20"/>
                <w:szCs w:val="20"/>
              </w:rPr>
            </w:pPr>
            <w:r w:rsidRPr="0040184F">
              <w:rPr>
                <w:rFonts w:ascii="Calibri" w:hAnsi="Calibri"/>
                <w:b w:val="0"/>
                <w:sz w:val="20"/>
                <w:szCs w:val="20"/>
              </w:rPr>
              <w:t>3-4 bedrooms</w:t>
            </w:r>
          </w:p>
        </w:tc>
        <w:tc>
          <w:tcPr>
            <w:tcW w:w="1754" w:type="dxa"/>
            <w:shd w:val="clear" w:color="auto" w:fill="FFFFFF" w:themeFill="background1"/>
          </w:tcPr>
          <w:p w:rsidR="008A32B2" w:rsidRPr="0040184F" w:rsidRDefault="00436023" w:rsidP="00DD07FD">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$470</w:t>
            </w:r>
            <w:r>
              <w:rPr>
                <w:rFonts w:ascii="Calibri" w:hAnsi="Calibri"/>
                <w:sz w:val="20"/>
                <w:szCs w:val="20"/>
              </w:rPr>
              <w:br/>
              <w:t>+ 9.3</w:t>
            </w:r>
            <w:r w:rsidR="008A32B2" w:rsidRPr="0040184F">
              <w:rPr>
                <w:rFonts w:ascii="Calibri" w:hAnsi="Calibri"/>
                <w:sz w:val="20"/>
                <w:szCs w:val="20"/>
              </w:rPr>
              <w:t>%</w:t>
            </w:r>
          </w:p>
        </w:tc>
        <w:tc>
          <w:tcPr>
            <w:tcW w:w="1776" w:type="dxa"/>
            <w:shd w:val="clear" w:color="auto" w:fill="FFFFFF" w:themeFill="background1"/>
          </w:tcPr>
          <w:p w:rsidR="008A32B2" w:rsidRPr="0040184F" w:rsidRDefault="00436023" w:rsidP="00DD07FD">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$550</w:t>
            </w:r>
            <w:r>
              <w:rPr>
                <w:rFonts w:ascii="Calibri" w:hAnsi="Calibri"/>
                <w:sz w:val="20"/>
                <w:szCs w:val="20"/>
              </w:rPr>
              <w:br/>
              <w:t>+ 10.0</w:t>
            </w:r>
            <w:r w:rsidR="008A32B2" w:rsidRPr="0040184F">
              <w:rPr>
                <w:rFonts w:ascii="Calibri" w:hAnsi="Calibri"/>
                <w:sz w:val="20"/>
                <w:szCs w:val="20"/>
              </w:rPr>
              <w:t>%</w:t>
            </w:r>
          </w:p>
        </w:tc>
        <w:tc>
          <w:tcPr>
            <w:tcW w:w="1806" w:type="dxa"/>
            <w:shd w:val="clear" w:color="auto" w:fill="FFFFFF" w:themeFill="background1"/>
          </w:tcPr>
          <w:p w:rsidR="008A32B2" w:rsidRPr="0040184F" w:rsidRDefault="00436023" w:rsidP="00DD07FD">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$480</w:t>
            </w:r>
            <w:r>
              <w:rPr>
                <w:rFonts w:ascii="Calibri" w:hAnsi="Calibri"/>
                <w:sz w:val="20"/>
                <w:szCs w:val="20"/>
              </w:rPr>
              <w:br/>
              <w:t>No Change</w:t>
            </w:r>
          </w:p>
        </w:tc>
        <w:tc>
          <w:tcPr>
            <w:tcW w:w="1831" w:type="dxa"/>
            <w:shd w:val="clear" w:color="auto" w:fill="FFFFFF" w:themeFill="background1"/>
          </w:tcPr>
          <w:p w:rsidR="008A32B2" w:rsidRPr="0040184F" w:rsidRDefault="00436023" w:rsidP="00436023">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$560</w:t>
            </w:r>
            <w:r w:rsidR="00025EFE">
              <w:rPr>
                <w:rFonts w:ascii="Calibri" w:hAnsi="Calibri"/>
                <w:sz w:val="20"/>
                <w:szCs w:val="20"/>
              </w:rPr>
              <w:br/>
              <w:t xml:space="preserve">+ </w:t>
            </w:r>
            <w:r>
              <w:rPr>
                <w:rFonts w:ascii="Calibri" w:hAnsi="Calibri"/>
                <w:sz w:val="20"/>
                <w:szCs w:val="20"/>
              </w:rPr>
              <w:t>14</w:t>
            </w:r>
            <w:r w:rsidR="008A32B2">
              <w:rPr>
                <w:rFonts w:ascii="Calibri" w:hAnsi="Calibri"/>
                <w:sz w:val="20"/>
                <w:szCs w:val="20"/>
              </w:rPr>
              <w:t>.</w:t>
            </w:r>
            <w:r>
              <w:rPr>
                <w:rFonts w:ascii="Calibri" w:hAnsi="Calibri"/>
                <w:sz w:val="20"/>
                <w:szCs w:val="20"/>
              </w:rPr>
              <w:t>3</w:t>
            </w:r>
            <w:r w:rsidR="008A32B2" w:rsidRPr="0040184F">
              <w:rPr>
                <w:rFonts w:ascii="Calibri" w:hAnsi="Calibri"/>
                <w:sz w:val="20"/>
                <w:szCs w:val="20"/>
              </w:rPr>
              <w:t>%</w:t>
            </w:r>
          </w:p>
        </w:tc>
      </w:tr>
      <w:tr w:rsidR="008A32B2" w:rsidRPr="0040184F" w:rsidTr="00DD07FD">
        <w:trPr>
          <w:cnfStyle w:val="000000100000" w:firstRow="0" w:lastRow="0" w:firstColumn="0" w:lastColumn="0" w:oddVBand="0" w:evenVBand="0" w:oddHBand="1" w:evenHBand="0" w:firstRowFirstColumn="0" w:firstRowLastColumn="0" w:lastRowFirstColumn="0" w:lastRowLastColumn="0"/>
          <w:trHeight w:val="242"/>
          <w:tblCellSpacing w:w="57" w:type="dxa"/>
        </w:trPr>
        <w:tc>
          <w:tcPr>
            <w:cnfStyle w:val="001000000000" w:firstRow="0" w:lastRow="0" w:firstColumn="1" w:lastColumn="0" w:oddVBand="0" w:evenVBand="0" w:oddHBand="0" w:evenHBand="0" w:firstRowFirstColumn="0" w:firstRowLastColumn="0" w:lastRowFirstColumn="0" w:lastRowLastColumn="0"/>
            <w:tcW w:w="1787" w:type="dxa"/>
            <w:shd w:val="clear" w:color="auto" w:fill="E5E5E5" w:themeFill="background2" w:themeFillTint="66"/>
          </w:tcPr>
          <w:p w:rsidR="008A32B2" w:rsidRPr="0040184F" w:rsidRDefault="008A32B2" w:rsidP="00DD07F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0"/>
                <w:szCs w:val="20"/>
              </w:rPr>
            </w:pPr>
            <w:r w:rsidRPr="0040184F">
              <w:rPr>
                <w:rFonts w:ascii="Calibri" w:hAnsi="Calibri"/>
                <w:sz w:val="20"/>
                <w:szCs w:val="20"/>
              </w:rPr>
              <w:t>Small houses</w:t>
            </w:r>
          </w:p>
          <w:p w:rsidR="008A32B2" w:rsidRPr="0040184F" w:rsidRDefault="008A32B2" w:rsidP="00DD07F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b w:val="0"/>
                <w:sz w:val="20"/>
                <w:szCs w:val="20"/>
              </w:rPr>
            </w:pPr>
            <w:r w:rsidRPr="0040184F">
              <w:rPr>
                <w:rFonts w:ascii="Calibri" w:hAnsi="Calibri"/>
                <w:b w:val="0"/>
                <w:sz w:val="20"/>
                <w:szCs w:val="20"/>
              </w:rPr>
              <w:t>1-2 bedrooms</w:t>
            </w:r>
          </w:p>
        </w:tc>
        <w:tc>
          <w:tcPr>
            <w:tcW w:w="1754" w:type="dxa"/>
            <w:shd w:val="clear" w:color="auto" w:fill="FFFFFF" w:themeFill="background1"/>
          </w:tcPr>
          <w:p w:rsidR="008A32B2" w:rsidRPr="0040184F" w:rsidRDefault="00436023" w:rsidP="00DD07FD">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$320</w:t>
            </w:r>
            <w:r>
              <w:rPr>
                <w:rFonts w:ascii="Calibri" w:hAnsi="Calibri"/>
                <w:sz w:val="20"/>
                <w:szCs w:val="20"/>
              </w:rPr>
              <w:br/>
              <w:t>+ 3.2</w:t>
            </w:r>
            <w:r w:rsidR="008A32B2">
              <w:rPr>
                <w:rFonts w:ascii="Calibri" w:hAnsi="Calibri"/>
                <w:sz w:val="20"/>
                <w:szCs w:val="20"/>
              </w:rPr>
              <w:t>%</w:t>
            </w:r>
            <w:r w:rsidR="008A32B2" w:rsidRPr="0040184F">
              <w:rPr>
                <w:rFonts w:ascii="Calibri" w:hAnsi="Calibri"/>
                <w:sz w:val="20"/>
                <w:szCs w:val="20"/>
              </w:rPr>
              <w:tab/>
            </w:r>
          </w:p>
        </w:tc>
        <w:tc>
          <w:tcPr>
            <w:tcW w:w="1776" w:type="dxa"/>
            <w:shd w:val="clear" w:color="auto" w:fill="FFFFFF" w:themeFill="background1"/>
          </w:tcPr>
          <w:p w:rsidR="008A32B2" w:rsidRPr="0040184F" w:rsidRDefault="008A32B2" w:rsidP="00DD07FD">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$390</w:t>
            </w:r>
            <w:r>
              <w:rPr>
                <w:rFonts w:ascii="Calibri" w:hAnsi="Calibri"/>
                <w:sz w:val="20"/>
                <w:szCs w:val="20"/>
              </w:rPr>
              <w:br/>
              <w:t>+ 2.6</w:t>
            </w:r>
            <w:r w:rsidRPr="0040184F">
              <w:rPr>
                <w:rFonts w:ascii="Calibri" w:hAnsi="Calibri"/>
                <w:sz w:val="20"/>
                <w:szCs w:val="20"/>
              </w:rPr>
              <w:t>%</w:t>
            </w:r>
          </w:p>
        </w:tc>
        <w:tc>
          <w:tcPr>
            <w:tcW w:w="1806" w:type="dxa"/>
            <w:shd w:val="clear" w:color="auto" w:fill="FFFFFF" w:themeFill="background1"/>
          </w:tcPr>
          <w:p w:rsidR="008A32B2" w:rsidRPr="0040184F" w:rsidRDefault="00503EB7" w:rsidP="00DD07FD">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$340</w:t>
            </w:r>
            <w:r>
              <w:rPr>
                <w:rFonts w:ascii="Calibri" w:hAnsi="Calibri"/>
                <w:sz w:val="20"/>
                <w:szCs w:val="20"/>
              </w:rPr>
              <w:br/>
              <w:t>+ 6.3</w:t>
            </w:r>
            <w:r w:rsidR="008A32B2" w:rsidRPr="0040184F">
              <w:rPr>
                <w:rFonts w:ascii="Calibri" w:hAnsi="Calibri"/>
                <w:sz w:val="20"/>
                <w:szCs w:val="20"/>
              </w:rPr>
              <w:t>%</w:t>
            </w:r>
            <w:r w:rsidR="008A32B2" w:rsidRPr="0040184F">
              <w:rPr>
                <w:rFonts w:ascii="Calibri" w:hAnsi="Calibri"/>
                <w:sz w:val="20"/>
                <w:szCs w:val="20"/>
              </w:rPr>
              <w:tab/>
            </w:r>
          </w:p>
        </w:tc>
        <w:tc>
          <w:tcPr>
            <w:tcW w:w="1831" w:type="dxa"/>
            <w:shd w:val="clear" w:color="auto" w:fill="FFFFFF" w:themeFill="background1"/>
          </w:tcPr>
          <w:p w:rsidR="008A32B2" w:rsidRPr="0040184F" w:rsidRDefault="00025EFE" w:rsidP="00DD07FD">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$375</w:t>
            </w:r>
            <w:r w:rsidR="008A32B2" w:rsidRPr="0040184F">
              <w:rPr>
                <w:rFonts w:ascii="Calibri" w:hAnsi="Calibri"/>
                <w:sz w:val="20"/>
                <w:szCs w:val="20"/>
              </w:rPr>
              <w:br/>
            </w:r>
            <w:r w:rsidRPr="00025EFE">
              <w:rPr>
                <w:rFonts w:ascii="Calibri" w:hAnsi="Calibri"/>
                <w:color w:val="auto"/>
                <w:sz w:val="20"/>
                <w:szCs w:val="20"/>
              </w:rPr>
              <w:t>+ 1.4</w:t>
            </w:r>
            <w:r w:rsidR="008A32B2" w:rsidRPr="00025EFE">
              <w:rPr>
                <w:rFonts w:ascii="Calibri" w:hAnsi="Calibri"/>
                <w:color w:val="auto"/>
                <w:sz w:val="20"/>
                <w:szCs w:val="20"/>
              </w:rPr>
              <w:t>%</w:t>
            </w:r>
          </w:p>
        </w:tc>
      </w:tr>
      <w:tr w:rsidR="00BA0A96" w:rsidRPr="0040184F" w:rsidTr="00DD07FD">
        <w:trPr>
          <w:trHeight w:val="242"/>
          <w:tblCellSpacing w:w="57" w:type="dxa"/>
        </w:trPr>
        <w:tc>
          <w:tcPr>
            <w:cnfStyle w:val="001000000000" w:firstRow="0" w:lastRow="0" w:firstColumn="1" w:lastColumn="0" w:oddVBand="0" w:evenVBand="0" w:oddHBand="0" w:evenHBand="0" w:firstRowFirstColumn="0" w:firstRowLastColumn="0" w:lastRowFirstColumn="0" w:lastRowLastColumn="0"/>
            <w:tcW w:w="1787" w:type="dxa"/>
            <w:shd w:val="clear" w:color="auto" w:fill="E5E5E5" w:themeFill="background2" w:themeFillTint="66"/>
          </w:tcPr>
          <w:p w:rsidR="00BA0A96" w:rsidRPr="0040184F" w:rsidRDefault="00BA0A96" w:rsidP="00BA0A9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0"/>
                <w:szCs w:val="20"/>
              </w:rPr>
            </w:pPr>
            <w:r w:rsidRPr="0040184F">
              <w:rPr>
                <w:rFonts w:ascii="Calibri" w:hAnsi="Calibri"/>
                <w:sz w:val="20"/>
                <w:szCs w:val="20"/>
              </w:rPr>
              <w:t>All property types</w:t>
            </w:r>
          </w:p>
        </w:tc>
        <w:tc>
          <w:tcPr>
            <w:tcW w:w="1754" w:type="dxa"/>
            <w:shd w:val="clear" w:color="auto" w:fill="FFFFFF" w:themeFill="background1"/>
          </w:tcPr>
          <w:p w:rsidR="00BA0A96" w:rsidRDefault="00436023" w:rsidP="00BA0A96">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$420</w:t>
            </w:r>
            <w:r w:rsidR="00BA0A96" w:rsidRPr="0040184F">
              <w:rPr>
                <w:rFonts w:ascii="Calibri" w:hAnsi="Calibri"/>
                <w:sz w:val="20"/>
                <w:szCs w:val="20"/>
              </w:rPr>
              <w:br/>
            </w:r>
            <w:r>
              <w:rPr>
                <w:rFonts w:ascii="Calibri" w:hAnsi="Calibri"/>
                <w:sz w:val="20"/>
                <w:szCs w:val="20"/>
              </w:rPr>
              <w:t>+ 7.7</w:t>
            </w:r>
            <w:r w:rsidR="00BA0A96" w:rsidRPr="0040184F">
              <w:rPr>
                <w:rFonts w:ascii="Calibri" w:hAnsi="Calibri"/>
                <w:sz w:val="20"/>
                <w:szCs w:val="20"/>
              </w:rPr>
              <w:t>%</w:t>
            </w:r>
          </w:p>
        </w:tc>
        <w:tc>
          <w:tcPr>
            <w:tcW w:w="1776" w:type="dxa"/>
            <w:shd w:val="clear" w:color="auto" w:fill="FFFFFF" w:themeFill="background1"/>
          </w:tcPr>
          <w:p w:rsidR="00BA0A96" w:rsidRDefault="00BA0A96" w:rsidP="00BA0A96">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40184F">
              <w:rPr>
                <w:rFonts w:ascii="Calibri" w:hAnsi="Calibri"/>
                <w:sz w:val="20"/>
                <w:szCs w:val="20"/>
              </w:rPr>
              <w:t>$</w:t>
            </w:r>
            <w:r w:rsidR="00436023">
              <w:rPr>
                <w:rFonts w:ascii="Calibri" w:hAnsi="Calibri"/>
                <w:sz w:val="20"/>
                <w:szCs w:val="20"/>
              </w:rPr>
              <w:t>480</w:t>
            </w:r>
            <w:r w:rsidR="00436023">
              <w:rPr>
                <w:rFonts w:ascii="Calibri" w:hAnsi="Calibri"/>
                <w:sz w:val="20"/>
                <w:szCs w:val="20"/>
              </w:rPr>
              <w:br/>
              <w:t>+ 6.7</w:t>
            </w:r>
            <w:r>
              <w:rPr>
                <w:rFonts w:ascii="Calibri" w:hAnsi="Calibri"/>
                <w:sz w:val="20"/>
                <w:szCs w:val="20"/>
              </w:rPr>
              <w:t>%</w:t>
            </w:r>
          </w:p>
        </w:tc>
        <w:tc>
          <w:tcPr>
            <w:tcW w:w="1806" w:type="dxa"/>
            <w:shd w:val="clear" w:color="auto" w:fill="FFFFFF" w:themeFill="background1"/>
          </w:tcPr>
          <w:p w:rsidR="00BA0A96" w:rsidRDefault="00436023" w:rsidP="00BA0A96">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$400</w:t>
            </w:r>
            <w:r>
              <w:rPr>
                <w:rFonts w:ascii="Calibri" w:hAnsi="Calibri"/>
                <w:sz w:val="20"/>
                <w:szCs w:val="20"/>
              </w:rPr>
              <w:br/>
              <w:t>+ 2.6</w:t>
            </w:r>
            <w:r w:rsidR="00BA0A96" w:rsidRPr="0040184F">
              <w:rPr>
                <w:rFonts w:ascii="Calibri" w:hAnsi="Calibri"/>
                <w:sz w:val="20"/>
                <w:szCs w:val="20"/>
              </w:rPr>
              <w:t>%</w:t>
            </w:r>
          </w:p>
        </w:tc>
        <w:tc>
          <w:tcPr>
            <w:tcW w:w="1831" w:type="dxa"/>
            <w:shd w:val="clear" w:color="auto" w:fill="FFFFFF" w:themeFill="background1"/>
          </w:tcPr>
          <w:p w:rsidR="00BA0A96" w:rsidRDefault="00436023" w:rsidP="00BA0A96">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$495</w:t>
            </w:r>
            <w:r>
              <w:rPr>
                <w:rFonts w:ascii="Calibri" w:hAnsi="Calibri"/>
                <w:sz w:val="20"/>
                <w:szCs w:val="20"/>
              </w:rPr>
              <w:br/>
              <w:t>+ 10.0</w:t>
            </w:r>
            <w:r w:rsidR="00BA0A96" w:rsidRPr="0040184F">
              <w:rPr>
                <w:rFonts w:ascii="Calibri" w:hAnsi="Calibri"/>
                <w:sz w:val="20"/>
                <w:szCs w:val="20"/>
              </w:rPr>
              <w:t>%</w:t>
            </w:r>
          </w:p>
        </w:tc>
      </w:tr>
    </w:tbl>
    <w:p w:rsidR="008A32B2" w:rsidRDefault="008A32B2" w:rsidP="008A32B2">
      <w:pPr>
        <w:pStyle w:val="Body"/>
        <w:rPr>
          <w:rFonts w:ascii="Calibri" w:hAnsi="Calibri"/>
          <w:i/>
          <w:sz w:val="20"/>
          <w:szCs w:val="20"/>
        </w:rPr>
      </w:pPr>
    </w:p>
    <w:p w:rsidR="00844C38" w:rsidRPr="00844C38" w:rsidRDefault="00844C38" w:rsidP="00844C38">
      <w:pPr>
        <w:rPr>
          <w:rFonts w:ascii="Calibri" w:hAnsi="Calibri" w:cs="Arial Unicode MS"/>
          <w:i/>
          <w:color w:val="000000"/>
          <w:sz w:val="20"/>
          <w:szCs w:val="20"/>
          <w:lang w:eastAsia="en-NZ"/>
        </w:rPr>
      </w:pPr>
    </w:p>
    <w:p w:rsidR="00BA0A96" w:rsidRDefault="00BA0A96" w:rsidP="00B85339">
      <w:pPr>
        <w:pStyle w:val="Body"/>
        <w:jc w:val="both"/>
        <w:rPr>
          <w:rFonts w:ascii="Calibri" w:hAnsi="Calibri"/>
          <w:b/>
        </w:rPr>
      </w:pPr>
    </w:p>
    <w:p w:rsidR="00E258B2" w:rsidRDefault="00383DDC" w:rsidP="00E258B2">
      <w:pPr>
        <w:pStyle w:val="Body"/>
        <w:jc w:val="both"/>
        <w:rPr>
          <w:rFonts w:ascii="Calibri" w:hAnsi="Calibri"/>
          <w:b/>
        </w:rPr>
      </w:pPr>
      <w:r>
        <w:rPr>
          <w:rFonts w:ascii="Calibri" w:hAnsi="Calibri"/>
          <w:b/>
        </w:rPr>
        <w:t>Multi-dwelling property lag</w:t>
      </w:r>
      <w:r w:rsidR="00530431">
        <w:rPr>
          <w:rFonts w:ascii="Calibri" w:hAnsi="Calibri"/>
          <w:b/>
        </w:rPr>
        <w:t>s</w:t>
      </w:r>
      <w:r>
        <w:rPr>
          <w:rFonts w:ascii="Calibri" w:hAnsi="Calibri"/>
          <w:b/>
        </w:rPr>
        <w:t xml:space="preserve"> the general market</w:t>
      </w:r>
    </w:p>
    <w:p w:rsidR="00E258B2" w:rsidRDefault="00E258B2" w:rsidP="00E258B2">
      <w:pPr>
        <w:pStyle w:val="Body"/>
        <w:jc w:val="both"/>
        <w:rPr>
          <w:rFonts w:ascii="Calibri" w:hAnsi="Calibri"/>
        </w:rPr>
      </w:pPr>
    </w:p>
    <w:p w:rsidR="00383DDC" w:rsidRDefault="00E258B2" w:rsidP="00E258B2">
      <w:pPr>
        <w:pStyle w:val="Body"/>
        <w:jc w:val="both"/>
        <w:rPr>
          <w:rFonts w:ascii="Calibri" w:hAnsi="Calibri"/>
        </w:rPr>
      </w:pPr>
      <w:r>
        <w:rPr>
          <w:rFonts w:ascii="Calibri" w:hAnsi="Calibri"/>
        </w:rPr>
        <w:t xml:space="preserve">The </w:t>
      </w:r>
      <w:r w:rsidR="00383DDC">
        <w:rPr>
          <w:rFonts w:ascii="Calibri" w:hAnsi="Calibri"/>
        </w:rPr>
        <w:t xml:space="preserve">heat in the rental market is </w:t>
      </w:r>
      <w:r w:rsidR="00813F4F">
        <w:rPr>
          <w:rFonts w:ascii="Calibri" w:hAnsi="Calibri"/>
        </w:rPr>
        <w:t xml:space="preserve">primarily only burning </w:t>
      </w:r>
      <w:r w:rsidR="00383DDC">
        <w:rPr>
          <w:rFonts w:ascii="Calibri" w:hAnsi="Calibri"/>
        </w:rPr>
        <w:t xml:space="preserve">in </w:t>
      </w:r>
      <w:r w:rsidR="00813F4F">
        <w:rPr>
          <w:rFonts w:ascii="Calibri" w:hAnsi="Calibri"/>
        </w:rPr>
        <w:t xml:space="preserve">relation to </w:t>
      </w:r>
      <w:r w:rsidR="00383DDC">
        <w:rPr>
          <w:rFonts w:ascii="Calibri" w:hAnsi="Calibri"/>
        </w:rPr>
        <w:t xml:space="preserve">traditional properties </w:t>
      </w:r>
      <w:r w:rsidR="00813F4F">
        <w:rPr>
          <w:rFonts w:ascii="Calibri" w:hAnsi="Calibri"/>
        </w:rPr>
        <w:t xml:space="preserve">with </w:t>
      </w:r>
      <w:r w:rsidR="00383DDC">
        <w:rPr>
          <w:rFonts w:ascii="Calibri" w:hAnsi="Calibri"/>
        </w:rPr>
        <w:t>apartments, townhouses and units all experienc</w:t>
      </w:r>
      <w:r w:rsidR="00813F4F">
        <w:rPr>
          <w:rFonts w:ascii="Calibri" w:hAnsi="Calibri"/>
        </w:rPr>
        <w:t xml:space="preserve">ing much </w:t>
      </w:r>
      <w:r w:rsidR="00383DDC">
        <w:rPr>
          <w:rFonts w:ascii="Calibri" w:hAnsi="Calibri"/>
        </w:rPr>
        <w:t>lower annual increase</w:t>
      </w:r>
      <w:r w:rsidR="00813F4F">
        <w:rPr>
          <w:rFonts w:ascii="Calibri" w:hAnsi="Calibri"/>
        </w:rPr>
        <w:t>s</w:t>
      </w:r>
      <w:r w:rsidR="00383DDC">
        <w:rPr>
          <w:rFonts w:ascii="Calibri" w:hAnsi="Calibri"/>
        </w:rPr>
        <w:t xml:space="preserve">. </w:t>
      </w:r>
      <w:r w:rsidR="00813F4F">
        <w:rPr>
          <w:rFonts w:ascii="Calibri" w:hAnsi="Calibri"/>
        </w:rPr>
        <w:t xml:space="preserve">Asking rents for units in March were unchanged at </w:t>
      </w:r>
      <w:r w:rsidR="00383DDC">
        <w:rPr>
          <w:rFonts w:ascii="Calibri" w:hAnsi="Calibri"/>
        </w:rPr>
        <w:t xml:space="preserve">$310 </w:t>
      </w:r>
      <w:r w:rsidR="00813F4F">
        <w:rPr>
          <w:rFonts w:ascii="Calibri" w:hAnsi="Calibri"/>
        </w:rPr>
        <w:t xml:space="preserve">per week and </w:t>
      </w:r>
      <w:r w:rsidR="00383DDC">
        <w:rPr>
          <w:rFonts w:ascii="Calibri" w:hAnsi="Calibri"/>
        </w:rPr>
        <w:t xml:space="preserve">well down on the $330 </w:t>
      </w:r>
      <w:r w:rsidR="00813F4F">
        <w:rPr>
          <w:rFonts w:ascii="Calibri" w:hAnsi="Calibri"/>
        </w:rPr>
        <w:t xml:space="preserve">per week </w:t>
      </w:r>
      <w:r w:rsidR="00383DDC">
        <w:rPr>
          <w:rFonts w:ascii="Calibri" w:hAnsi="Calibri"/>
        </w:rPr>
        <w:t>peak in January</w:t>
      </w:r>
      <w:r w:rsidR="00813F4F">
        <w:rPr>
          <w:rFonts w:ascii="Calibri" w:hAnsi="Calibri"/>
        </w:rPr>
        <w:t xml:space="preserve"> this year</w:t>
      </w:r>
      <w:r w:rsidR="00383DDC">
        <w:rPr>
          <w:rFonts w:ascii="Calibri" w:hAnsi="Calibri"/>
        </w:rPr>
        <w:t>.</w:t>
      </w:r>
    </w:p>
    <w:p w:rsidR="00383DDC" w:rsidRDefault="00383DDC" w:rsidP="00E258B2">
      <w:pPr>
        <w:pStyle w:val="Body"/>
        <w:jc w:val="both"/>
        <w:rPr>
          <w:rFonts w:ascii="Calibri" w:hAnsi="Calibri"/>
        </w:rPr>
      </w:pPr>
    </w:p>
    <w:p w:rsidR="00813F4F" w:rsidRDefault="00813F4F" w:rsidP="00E258B2">
      <w:pPr>
        <w:pStyle w:val="Body"/>
        <w:jc w:val="both"/>
        <w:rPr>
          <w:rFonts w:ascii="Calibri" w:hAnsi="Calibri"/>
        </w:rPr>
      </w:pPr>
      <w:r>
        <w:rPr>
          <w:rFonts w:ascii="Calibri" w:hAnsi="Calibri"/>
        </w:rPr>
        <w:t>T</w:t>
      </w:r>
      <w:r w:rsidR="00383DDC">
        <w:rPr>
          <w:rFonts w:ascii="Calibri" w:hAnsi="Calibri"/>
        </w:rPr>
        <w:t xml:space="preserve">he </w:t>
      </w:r>
      <w:r>
        <w:rPr>
          <w:rFonts w:ascii="Calibri" w:hAnsi="Calibri"/>
        </w:rPr>
        <w:t xml:space="preserve">asking rent inflation in the </w:t>
      </w:r>
      <w:r w:rsidR="00383DDC">
        <w:rPr>
          <w:rFonts w:ascii="Calibri" w:hAnsi="Calibri"/>
        </w:rPr>
        <w:t>Auckland apartment market eased in March</w:t>
      </w:r>
      <w:r>
        <w:rPr>
          <w:rFonts w:ascii="Calibri" w:hAnsi="Calibri"/>
        </w:rPr>
        <w:t xml:space="preserve">, despite </w:t>
      </w:r>
      <w:r w:rsidR="00383DDC">
        <w:rPr>
          <w:rFonts w:ascii="Calibri" w:hAnsi="Calibri"/>
        </w:rPr>
        <w:t>hitting a new high of $440</w:t>
      </w:r>
      <w:r>
        <w:rPr>
          <w:rFonts w:ascii="Calibri" w:hAnsi="Calibri"/>
        </w:rPr>
        <w:t xml:space="preserve">. It was </w:t>
      </w:r>
      <w:r w:rsidR="00383DDC">
        <w:rPr>
          <w:rFonts w:ascii="Calibri" w:hAnsi="Calibri"/>
        </w:rPr>
        <w:t xml:space="preserve">up </w:t>
      </w:r>
      <w:r w:rsidR="00923B6E">
        <w:rPr>
          <w:rFonts w:ascii="Calibri" w:hAnsi="Calibri"/>
        </w:rPr>
        <w:t xml:space="preserve">just </w:t>
      </w:r>
      <w:r w:rsidR="00383DDC">
        <w:rPr>
          <w:rFonts w:ascii="Calibri" w:hAnsi="Calibri"/>
        </w:rPr>
        <w:t xml:space="preserve">$20 </w:t>
      </w:r>
      <w:r>
        <w:rPr>
          <w:rFonts w:ascii="Calibri" w:hAnsi="Calibri"/>
        </w:rPr>
        <w:t>per</w:t>
      </w:r>
      <w:r w:rsidR="00383DDC">
        <w:rPr>
          <w:rFonts w:ascii="Calibri" w:hAnsi="Calibri"/>
        </w:rPr>
        <w:t xml:space="preserve"> week </w:t>
      </w:r>
      <w:r>
        <w:rPr>
          <w:rFonts w:ascii="Calibri" w:hAnsi="Calibri"/>
        </w:rPr>
        <w:t>year-on-year.</w:t>
      </w:r>
    </w:p>
    <w:p w:rsidR="00813F4F" w:rsidRDefault="00813F4F" w:rsidP="00E258B2">
      <w:pPr>
        <w:pStyle w:val="Body"/>
        <w:jc w:val="both"/>
        <w:rPr>
          <w:rFonts w:ascii="Calibri" w:hAnsi="Calibri"/>
        </w:rPr>
      </w:pPr>
    </w:p>
    <w:p w:rsidR="00383DDC" w:rsidRDefault="00923B6E" w:rsidP="00E258B2">
      <w:pPr>
        <w:pStyle w:val="Body"/>
        <w:jc w:val="both"/>
        <w:rPr>
          <w:rFonts w:ascii="Calibri" w:hAnsi="Calibri"/>
        </w:rPr>
      </w:pPr>
      <w:r>
        <w:rPr>
          <w:rFonts w:ascii="Calibri" w:hAnsi="Calibri"/>
        </w:rPr>
        <w:t xml:space="preserve">The Christchurch </w:t>
      </w:r>
      <w:r w:rsidR="002823B3">
        <w:rPr>
          <w:rFonts w:ascii="Calibri" w:hAnsi="Calibri"/>
        </w:rPr>
        <w:t xml:space="preserve">market for both </w:t>
      </w:r>
      <w:r>
        <w:rPr>
          <w:rFonts w:ascii="Calibri" w:hAnsi="Calibri"/>
        </w:rPr>
        <w:t>apartment</w:t>
      </w:r>
      <w:r w:rsidR="002823B3">
        <w:rPr>
          <w:rFonts w:ascii="Calibri" w:hAnsi="Calibri"/>
        </w:rPr>
        <w:t>s and townhouses spiked in March</w:t>
      </w:r>
      <w:r w:rsidR="00813F4F">
        <w:rPr>
          <w:rFonts w:ascii="Calibri" w:hAnsi="Calibri"/>
        </w:rPr>
        <w:t xml:space="preserve">, up </w:t>
      </w:r>
      <w:r>
        <w:rPr>
          <w:rFonts w:ascii="Calibri" w:hAnsi="Calibri"/>
        </w:rPr>
        <w:t xml:space="preserve">18.6 per cent </w:t>
      </w:r>
      <w:r w:rsidR="00813F4F">
        <w:rPr>
          <w:rFonts w:ascii="Calibri" w:hAnsi="Calibri"/>
        </w:rPr>
        <w:t xml:space="preserve">and </w:t>
      </w:r>
      <w:r w:rsidR="002823B3">
        <w:rPr>
          <w:rFonts w:ascii="Calibri" w:hAnsi="Calibri"/>
        </w:rPr>
        <w:t xml:space="preserve">11.1 per cent </w:t>
      </w:r>
      <w:r w:rsidR="00813F4F">
        <w:rPr>
          <w:rFonts w:ascii="Calibri" w:hAnsi="Calibri"/>
        </w:rPr>
        <w:t xml:space="preserve">respectively. </w:t>
      </w:r>
      <w:proofErr w:type="spellStart"/>
      <w:r w:rsidR="00813F4F">
        <w:rPr>
          <w:rFonts w:ascii="Calibri" w:hAnsi="Calibri"/>
        </w:rPr>
        <w:t>Mr</w:t>
      </w:r>
      <w:proofErr w:type="spellEnd"/>
      <w:r w:rsidR="00813F4F">
        <w:rPr>
          <w:rFonts w:ascii="Calibri" w:hAnsi="Calibri"/>
        </w:rPr>
        <w:t xml:space="preserve"> Jeffries said both </w:t>
      </w:r>
      <w:r w:rsidR="002823B3">
        <w:rPr>
          <w:rFonts w:ascii="Calibri" w:hAnsi="Calibri"/>
        </w:rPr>
        <w:t xml:space="preserve">sectors </w:t>
      </w:r>
      <w:r w:rsidR="00813F4F">
        <w:rPr>
          <w:rFonts w:ascii="Calibri" w:hAnsi="Calibri"/>
        </w:rPr>
        <w:t>had seen “</w:t>
      </w:r>
      <w:r w:rsidR="002823B3">
        <w:rPr>
          <w:rFonts w:ascii="Calibri" w:hAnsi="Calibri"/>
        </w:rPr>
        <w:t>a significant increase</w:t>
      </w:r>
      <w:r w:rsidR="00813F4F">
        <w:rPr>
          <w:rFonts w:ascii="Calibri" w:hAnsi="Calibri"/>
        </w:rPr>
        <w:t>”</w:t>
      </w:r>
      <w:r w:rsidR="002823B3">
        <w:rPr>
          <w:rFonts w:ascii="Calibri" w:hAnsi="Calibri"/>
        </w:rPr>
        <w:t xml:space="preserve"> in new inventory as new developments </w:t>
      </w:r>
      <w:r w:rsidR="008B4B66">
        <w:rPr>
          <w:rFonts w:ascii="Calibri" w:hAnsi="Calibri"/>
        </w:rPr>
        <w:t xml:space="preserve">reached </w:t>
      </w:r>
      <w:r w:rsidR="002823B3">
        <w:rPr>
          <w:rFonts w:ascii="Calibri" w:hAnsi="Calibri"/>
        </w:rPr>
        <w:t xml:space="preserve">the market </w:t>
      </w:r>
      <w:r w:rsidR="00813F4F">
        <w:rPr>
          <w:rFonts w:ascii="Calibri" w:hAnsi="Calibri"/>
        </w:rPr>
        <w:t xml:space="preserve">and </w:t>
      </w:r>
      <w:r w:rsidR="008B4B66">
        <w:rPr>
          <w:rFonts w:ascii="Calibri" w:hAnsi="Calibri"/>
        </w:rPr>
        <w:t xml:space="preserve">drove median asking </w:t>
      </w:r>
      <w:r w:rsidR="002823B3">
        <w:rPr>
          <w:rFonts w:ascii="Calibri" w:hAnsi="Calibri"/>
        </w:rPr>
        <w:t>rents</w:t>
      </w:r>
      <w:r w:rsidR="008B4B66">
        <w:rPr>
          <w:rFonts w:ascii="Calibri" w:hAnsi="Calibri"/>
        </w:rPr>
        <w:t xml:space="preserve"> up</w:t>
      </w:r>
      <w:r w:rsidR="002823B3">
        <w:rPr>
          <w:rFonts w:ascii="Calibri" w:hAnsi="Calibri"/>
        </w:rPr>
        <w:t>.</w:t>
      </w:r>
    </w:p>
    <w:p w:rsidR="00383DDC" w:rsidRDefault="00383DDC" w:rsidP="00E258B2">
      <w:pPr>
        <w:pStyle w:val="Body"/>
        <w:jc w:val="both"/>
        <w:rPr>
          <w:rFonts w:ascii="Calibri" w:hAnsi="Calibri"/>
        </w:rPr>
      </w:pPr>
    </w:p>
    <w:p w:rsidR="00844C38" w:rsidRPr="00844C38" w:rsidRDefault="00844C38" w:rsidP="00844C38">
      <w:pPr>
        <w:rPr>
          <w:rFonts w:ascii="Calibri" w:hAnsi="Calibri" w:cs="Arial Unicode MS"/>
          <w:i/>
          <w:color w:val="000000"/>
          <w:sz w:val="20"/>
          <w:szCs w:val="20"/>
          <w:lang w:eastAsia="en-NZ"/>
        </w:rPr>
      </w:pPr>
    </w:p>
    <w:p w:rsidR="00844C38" w:rsidRPr="00844C38" w:rsidRDefault="00844C38" w:rsidP="00844C38">
      <w:pPr>
        <w:rPr>
          <w:rFonts w:ascii="Calibri" w:hAnsi="Calibri" w:cs="Arial Unicode MS"/>
          <w:i/>
          <w:color w:val="000000"/>
          <w:sz w:val="20"/>
          <w:szCs w:val="20"/>
          <w:lang w:eastAsia="en-NZ"/>
        </w:rPr>
      </w:pPr>
      <w:r w:rsidRPr="00844C38">
        <w:rPr>
          <w:rFonts w:ascii="Calibri" w:hAnsi="Calibri" w:cs="Arial Unicode MS"/>
          <w:i/>
          <w:color w:val="000000"/>
          <w:sz w:val="20"/>
          <w:szCs w:val="20"/>
          <w:lang w:eastAsia="en-NZ"/>
        </w:rPr>
        <w:t>Table 2: Median weekly rent by property type &amp; region</w:t>
      </w:r>
    </w:p>
    <w:p w:rsidR="008A32B2" w:rsidRPr="008A32B2" w:rsidRDefault="008A32B2" w:rsidP="008A32B2">
      <w:pPr>
        <w:rPr>
          <w:rFonts w:ascii="Calibri" w:hAnsi="Calibri" w:cs="Arial Unicode MS"/>
          <w:i/>
          <w:color w:val="000000"/>
          <w:sz w:val="20"/>
          <w:szCs w:val="20"/>
          <w:lang w:eastAsia="en-NZ"/>
        </w:rPr>
      </w:pPr>
    </w:p>
    <w:tbl>
      <w:tblPr>
        <w:tblStyle w:val="LightShading-Accent13"/>
        <w:tblW w:w="0" w:type="auto"/>
        <w:tblCellSpacing w:w="57" w:type="dxa"/>
        <w:tblCellMar>
          <w:top w:w="115" w:type="dxa"/>
          <w:left w:w="115" w:type="dxa"/>
          <w:bottom w:w="115" w:type="dxa"/>
          <w:right w:w="115" w:type="dxa"/>
        </w:tblCellMar>
        <w:tblLook w:val="04A0" w:firstRow="1" w:lastRow="0" w:firstColumn="1" w:lastColumn="0" w:noHBand="0" w:noVBand="1"/>
      </w:tblPr>
      <w:tblGrid>
        <w:gridCol w:w="1976"/>
        <w:gridCol w:w="1862"/>
        <w:gridCol w:w="1892"/>
        <w:gridCol w:w="1911"/>
        <w:gridCol w:w="1997"/>
      </w:tblGrid>
      <w:tr w:rsidR="008A32B2" w:rsidRPr="008A32B2" w:rsidTr="00DD07FD">
        <w:trPr>
          <w:cnfStyle w:val="100000000000" w:firstRow="1" w:lastRow="0" w:firstColumn="0" w:lastColumn="0" w:oddVBand="0" w:evenVBand="0" w:oddHBand="0" w:evenHBand="0" w:firstRowFirstColumn="0" w:firstRowLastColumn="0" w:lastRowFirstColumn="0" w:lastRowLastColumn="0"/>
          <w:tblCellSpacing w:w="57" w:type="dxa"/>
        </w:trPr>
        <w:tc>
          <w:tcPr>
            <w:cnfStyle w:val="001000000000" w:firstRow="0" w:lastRow="0" w:firstColumn="1" w:lastColumn="0" w:oddVBand="0" w:evenVBand="0" w:oddHBand="0" w:evenHBand="0" w:firstRowFirstColumn="0" w:firstRowLastColumn="0" w:lastRowFirstColumn="0" w:lastRowLastColumn="0"/>
            <w:tcW w:w="1805" w:type="dxa"/>
          </w:tcPr>
          <w:p w:rsidR="008A32B2" w:rsidRPr="008A32B2" w:rsidRDefault="008A32B2" w:rsidP="008A32B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Arial Unicode MS"/>
                <w:color w:val="000000"/>
                <w:sz w:val="20"/>
                <w:szCs w:val="20"/>
              </w:rPr>
            </w:pPr>
          </w:p>
        </w:tc>
        <w:tc>
          <w:tcPr>
            <w:tcW w:w="1748" w:type="dxa"/>
            <w:shd w:val="clear" w:color="auto" w:fill="E5E5E5" w:themeFill="background2" w:themeFillTint="66"/>
          </w:tcPr>
          <w:p w:rsidR="008A32B2" w:rsidRPr="008A32B2" w:rsidRDefault="008A32B2" w:rsidP="008A32B2">
            <w:pPr>
              <w:pBdr>
                <w:top w:val="none" w:sz="0" w:space="0" w:color="auto"/>
                <w:left w:val="none" w:sz="0" w:space="0" w:color="auto"/>
                <w:bottom w:val="none" w:sz="0" w:space="0" w:color="auto"/>
                <w:right w:val="none" w:sz="0" w:space="0" w:color="auto"/>
                <w:between w:val="none" w:sz="0" w:space="0" w:color="auto"/>
                <w:bar w:val="none" w:sz="0" w:color="auto"/>
              </w:pBdr>
              <w:jc w:val="both"/>
              <w:cnfStyle w:val="100000000000" w:firstRow="1" w:lastRow="0" w:firstColumn="0" w:lastColumn="0" w:oddVBand="0" w:evenVBand="0" w:oddHBand="0" w:evenHBand="0" w:firstRowFirstColumn="0" w:firstRowLastColumn="0" w:lastRowFirstColumn="0" w:lastRowLastColumn="0"/>
              <w:rPr>
                <w:rFonts w:ascii="Calibri" w:hAnsi="Calibri" w:cs="Arial Unicode MS"/>
                <w:color w:val="000000"/>
                <w:sz w:val="20"/>
                <w:szCs w:val="20"/>
              </w:rPr>
            </w:pPr>
            <w:r w:rsidRPr="008A32B2">
              <w:rPr>
                <w:rFonts w:ascii="Calibri" w:hAnsi="Calibri" w:cs="Arial Unicode MS"/>
                <w:color w:val="000000"/>
                <w:sz w:val="20"/>
                <w:szCs w:val="20"/>
              </w:rPr>
              <w:t>New Zealand</w:t>
            </w:r>
          </w:p>
        </w:tc>
        <w:tc>
          <w:tcPr>
            <w:tcW w:w="1778" w:type="dxa"/>
            <w:shd w:val="clear" w:color="auto" w:fill="E5E5E5" w:themeFill="background2" w:themeFillTint="66"/>
          </w:tcPr>
          <w:p w:rsidR="008A32B2" w:rsidRPr="008A32B2" w:rsidRDefault="008A32B2" w:rsidP="008A32B2">
            <w:pPr>
              <w:pBdr>
                <w:top w:val="none" w:sz="0" w:space="0" w:color="auto"/>
                <w:left w:val="none" w:sz="0" w:space="0" w:color="auto"/>
                <w:bottom w:val="none" w:sz="0" w:space="0" w:color="auto"/>
                <w:right w:val="none" w:sz="0" w:space="0" w:color="auto"/>
                <w:between w:val="none" w:sz="0" w:space="0" w:color="auto"/>
                <w:bar w:val="none" w:sz="0" w:color="auto"/>
              </w:pBdr>
              <w:jc w:val="both"/>
              <w:cnfStyle w:val="100000000000" w:firstRow="1" w:lastRow="0" w:firstColumn="0" w:lastColumn="0" w:oddVBand="0" w:evenVBand="0" w:oddHBand="0" w:evenHBand="0" w:firstRowFirstColumn="0" w:firstRowLastColumn="0" w:lastRowFirstColumn="0" w:lastRowLastColumn="0"/>
              <w:rPr>
                <w:rFonts w:ascii="Calibri" w:hAnsi="Calibri" w:cs="Arial Unicode MS"/>
                <w:color w:val="000000"/>
                <w:sz w:val="20"/>
                <w:szCs w:val="20"/>
              </w:rPr>
            </w:pPr>
            <w:r w:rsidRPr="008A32B2">
              <w:rPr>
                <w:rFonts w:ascii="Calibri" w:hAnsi="Calibri" w:cs="Arial Unicode MS"/>
                <w:color w:val="000000"/>
                <w:sz w:val="20"/>
                <w:szCs w:val="20"/>
              </w:rPr>
              <w:t>Auckland</w:t>
            </w:r>
          </w:p>
        </w:tc>
        <w:tc>
          <w:tcPr>
            <w:tcW w:w="1797" w:type="dxa"/>
            <w:shd w:val="clear" w:color="auto" w:fill="E5E5E5" w:themeFill="background2" w:themeFillTint="66"/>
          </w:tcPr>
          <w:p w:rsidR="008A32B2" w:rsidRPr="008A32B2" w:rsidRDefault="008A32B2" w:rsidP="008A32B2">
            <w:pPr>
              <w:pBdr>
                <w:top w:val="none" w:sz="0" w:space="0" w:color="auto"/>
                <w:left w:val="none" w:sz="0" w:space="0" w:color="auto"/>
                <w:bottom w:val="none" w:sz="0" w:space="0" w:color="auto"/>
                <w:right w:val="none" w:sz="0" w:space="0" w:color="auto"/>
                <w:between w:val="none" w:sz="0" w:space="0" w:color="auto"/>
                <w:bar w:val="none" w:sz="0" w:color="auto"/>
              </w:pBdr>
              <w:jc w:val="both"/>
              <w:cnfStyle w:val="100000000000" w:firstRow="1" w:lastRow="0" w:firstColumn="0" w:lastColumn="0" w:oddVBand="0" w:evenVBand="0" w:oddHBand="0" w:evenHBand="0" w:firstRowFirstColumn="0" w:firstRowLastColumn="0" w:lastRowFirstColumn="0" w:lastRowLastColumn="0"/>
              <w:rPr>
                <w:rFonts w:ascii="Calibri" w:hAnsi="Calibri" w:cs="Arial Unicode MS"/>
                <w:color w:val="000000"/>
                <w:sz w:val="20"/>
                <w:szCs w:val="20"/>
              </w:rPr>
            </w:pPr>
            <w:r w:rsidRPr="008A32B2">
              <w:rPr>
                <w:rFonts w:ascii="Calibri" w:hAnsi="Calibri" w:cs="Arial Unicode MS"/>
                <w:color w:val="000000"/>
                <w:sz w:val="20"/>
                <w:szCs w:val="20"/>
              </w:rPr>
              <w:t>Wellington</w:t>
            </w:r>
          </w:p>
        </w:tc>
        <w:tc>
          <w:tcPr>
            <w:tcW w:w="1826" w:type="dxa"/>
            <w:shd w:val="clear" w:color="auto" w:fill="E5E5E5" w:themeFill="background2" w:themeFillTint="66"/>
          </w:tcPr>
          <w:p w:rsidR="008A32B2" w:rsidRPr="008A32B2" w:rsidRDefault="008A32B2" w:rsidP="008A32B2">
            <w:pPr>
              <w:pBdr>
                <w:top w:val="none" w:sz="0" w:space="0" w:color="auto"/>
                <w:left w:val="none" w:sz="0" w:space="0" w:color="auto"/>
                <w:bottom w:val="none" w:sz="0" w:space="0" w:color="auto"/>
                <w:right w:val="none" w:sz="0" w:space="0" w:color="auto"/>
                <w:between w:val="none" w:sz="0" w:space="0" w:color="auto"/>
                <w:bar w:val="none" w:sz="0" w:color="auto"/>
              </w:pBdr>
              <w:jc w:val="both"/>
              <w:cnfStyle w:val="100000000000" w:firstRow="1" w:lastRow="0" w:firstColumn="0" w:lastColumn="0" w:oddVBand="0" w:evenVBand="0" w:oddHBand="0" w:evenHBand="0" w:firstRowFirstColumn="0" w:firstRowLastColumn="0" w:lastRowFirstColumn="0" w:lastRowLastColumn="0"/>
              <w:rPr>
                <w:rFonts w:ascii="Calibri" w:hAnsi="Calibri" w:cs="Arial Unicode MS"/>
                <w:color w:val="000000"/>
                <w:sz w:val="20"/>
                <w:szCs w:val="20"/>
              </w:rPr>
            </w:pPr>
            <w:r w:rsidRPr="008A32B2">
              <w:rPr>
                <w:rFonts w:ascii="Calibri" w:hAnsi="Calibri" w:cs="Arial Unicode MS"/>
                <w:color w:val="000000"/>
                <w:sz w:val="20"/>
                <w:szCs w:val="20"/>
              </w:rPr>
              <w:t>Christchurch</w:t>
            </w:r>
          </w:p>
        </w:tc>
      </w:tr>
      <w:tr w:rsidR="008A32B2" w:rsidRPr="008A32B2" w:rsidTr="00DD07FD">
        <w:trPr>
          <w:cnfStyle w:val="000000100000" w:firstRow="0" w:lastRow="0" w:firstColumn="0" w:lastColumn="0" w:oddVBand="0" w:evenVBand="0" w:oddHBand="1" w:evenHBand="0" w:firstRowFirstColumn="0" w:firstRowLastColumn="0" w:lastRowFirstColumn="0" w:lastRowLastColumn="0"/>
          <w:tblCellSpacing w:w="57" w:type="dxa"/>
        </w:trPr>
        <w:tc>
          <w:tcPr>
            <w:cnfStyle w:val="001000000000" w:firstRow="0" w:lastRow="0" w:firstColumn="1" w:lastColumn="0" w:oddVBand="0" w:evenVBand="0" w:oddHBand="0" w:evenHBand="0" w:firstRowFirstColumn="0" w:firstRowLastColumn="0" w:lastRowFirstColumn="0" w:lastRowLastColumn="0"/>
            <w:tcW w:w="1805" w:type="dxa"/>
            <w:shd w:val="clear" w:color="auto" w:fill="E5E5E5" w:themeFill="background2" w:themeFillTint="66"/>
          </w:tcPr>
          <w:p w:rsidR="008A32B2" w:rsidRPr="008A32B2" w:rsidRDefault="008A32B2" w:rsidP="008A32B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Arial Unicode MS"/>
                <w:color w:val="000000"/>
                <w:sz w:val="20"/>
                <w:szCs w:val="20"/>
              </w:rPr>
            </w:pPr>
            <w:r w:rsidRPr="008A32B2">
              <w:rPr>
                <w:rFonts w:ascii="Calibri" w:hAnsi="Calibri" w:cs="Arial Unicode MS"/>
                <w:color w:val="000000"/>
                <w:sz w:val="20"/>
                <w:szCs w:val="20"/>
              </w:rPr>
              <w:t>Apartments</w:t>
            </w:r>
          </w:p>
        </w:tc>
        <w:tc>
          <w:tcPr>
            <w:tcW w:w="1748" w:type="dxa"/>
            <w:shd w:val="clear" w:color="auto" w:fill="FFFFFF" w:themeFill="background1"/>
          </w:tcPr>
          <w:p w:rsidR="008A32B2" w:rsidRPr="008A32B2" w:rsidRDefault="00503EB7" w:rsidP="008A32B2">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alibri" w:hAnsi="Calibri" w:cs="Arial Unicode MS"/>
                <w:color w:val="000000"/>
                <w:sz w:val="20"/>
                <w:szCs w:val="20"/>
              </w:rPr>
            </w:pPr>
            <w:r>
              <w:rPr>
                <w:rFonts w:ascii="Calibri" w:hAnsi="Calibri" w:cs="Arial Unicode MS"/>
                <w:color w:val="000000"/>
                <w:sz w:val="20"/>
                <w:szCs w:val="20"/>
              </w:rPr>
              <w:t>$400</w:t>
            </w:r>
            <w:r>
              <w:rPr>
                <w:rFonts w:ascii="Calibri" w:hAnsi="Calibri" w:cs="Arial Unicode MS"/>
                <w:color w:val="000000"/>
                <w:sz w:val="20"/>
                <w:szCs w:val="20"/>
              </w:rPr>
              <w:br/>
              <w:t>+ 1.3</w:t>
            </w:r>
            <w:r w:rsidR="008A32B2" w:rsidRPr="008A32B2">
              <w:rPr>
                <w:rFonts w:ascii="Calibri" w:hAnsi="Calibri" w:cs="Arial Unicode MS"/>
                <w:color w:val="000000"/>
                <w:sz w:val="20"/>
                <w:szCs w:val="20"/>
              </w:rPr>
              <w:t>%</w:t>
            </w:r>
          </w:p>
        </w:tc>
        <w:tc>
          <w:tcPr>
            <w:tcW w:w="1778" w:type="dxa"/>
            <w:shd w:val="clear" w:color="auto" w:fill="FFFFFF" w:themeFill="background1"/>
          </w:tcPr>
          <w:p w:rsidR="008A32B2" w:rsidRPr="008A32B2" w:rsidRDefault="00503EB7" w:rsidP="008A32B2">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alibri" w:hAnsi="Calibri" w:cs="Arial Unicode MS"/>
                <w:color w:val="000000"/>
                <w:sz w:val="20"/>
                <w:szCs w:val="20"/>
              </w:rPr>
            </w:pPr>
            <w:r>
              <w:rPr>
                <w:rFonts w:ascii="Calibri" w:hAnsi="Calibri" w:cs="Arial Unicode MS"/>
                <w:color w:val="000000"/>
                <w:sz w:val="20"/>
                <w:szCs w:val="20"/>
              </w:rPr>
              <w:t>$440</w:t>
            </w:r>
            <w:r w:rsidR="00025EFE">
              <w:rPr>
                <w:rFonts w:ascii="Calibri" w:hAnsi="Calibri" w:cs="Arial Unicode MS"/>
                <w:color w:val="000000"/>
                <w:sz w:val="20"/>
                <w:szCs w:val="20"/>
              </w:rPr>
              <w:br/>
              <w:t xml:space="preserve">+ </w:t>
            </w:r>
            <w:r>
              <w:rPr>
                <w:rFonts w:ascii="Calibri" w:hAnsi="Calibri" w:cs="Arial Unicode MS"/>
                <w:color w:val="000000"/>
                <w:sz w:val="20"/>
                <w:szCs w:val="20"/>
              </w:rPr>
              <w:t>4.8</w:t>
            </w:r>
            <w:r w:rsidR="008A32B2" w:rsidRPr="008A32B2">
              <w:rPr>
                <w:rFonts w:ascii="Calibri" w:hAnsi="Calibri" w:cs="Arial Unicode MS"/>
                <w:color w:val="000000"/>
                <w:sz w:val="20"/>
                <w:szCs w:val="20"/>
              </w:rPr>
              <w:t>%</w:t>
            </w:r>
          </w:p>
        </w:tc>
        <w:tc>
          <w:tcPr>
            <w:tcW w:w="1797" w:type="dxa"/>
            <w:shd w:val="clear" w:color="auto" w:fill="FFFFFF" w:themeFill="background1"/>
          </w:tcPr>
          <w:p w:rsidR="008A32B2" w:rsidRPr="008A32B2" w:rsidRDefault="00503EB7" w:rsidP="00503EB7">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alibri" w:hAnsi="Calibri" w:cs="Arial Unicode MS"/>
                <w:color w:val="000000"/>
                <w:sz w:val="20"/>
                <w:szCs w:val="20"/>
              </w:rPr>
            </w:pPr>
            <w:r>
              <w:rPr>
                <w:rFonts w:ascii="Calibri" w:hAnsi="Calibri" w:cs="Arial Unicode MS"/>
                <w:color w:val="000000"/>
                <w:sz w:val="20"/>
                <w:szCs w:val="20"/>
              </w:rPr>
              <w:t>$400</w:t>
            </w:r>
            <w:r w:rsidR="00DF667E">
              <w:rPr>
                <w:rFonts w:ascii="Calibri" w:hAnsi="Calibri" w:cs="Arial Unicode MS"/>
                <w:color w:val="000000"/>
                <w:sz w:val="20"/>
                <w:szCs w:val="20"/>
              </w:rPr>
              <w:br/>
            </w:r>
            <w:r w:rsidRPr="00DF667E">
              <w:rPr>
                <w:rFonts w:ascii="Calibri" w:hAnsi="Calibri" w:cs="Arial Unicode MS"/>
                <w:color w:val="FF0000"/>
                <w:sz w:val="20"/>
                <w:szCs w:val="20"/>
              </w:rPr>
              <w:t>- 2.</w:t>
            </w:r>
            <w:r>
              <w:rPr>
                <w:rFonts w:ascii="Calibri" w:hAnsi="Calibri" w:cs="Arial Unicode MS"/>
                <w:color w:val="FF0000"/>
                <w:sz w:val="20"/>
                <w:szCs w:val="20"/>
              </w:rPr>
              <w:t>4</w:t>
            </w:r>
            <w:r w:rsidRPr="00DF667E">
              <w:rPr>
                <w:rFonts w:ascii="Calibri" w:hAnsi="Calibri" w:cs="Arial Unicode MS"/>
                <w:color w:val="FF0000"/>
                <w:sz w:val="20"/>
                <w:szCs w:val="20"/>
              </w:rPr>
              <w:t>%</w:t>
            </w:r>
          </w:p>
        </w:tc>
        <w:tc>
          <w:tcPr>
            <w:tcW w:w="1826" w:type="dxa"/>
            <w:shd w:val="clear" w:color="auto" w:fill="FFFFFF" w:themeFill="background1"/>
          </w:tcPr>
          <w:p w:rsidR="008A32B2" w:rsidRPr="008A32B2" w:rsidRDefault="00DF667E" w:rsidP="00503EB7">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alibri" w:hAnsi="Calibri" w:cs="Arial Unicode MS"/>
                <w:color w:val="FF0000"/>
                <w:sz w:val="20"/>
                <w:szCs w:val="20"/>
              </w:rPr>
            </w:pPr>
            <w:r>
              <w:rPr>
                <w:rFonts w:ascii="Calibri" w:hAnsi="Calibri" w:cs="Arial Unicode MS"/>
                <w:color w:val="000000"/>
                <w:sz w:val="20"/>
                <w:szCs w:val="20"/>
              </w:rPr>
              <w:t>$</w:t>
            </w:r>
            <w:r w:rsidR="00503EB7">
              <w:rPr>
                <w:rFonts w:ascii="Calibri" w:hAnsi="Calibri" w:cs="Arial Unicode MS"/>
                <w:color w:val="000000"/>
                <w:sz w:val="20"/>
                <w:szCs w:val="20"/>
              </w:rPr>
              <w:t>439</w:t>
            </w:r>
            <w:r>
              <w:rPr>
                <w:rFonts w:ascii="Calibri" w:hAnsi="Calibri" w:cs="Arial Unicode MS"/>
                <w:color w:val="000000"/>
                <w:sz w:val="20"/>
                <w:szCs w:val="20"/>
              </w:rPr>
              <w:br/>
            </w:r>
            <w:r w:rsidR="00503EB7" w:rsidRPr="00503EB7">
              <w:rPr>
                <w:rFonts w:ascii="Calibri" w:hAnsi="Calibri" w:cs="Arial Unicode MS"/>
                <w:color w:val="000000"/>
                <w:sz w:val="20"/>
                <w:szCs w:val="20"/>
              </w:rPr>
              <w:t>+</w:t>
            </w:r>
            <w:r w:rsidR="008A32B2" w:rsidRPr="00503EB7">
              <w:rPr>
                <w:rFonts w:ascii="Calibri" w:hAnsi="Calibri" w:cs="Arial Unicode MS"/>
                <w:color w:val="000000"/>
                <w:sz w:val="20"/>
                <w:szCs w:val="20"/>
              </w:rPr>
              <w:t xml:space="preserve"> </w:t>
            </w:r>
            <w:r w:rsidR="00503EB7" w:rsidRPr="00503EB7">
              <w:rPr>
                <w:rFonts w:ascii="Calibri" w:hAnsi="Calibri" w:cs="Arial Unicode MS"/>
                <w:color w:val="000000"/>
                <w:sz w:val="20"/>
                <w:szCs w:val="20"/>
              </w:rPr>
              <w:t>18.6</w:t>
            </w:r>
            <w:r w:rsidR="008A32B2" w:rsidRPr="00503EB7">
              <w:rPr>
                <w:rFonts w:ascii="Calibri" w:hAnsi="Calibri" w:cs="Arial Unicode MS"/>
                <w:color w:val="000000"/>
                <w:sz w:val="20"/>
                <w:szCs w:val="20"/>
              </w:rPr>
              <w:t>%</w:t>
            </w:r>
          </w:p>
        </w:tc>
      </w:tr>
      <w:tr w:rsidR="008A32B2" w:rsidRPr="008A32B2" w:rsidTr="00DD07FD">
        <w:trPr>
          <w:tblCellSpacing w:w="57" w:type="dxa"/>
        </w:trPr>
        <w:tc>
          <w:tcPr>
            <w:cnfStyle w:val="001000000000" w:firstRow="0" w:lastRow="0" w:firstColumn="1" w:lastColumn="0" w:oddVBand="0" w:evenVBand="0" w:oddHBand="0" w:evenHBand="0" w:firstRowFirstColumn="0" w:firstRowLastColumn="0" w:lastRowFirstColumn="0" w:lastRowLastColumn="0"/>
            <w:tcW w:w="1805" w:type="dxa"/>
            <w:shd w:val="clear" w:color="auto" w:fill="E5E5E5" w:themeFill="background2" w:themeFillTint="66"/>
          </w:tcPr>
          <w:p w:rsidR="008A32B2" w:rsidRPr="008A32B2" w:rsidRDefault="008A32B2" w:rsidP="008A32B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Arial Unicode MS"/>
                <w:color w:val="000000"/>
                <w:sz w:val="20"/>
                <w:szCs w:val="20"/>
              </w:rPr>
            </w:pPr>
            <w:r w:rsidRPr="008A32B2">
              <w:rPr>
                <w:rFonts w:ascii="Calibri" w:hAnsi="Calibri" w:cs="Arial Unicode MS"/>
                <w:color w:val="000000"/>
                <w:sz w:val="20"/>
                <w:szCs w:val="20"/>
              </w:rPr>
              <w:t>Townhouses</w:t>
            </w:r>
          </w:p>
        </w:tc>
        <w:tc>
          <w:tcPr>
            <w:tcW w:w="1748" w:type="dxa"/>
            <w:shd w:val="clear" w:color="auto" w:fill="FFFFFF" w:themeFill="background1"/>
          </w:tcPr>
          <w:p w:rsidR="008A32B2" w:rsidRPr="008A32B2" w:rsidRDefault="00503EB7" w:rsidP="00025EFE">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Calibri" w:hAnsi="Calibri" w:cs="Arial Unicode MS"/>
                <w:color w:val="000000"/>
                <w:sz w:val="20"/>
                <w:szCs w:val="20"/>
              </w:rPr>
            </w:pPr>
            <w:r>
              <w:rPr>
                <w:rFonts w:ascii="Calibri" w:hAnsi="Calibri" w:cs="Arial Unicode MS"/>
                <w:color w:val="000000"/>
                <w:sz w:val="20"/>
                <w:szCs w:val="20"/>
              </w:rPr>
              <w:t>$460</w:t>
            </w:r>
            <w:r>
              <w:rPr>
                <w:rFonts w:ascii="Calibri" w:hAnsi="Calibri" w:cs="Arial Unicode MS"/>
                <w:color w:val="000000"/>
                <w:sz w:val="20"/>
                <w:szCs w:val="20"/>
              </w:rPr>
              <w:br/>
              <w:t>+ 2.2</w:t>
            </w:r>
            <w:r w:rsidR="008A32B2" w:rsidRPr="008A32B2">
              <w:rPr>
                <w:rFonts w:ascii="Calibri" w:hAnsi="Calibri" w:cs="Arial Unicode MS"/>
                <w:color w:val="000000"/>
                <w:sz w:val="20"/>
                <w:szCs w:val="20"/>
              </w:rPr>
              <w:t>%</w:t>
            </w:r>
          </w:p>
        </w:tc>
        <w:tc>
          <w:tcPr>
            <w:tcW w:w="1778" w:type="dxa"/>
            <w:shd w:val="clear" w:color="auto" w:fill="FFFFFF" w:themeFill="background1"/>
          </w:tcPr>
          <w:p w:rsidR="008A32B2" w:rsidRPr="008A32B2" w:rsidRDefault="008A32B2" w:rsidP="00025EFE">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Calibri" w:hAnsi="Calibri" w:cs="Arial Unicode MS"/>
                <w:color w:val="000000"/>
                <w:sz w:val="20"/>
                <w:szCs w:val="20"/>
              </w:rPr>
            </w:pPr>
            <w:r w:rsidRPr="008A32B2">
              <w:rPr>
                <w:rFonts w:ascii="Calibri" w:hAnsi="Calibri" w:cs="Arial Unicode MS"/>
                <w:color w:val="000000"/>
                <w:sz w:val="20"/>
                <w:szCs w:val="20"/>
              </w:rPr>
              <w:t>$</w:t>
            </w:r>
            <w:r w:rsidR="00503EB7">
              <w:rPr>
                <w:rFonts w:ascii="Calibri" w:hAnsi="Calibri" w:cs="Arial Unicode MS"/>
                <w:color w:val="000000"/>
                <w:sz w:val="20"/>
                <w:szCs w:val="20"/>
              </w:rPr>
              <w:t>532</w:t>
            </w:r>
            <w:r w:rsidR="00025EFE">
              <w:rPr>
                <w:rFonts w:ascii="Calibri" w:hAnsi="Calibri" w:cs="Arial Unicode MS"/>
                <w:color w:val="000000"/>
                <w:sz w:val="20"/>
                <w:szCs w:val="20"/>
              </w:rPr>
              <w:br/>
            </w:r>
            <w:r w:rsidR="00503EB7" w:rsidRPr="00503EB7">
              <w:rPr>
                <w:rFonts w:ascii="Calibri" w:hAnsi="Calibri" w:cs="Arial Unicode MS"/>
                <w:color w:val="000000"/>
                <w:sz w:val="20"/>
                <w:szCs w:val="20"/>
              </w:rPr>
              <w:t>+ 1.4</w:t>
            </w:r>
            <w:r w:rsidRPr="00503EB7">
              <w:rPr>
                <w:rFonts w:ascii="Calibri" w:hAnsi="Calibri" w:cs="Arial Unicode MS"/>
                <w:color w:val="000000"/>
                <w:sz w:val="20"/>
                <w:szCs w:val="20"/>
              </w:rPr>
              <w:t>%</w:t>
            </w:r>
          </w:p>
        </w:tc>
        <w:tc>
          <w:tcPr>
            <w:tcW w:w="1797" w:type="dxa"/>
            <w:shd w:val="clear" w:color="auto" w:fill="FFFFFF" w:themeFill="background1"/>
          </w:tcPr>
          <w:p w:rsidR="008A32B2" w:rsidRPr="008A32B2" w:rsidRDefault="008A32B2" w:rsidP="008A32B2">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Calibri" w:hAnsi="Calibri" w:cs="Arial Unicode MS"/>
                <w:color w:val="auto"/>
                <w:sz w:val="20"/>
                <w:szCs w:val="20"/>
              </w:rPr>
            </w:pPr>
            <w:r w:rsidRPr="008A32B2">
              <w:rPr>
                <w:rFonts w:ascii="Calibri" w:hAnsi="Calibri" w:cs="Arial Unicode MS"/>
                <w:color w:val="auto"/>
                <w:sz w:val="20"/>
                <w:szCs w:val="20"/>
              </w:rPr>
              <w:t>$</w:t>
            </w:r>
            <w:r w:rsidR="00503EB7">
              <w:rPr>
                <w:rFonts w:ascii="Calibri" w:hAnsi="Calibri" w:cs="Arial Unicode MS"/>
                <w:color w:val="auto"/>
                <w:sz w:val="20"/>
                <w:szCs w:val="20"/>
              </w:rPr>
              <w:t>400</w:t>
            </w:r>
            <w:r w:rsidR="00DF667E">
              <w:rPr>
                <w:rFonts w:ascii="Calibri" w:hAnsi="Calibri" w:cs="Arial Unicode MS"/>
                <w:color w:val="auto"/>
                <w:sz w:val="20"/>
                <w:szCs w:val="20"/>
              </w:rPr>
              <w:br/>
            </w:r>
            <w:r w:rsidR="00503EB7" w:rsidRPr="00DF667E">
              <w:rPr>
                <w:rFonts w:ascii="Calibri" w:hAnsi="Calibri" w:cs="Arial Unicode MS"/>
                <w:color w:val="FF0000"/>
                <w:sz w:val="20"/>
                <w:szCs w:val="20"/>
              </w:rPr>
              <w:t>- 2.</w:t>
            </w:r>
            <w:r w:rsidR="00503EB7">
              <w:rPr>
                <w:rFonts w:ascii="Calibri" w:hAnsi="Calibri" w:cs="Arial Unicode MS"/>
                <w:color w:val="FF0000"/>
                <w:sz w:val="20"/>
                <w:szCs w:val="20"/>
              </w:rPr>
              <w:t>4</w:t>
            </w:r>
            <w:r w:rsidR="00503EB7" w:rsidRPr="00DF667E">
              <w:rPr>
                <w:rFonts w:ascii="Calibri" w:hAnsi="Calibri" w:cs="Arial Unicode MS"/>
                <w:color w:val="FF0000"/>
                <w:sz w:val="20"/>
                <w:szCs w:val="20"/>
              </w:rPr>
              <w:t>%</w:t>
            </w:r>
          </w:p>
        </w:tc>
        <w:tc>
          <w:tcPr>
            <w:tcW w:w="1826" w:type="dxa"/>
            <w:shd w:val="clear" w:color="auto" w:fill="FFFFFF" w:themeFill="background1"/>
          </w:tcPr>
          <w:p w:rsidR="008A32B2" w:rsidRPr="008A32B2" w:rsidRDefault="00DF667E" w:rsidP="00503EB7">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Calibri" w:hAnsi="Calibri" w:cs="Arial Unicode MS"/>
                <w:color w:val="000000"/>
                <w:sz w:val="20"/>
                <w:szCs w:val="20"/>
              </w:rPr>
            </w:pPr>
            <w:r>
              <w:rPr>
                <w:rFonts w:ascii="Calibri" w:hAnsi="Calibri" w:cs="Arial Unicode MS"/>
                <w:color w:val="000000"/>
                <w:sz w:val="20"/>
                <w:szCs w:val="20"/>
              </w:rPr>
              <w:t>$</w:t>
            </w:r>
            <w:r w:rsidR="00503EB7">
              <w:rPr>
                <w:rFonts w:ascii="Calibri" w:hAnsi="Calibri" w:cs="Arial Unicode MS"/>
                <w:color w:val="000000"/>
                <w:sz w:val="20"/>
                <w:szCs w:val="20"/>
              </w:rPr>
              <w:t>500</w:t>
            </w:r>
            <w:r w:rsidR="00503EB7">
              <w:rPr>
                <w:rFonts w:ascii="Calibri" w:hAnsi="Calibri" w:cs="Arial Unicode MS"/>
                <w:color w:val="000000"/>
                <w:sz w:val="20"/>
                <w:szCs w:val="20"/>
              </w:rPr>
              <w:br/>
              <w:t>+ 11</w:t>
            </w:r>
            <w:r w:rsidR="008A32B2" w:rsidRPr="008A32B2">
              <w:rPr>
                <w:rFonts w:ascii="Calibri" w:hAnsi="Calibri" w:cs="Arial Unicode MS"/>
                <w:color w:val="000000"/>
                <w:sz w:val="20"/>
                <w:szCs w:val="20"/>
              </w:rPr>
              <w:t>.</w:t>
            </w:r>
            <w:r w:rsidR="00503EB7">
              <w:rPr>
                <w:rFonts w:ascii="Calibri" w:hAnsi="Calibri" w:cs="Arial Unicode MS"/>
                <w:color w:val="000000"/>
                <w:sz w:val="20"/>
                <w:szCs w:val="20"/>
              </w:rPr>
              <w:t>1</w:t>
            </w:r>
            <w:r w:rsidR="008A32B2" w:rsidRPr="008A32B2">
              <w:rPr>
                <w:rFonts w:ascii="Calibri" w:hAnsi="Calibri" w:cs="Arial Unicode MS"/>
                <w:color w:val="000000"/>
                <w:sz w:val="20"/>
                <w:szCs w:val="20"/>
              </w:rPr>
              <w:t>%</w:t>
            </w:r>
          </w:p>
        </w:tc>
      </w:tr>
      <w:tr w:rsidR="008A32B2" w:rsidRPr="008A32B2" w:rsidTr="00DD07FD">
        <w:trPr>
          <w:cnfStyle w:val="000000100000" w:firstRow="0" w:lastRow="0" w:firstColumn="0" w:lastColumn="0" w:oddVBand="0" w:evenVBand="0" w:oddHBand="1" w:evenHBand="0" w:firstRowFirstColumn="0" w:firstRowLastColumn="0" w:lastRowFirstColumn="0" w:lastRowLastColumn="0"/>
          <w:tblCellSpacing w:w="57" w:type="dxa"/>
        </w:trPr>
        <w:tc>
          <w:tcPr>
            <w:cnfStyle w:val="001000000000" w:firstRow="0" w:lastRow="0" w:firstColumn="1" w:lastColumn="0" w:oddVBand="0" w:evenVBand="0" w:oddHBand="0" w:evenHBand="0" w:firstRowFirstColumn="0" w:firstRowLastColumn="0" w:lastRowFirstColumn="0" w:lastRowLastColumn="0"/>
            <w:tcW w:w="1805" w:type="dxa"/>
            <w:shd w:val="clear" w:color="auto" w:fill="E5E5E5" w:themeFill="background2" w:themeFillTint="66"/>
          </w:tcPr>
          <w:p w:rsidR="008A32B2" w:rsidRPr="008A32B2" w:rsidRDefault="008A32B2" w:rsidP="008A32B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Arial Unicode MS"/>
                <w:color w:val="000000"/>
                <w:sz w:val="20"/>
                <w:szCs w:val="20"/>
              </w:rPr>
            </w:pPr>
            <w:r w:rsidRPr="008A32B2">
              <w:rPr>
                <w:rFonts w:ascii="Calibri" w:hAnsi="Calibri" w:cs="Arial Unicode MS"/>
                <w:color w:val="000000"/>
                <w:sz w:val="20"/>
                <w:szCs w:val="20"/>
              </w:rPr>
              <w:t>Units</w:t>
            </w:r>
          </w:p>
        </w:tc>
        <w:tc>
          <w:tcPr>
            <w:tcW w:w="1748" w:type="dxa"/>
            <w:shd w:val="clear" w:color="auto" w:fill="FFFFFF" w:themeFill="background1"/>
          </w:tcPr>
          <w:p w:rsidR="008A32B2" w:rsidRPr="008A32B2" w:rsidRDefault="00503EB7" w:rsidP="008A32B2">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alibri" w:hAnsi="Calibri" w:cs="Arial Unicode MS"/>
                <w:color w:val="000000"/>
                <w:sz w:val="20"/>
                <w:szCs w:val="20"/>
              </w:rPr>
            </w:pPr>
            <w:r>
              <w:rPr>
                <w:rFonts w:ascii="Calibri" w:hAnsi="Calibri" w:cs="Arial Unicode MS"/>
                <w:color w:val="000000"/>
                <w:sz w:val="20"/>
                <w:szCs w:val="20"/>
              </w:rPr>
              <w:t>$310</w:t>
            </w:r>
            <w:r w:rsidR="00025EFE">
              <w:rPr>
                <w:rFonts w:ascii="Calibri" w:hAnsi="Calibri" w:cs="Arial Unicode MS"/>
                <w:color w:val="000000"/>
                <w:sz w:val="20"/>
                <w:szCs w:val="20"/>
              </w:rPr>
              <w:br/>
            </w:r>
            <w:r w:rsidRPr="00DF667E">
              <w:rPr>
                <w:rFonts w:ascii="Calibri" w:hAnsi="Calibri" w:cs="Arial Unicode MS"/>
                <w:color w:val="auto"/>
                <w:sz w:val="20"/>
                <w:szCs w:val="20"/>
              </w:rPr>
              <w:t>No Change</w:t>
            </w:r>
          </w:p>
        </w:tc>
        <w:tc>
          <w:tcPr>
            <w:tcW w:w="1778" w:type="dxa"/>
            <w:shd w:val="clear" w:color="auto" w:fill="FFFFFF" w:themeFill="background1"/>
          </w:tcPr>
          <w:p w:rsidR="008A32B2" w:rsidRPr="008A32B2" w:rsidRDefault="00503EB7" w:rsidP="00025EFE">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alibri" w:hAnsi="Calibri" w:cs="Arial Unicode MS"/>
                <w:color w:val="000000"/>
                <w:sz w:val="20"/>
                <w:szCs w:val="20"/>
              </w:rPr>
            </w:pPr>
            <w:r>
              <w:rPr>
                <w:rFonts w:ascii="Calibri" w:hAnsi="Calibri" w:cs="Arial Unicode MS"/>
                <w:color w:val="000000"/>
                <w:sz w:val="20"/>
                <w:szCs w:val="20"/>
              </w:rPr>
              <w:t>$370</w:t>
            </w:r>
            <w:r w:rsidR="00025EFE">
              <w:rPr>
                <w:rFonts w:ascii="Calibri" w:hAnsi="Calibri" w:cs="Arial Unicode MS"/>
                <w:color w:val="000000"/>
                <w:sz w:val="20"/>
                <w:szCs w:val="20"/>
              </w:rPr>
              <w:br/>
              <w:t>+ 2</w:t>
            </w:r>
            <w:r w:rsidR="008A32B2" w:rsidRPr="008A32B2">
              <w:rPr>
                <w:rFonts w:ascii="Calibri" w:hAnsi="Calibri" w:cs="Arial Unicode MS"/>
                <w:color w:val="000000"/>
                <w:sz w:val="20"/>
                <w:szCs w:val="20"/>
              </w:rPr>
              <w:t>.</w:t>
            </w:r>
            <w:r>
              <w:rPr>
                <w:rFonts w:ascii="Calibri" w:hAnsi="Calibri" w:cs="Arial Unicode MS"/>
                <w:color w:val="000000"/>
                <w:sz w:val="20"/>
                <w:szCs w:val="20"/>
              </w:rPr>
              <w:t>8</w:t>
            </w:r>
            <w:r w:rsidR="008A32B2" w:rsidRPr="008A32B2">
              <w:rPr>
                <w:rFonts w:ascii="Calibri" w:hAnsi="Calibri" w:cs="Arial Unicode MS"/>
                <w:color w:val="000000"/>
                <w:sz w:val="20"/>
                <w:szCs w:val="20"/>
              </w:rPr>
              <w:t>%</w:t>
            </w:r>
            <w:r w:rsidR="008A32B2" w:rsidRPr="008A32B2">
              <w:rPr>
                <w:rFonts w:ascii="Calibri" w:hAnsi="Calibri" w:cs="Arial Unicode MS"/>
                <w:color w:val="000000"/>
                <w:sz w:val="20"/>
                <w:szCs w:val="20"/>
              </w:rPr>
              <w:tab/>
            </w:r>
          </w:p>
        </w:tc>
        <w:tc>
          <w:tcPr>
            <w:tcW w:w="1797" w:type="dxa"/>
            <w:shd w:val="clear" w:color="auto" w:fill="FFFFFF" w:themeFill="background1"/>
          </w:tcPr>
          <w:p w:rsidR="008A32B2" w:rsidRPr="008A32B2" w:rsidRDefault="008A32B2" w:rsidP="00DF667E">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alibri" w:hAnsi="Calibri" w:cs="Arial Unicode MS"/>
                <w:color w:val="000000"/>
                <w:sz w:val="20"/>
                <w:szCs w:val="20"/>
              </w:rPr>
            </w:pPr>
            <w:r w:rsidRPr="008A32B2">
              <w:rPr>
                <w:rFonts w:ascii="Calibri" w:hAnsi="Calibri" w:cs="Arial Unicode MS"/>
                <w:color w:val="000000"/>
                <w:sz w:val="20"/>
                <w:szCs w:val="20"/>
              </w:rPr>
              <w:t>$</w:t>
            </w:r>
            <w:r w:rsidR="00DF667E">
              <w:rPr>
                <w:rFonts w:ascii="Calibri" w:hAnsi="Calibri" w:cs="Arial Unicode MS"/>
                <w:color w:val="000000"/>
                <w:sz w:val="20"/>
                <w:szCs w:val="20"/>
              </w:rPr>
              <w:t>300</w:t>
            </w:r>
            <w:r w:rsidRPr="008A32B2">
              <w:rPr>
                <w:rFonts w:ascii="Calibri" w:hAnsi="Calibri" w:cs="Arial Unicode MS"/>
                <w:color w:val="000000"/>
                <w:sz w:val="20"/>
                <w:szCs w:val="20"/>
              </w:rPr>
              <w:br/>
            </w:r>
            <w:r w:rsidR="00DF667E" w:rsidRPr="00DF667E">
              <w:rPr>
                <w:rFonts w:ascii="Calibri" w:hAnsi="Calibri" w:cs="Arial Unicode MS"/>
                <w:color w:val="auto"/>
                <w:sz w:val="20"/>
                <w:szCs w:val="20"/>
              </w:rPr>
              <w:t>No Change</w:t>
            </w:r>
            <w:r w:rsidRPr="008A32B2">
              <w:rPr>
                <w:rFonts w:ascii="Calibri" w:hAnsi="Calibri" w:cs="Arial Unicode MS"/>
                <w:color w:val="000000"/>
                <w:sz w:val="20"/>
                <w:szCs w:val="20"/>
              </w:rPr>
              <w:tab/>
            </w:r>
          </w:p>
        </w:tc>
        <w:tc>
          <w:tcPr>
            <w:tcW w:w="1826" w:type="dxa"/>
            <w:shd w:val="clear" w:color="auto" w:fill="FFFFFF" w:themeFill="background1"/>
          </w:tcPr>
          <w:p w:rsidR="008A32B2" w:rsidRPr="008A32B2" w:rsidRDefault="008A32B2" w:rsidP="00DF667E">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alibri" w:hAnsi="Calibri" w:cs="Arial Unicode MS"/>
                <w:color w:val="000000"/>
                <w:sz w:val="20"/>
                <w:szCs w:val="20"/>
              </w:rPr>
            </w:pPr>
            <w:r w:rsidRPr="008A32B2">
              <w:rPr>
                <w:rFonts w:ascii="Calibri" w:hAnsi="Calibri" w:cs="Arial Unicode MS"/>
                <w:color w:val="000000"/>
                <w:sz w:val="20"/>
                <w:szCs w:val="20"/>
              </w:rPr>
              <w:t>$</w:t>
            </w:r>
            <w:r w:rsidR="00503EB7">
              <w:rPr>
                <w:rFonts w:ascii="Calibri" w:hAnsi="Calibri" w:cs="Arial Unicode MS"/>
                <w:color w:val="000000"/>
                <w:sz w:val="20"/>
                <w:szCs w:val="20"/>
              </w:rPr>
              <w:t>350</w:t>
            </w:r>
            <w:r w:rsidRPr="008A32B2">
              <w:rPr>
                <w:rFonts w:ascii="Calibri" w:hAnsi="Calibri" w:cs="Arial Unicode MS"/>
                <w:color w:val="000000"/>
                <w:sz w:val="20"/>
                <w:szCs w:val="20"/>
              </w:rPr>
              <w:br/>
              <w:t xml:space="preserve">+ </w:t>
            </w:r>
            <w:r w:rsidR="00503EB7">
              <w:rPr>
                <w:rFonts w:ascii="Calibri" w:hAnsi="Calibri" w:cs="Arial Unicode MS"/>
                <w:color w:val="000000"/>
                <w:sz w:val="20"/>
                <w:szCs w:val="20"/>
              </w:rPr>
              <w:t>2.9</w:t>
            </w:r>
            <w:r w:rsidRPr="008A32B2">
              <w:rPr>
                <w:rFonts w:ascii="Calibri" w:hAnsi="Calibri" w:cs="Arial Unicode MS"/>
                <w:color w:val="000000"/>
                <w:sz w:val="20"/>
                <w:szCs w:val="20"/>
              </w:rPr>
              <w:t>%</w:t>
            </w:r>
          </w:p>
        </w:tc>
      </w:tr>
      <w:tr w:rsidR="00503EB7" w:rsidRPr="008A32B2" w:rsidTr="00DD07FD">
        <w:trPr>
          <w:tblCellSpacing w:w="57" w:type="dxa"/>
        </w:trPr>
        <w:tc>
          <w:tcPr>
            <w:cnfStyle w:val="001000000000" w:firstRow="0" w:lastRow="0" w:firstColumn="1" w:lastColumn="0" w:oddVBand="0" w:evenVBand="0" w:oddHBand="0" w:evenHBand="0" w:firstRowFirstColumn="0" w:firstRowLastColumn="0" w:lastRowFirstColumn="0" w:lastRowLastColumn="0"/>
            <w:tcW w:w="1805" w:type="dxa"/>
            <w:shd w:val="clear" w:color="auto" w:fill="E5E5E5" w:themeFill="background2" w:themeFillTint="66"/>
          </w:tcPr>
          <w:p w:rsidR="00503EB7" w:rsidRPr="008A32B2" w:rsidRDefault="00503EB7" w:rsidP="00503EB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Arial Unicode MS"/>
                <w:color w:val="000000"/>
                <w:sz w:val="20"/>
                <w:szCs w:val="20"/>
              </w:rPr>
            </w:pPr>
            <w:r w:rsidRPr="008A32B2">
              <w:rPr>
                <w:rFonts w:ascii="Calibri" w:hAnsi="Calibri" w:cs="Arial Unicode MS"/>
                <w:color w:val="000000"/>
                <w:sz w:val="20"/>
                <w:szCs w:val="20"/>
              </w:rPr>
              <w:t>All property types</w:t>
            </w:r>
          </w:p>
        </w:tc>
        <w:tc>
          <w:tcPr>
            <w:tcW w:w="1748" w:type="dxa"/>
            <w:shd w:val="clear" w:color="auto" w:fill="FFFFFF" w:themeFill="background1"/>
          </w:tcPr>
          <w:p w:rsidR="00503EB7" w:rsidRDefault="00503EB7" w:rsidP="00503EB7">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$420</w:t>
            </w:r>
            <w:r w:rsidRPr="0040184F">
              <w:rPr>
                <w:rFonts w:ascii="Calibri" w:hAnsi="Calibri"/>
                <w:sz w:val="20"/>
                <w:szCs w:val="20"/>
              </w:rPr>
              <w:br/>
            </w:r>
            <w:r>
              <w:rPr>
                <w:rFonts w:ascii="Calibri" w:hAnsi="Calibri"/>
                <w:sz w:val="20"/>
                <w:szCs w:val="20"/>
              </w:rPr>
              <w:t>+ 7.7</w:t>
            </w:r>
            <w:r w:rsidRPr="0040184F">
              <w:rPr>
                <w:rFonts w:ascii="Calibri" w:hAnsi="Calibri"/>
                <w:sz w:val="20"/>
                <w:szCs w:val="20"/>
              </w:rPr>
              <w:t>%</w:t>
            </w:r>
          </w:p>
        </w:tc>
        <w:tc>
          <w:tcPr>
            <w:tcW w:w="1778" w:type="dxa"/>
            <w:shd w:val="clear" w:color="auto" w:fill="FFFFFF" w:themeFill="background1"/>
          </w:tcPr>
          <w:p w:rsidR="00503EB7" w:rsidRDefault="00503EB7" w:rsidP="00503EB7">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40184F">
              <w:rPr>
                <w:rFonts w:ascii="Calibri" w:hAnsi="Calibri"/>
                <w:sz w:val="20"/>
                <w:szCs w:val="20"/>
              </w:rPr>
              <w:t>$</w:t>
            </w:r>
            <w:r>
              <w:rPr>
                <w:rFonts w:ascii="Calibri" w:hAnsi="Calibri"/>
                <w:sz w:val="20"/>
                <w:szCs w:val="20"/>
              </w:rPr>
              <w:t>480</w:t>
            </w:r>
            <w:r>
              <w:rPr>
                <w:rFonts w:ascii="Calibri" w:hAnsi="Calibri"/>
                <w:sz w:val="20"/>
                <w:szCs w:val="20"/>
              </w:rPr>
              <w:br/>
              <w:t>+ 6.7%</w:t>
            </w:r>
          </w:p>
        </w:tc>
        <w:tc>
          <w:tcPr>
            <w:tcW w:w="1797" w:type="dxa"/>
            <w:shd w:val="clear" w:color="auto" w:fill="FFFFFF" w:themeFill="background1"/>
          </w:tcPr>
          <w:p w:rsidR="00503EB7" w:rsidRDefault="00503EB7" w:rsidP="00503EB7">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$400</w:t>
            </w:r>
            <w:r>
              <w:rPr>
                <w:rFonts w:ascii="Calibri" w:hAnsi="Calibri"/>
                <w:sz w:val="20"/>
                <w:szCs w:val="20"/>
              </w:rPr>
              <w:br/>
              <w:t>+ 2.6</w:t>
            </w:r>
            <w:r w:rsidRPr="0040184F">
              <w:rPr>
                <w:rFonts w:ascii="Calibri" w:hAnsi="Calibri"/>
                <w:sz w:val="20"/>
                <w:szCs w:val="20"/>
              </w:rPr>
              <w:t>%</w:t>
            </w:r>
          </w:p>
        </w:tc>
        <w:tc>
          <w:tcPr>
            <w:tcW w:w="1826" w:type="dxa"/>
            <w:shd w:val="clear" w:color="auto" w:fill="FFFFFF" w:themeFill="background1"/>
          </w:tcPr>
          <w:p w:rsidR="00503EB7" w:rsidRDefault="00503EB7" w:rsidP="00503EB7">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$495</w:t>
            </w:r>
            <w:r>
              <w:rPr>
                <w:rFonts w:ascii="Calibri" w:hAnsi="Calibri"/>
                <w:sz w:val="20"/>
                <w:szCs w:val="20"/>
              </w:rPr>
              <w:br/>
              <w:t>+ 10.0</w:t>
            </w:r>
            <w:r w:rsidRPr="0040184F">
              <w:rPr>
                <w:rFonts w:ascii="Calibri" w:hAnsi="Calibri"/>
                <w:sz w:val="20"/>
                <w:szCs w:val="20"/>
              </w:rPr>
              <w:t>%</w:t>
            </w:r>
          </w:p>
        </w:tc>
      </w:tr>
    </w:tbl>
    <w:p w:rsidR="008A32B2" w:rsidRPr="008A32B2" w:rsidRDefault="008A32B2" w:rsidP="008A32B2">
      <w:pPr>
        <w:rPr>
          <w:rFonts w:ascii="Calibri" w:hAnsi="Calibri" w:cs="Arial Unicode MS"/>
          <w:i/>
          <w:color w:val="000000"/>
          <w:sz w:val="20"/>
          <w:szCs w:val="20"/>
          <w:lang w:eastAsia="en-NZ"/>
        </w:rPr>
      </w:pPr>
    </w:p>
    <w:p w:rsidR="003532F0" w:rsidRPr="00B85339" w:rsidRDefault="003532F0" w:rsidP="00844C38">
      <w:pPr>
        <w:pStyle w:val="Body"/>
        <w:rPr>
          <w:rFonts w:ascii="Calibri" w:hAnsi="Calibri"/>
        </w:rPr>
      </w:pPr>
    </w:p>
    <w:p w:rsidR="003532F0" w:rsidRPr="00B85339" w:rsidRDefault="003532F0" w:rsidP="00B85339">
      <w:pPr>
        <w:pStyle w:val="Body"/>
        <w:jc w:val="both"/>
        <w:rPr>
          <w:rFonts w:ascii="Calibri" w:hAnsi="Calibri"/>
        </w:rPr>
      </w:pPr>
    </w:p>
    <w:p w:rsidR="00B85339" w:rsidRDefault="00B85339" w:rsidP="00B85339">
      <w:pPr>
        <w:pStyle w:val="Body"/>
        <w:jc w:val="both"/>
        <w:rPr>
          <w:rFonts w:ascii="Calibri" w:hAnsi="Calibri"/>
        </w:rPr>
      </w:pPr>
    </w:p>
    <w:p w:rsidR="00B85339" w:rsidRPr="005B7B8E" w:rsidRDefault="00B85339" w:rsidP="00B85339">
      <w:pPr>
        <w:pStyle w:val="Body"/>
        <w:jc w:val="center"/>
        <w:rPr>
          <w:rFonts w:ascii="Calibri" w:hAnsi="Calibri" w:cstheme="minorHAnsi"/>
          <w:b/>
        </w:rPr>
      </w:pPr>
      <w:r w:rsidRPr="005B7B8E">
        <w:rPr>
          <w:rFonts w:ascii="Calibri" w:hAnsi="Calibri"/>
        </w:rPr>
        <w:t>-</w:t>
      </w:r>
      <w:proofErr w:type="gramStart"/>
      <w:r w:rsidRPr="005B7B8E">
        <w:rPr>
          <w:rFonts w:ascii="Calibri" w:hAnsi="Calibri" w:cstheme="minorHAnsi"/>
          <w:b/>
        </w:rPr>
        <w:t>ends</w:t>
      </w:r>
      <w:proofErr w:type="gramEnd"/>
      <w:r w:rsidRPr="005B7B8E">
        <w:rPr>
          <w:rFonts w:ascii="Calibri" w:hAnsi="Calibri" w:cstheme="minorHAnsi"/>
          <w:b/>
        </w:rPr>
        <w:t>-</w:t>
      </w:r>
    </w:p>
    <w:p w:rsidR="00F02DDD" w:rsidRDefault="00F02DDD" w:rsidP="00B85339">
      <w:pPr>
        <w:rPr>
          <w:rFonts w:ascii="Calibri" w:hAnsi="Calibri" w:cstheme="minorHAnsi"/>
          <w:b/>
          <w:sz w:val="22"/>
          <w:szCs w:val="22"/>
        </w:rPr>
      </w:pPr>
    </w:p>
    <w:p w:rsidR="00F02DDD" w:rsidRDefault="00F02DDD" w:rsidP="00B85339">
      <w:pPr>
        <w:rPr>
          <w:rFonts w:ascii="Calibri" w:hAnsi="Calibri" w:cstheme="minorHAnsi"/>
          <w:b/>
          <w:sz w:val="22"/>
          <w:szCs w:val="22"/>
        </w:rPr>
      </w:pPr>
    </w:p>
    <w:p w:rsidR="00B85339" w:rsidRPr="00F20DF9" w:rsidRDefault="00B85339" w:rsidP="00B85339">
      <w:pPr>
        <w:rPr>
          <w:rFonts w:ascii="Calibri" w:hAnsi="Calibri" w:cstheme="minorHAnsi"/>
          <w:b/>
          <w:sz w:val="22"/>
          <w:szCs w:val="22"/>
        </w:rPr>
      </w:pPr>
      <w:r w:rsidRPr="00F20DF9">
        <w:rPr>
          <w:rFonts w:ascii="Calibri" w:hAnsi="Calibri" w:cstheme="minorHAnsi"/>
          <w:b/>
          <w:sz w:val="22"/>
          <w:szCs w:val="22"/>
        </w:rPr>
        <w:t>MORE INFORMATION</w:t>
      </w:r>
    </w:p>
    <w:p w:rsidR="00B85339" w:rsidRPr="00F20DF9" w:rsidRDefault="00B85339" w:rsidP="00B85339">
      <w:pPr>
        <w:pStyle w:val="ListParagraph"/>
        <w:rPr>
          <w:rFonts w:ascii="Calibri" w:hAnsi="Calibri" w:cstheme="minorHAnsi"/>
          <w:sz w:val="22"/>
          <w:szCs w:val="22"/>
        </w:rPr>
      </w:pPr>
    </w:p>
    <w:p w:rsidR="00187EA9" w:rsidRPr="00187EA9" w:rsidRDefault="00187EA9">
      <w:pPr>
        <w:ind w:left="720"/>
        <w:rPr>
          <w:rFonts w:ascii="Calibri" w:hAnsi="Calibri" w:cstheme="minorHAnsi"/>
          <w:sz w:val="22"/>
          <w:szCs w:val="22"/>
        </w:rPr>
      </w:pPr>
      <w:r w:rsidRPr="000C058D">
        <w:rPr>
          <w:rFonts w:ascii="Calibri" w:hAnsi="Calibri" w:cstheme="minorHAnsi"/>
          <w:b/>
          <w:sz w:val="22"/>
          <w:szCs w:val="22"/>
        </w:rPr>
        <w:t>About the Trade Me Property Rental Price Index</w:t>
      </w:r>
      <w:r w:rsidR="000C058D" w:rsidRPr="000C058D">
        <w:rPr>
          <w:rFonts w:ascii="Calibri" w:hAnsi="Calibri" w:cstheme="minorHAnsi"/>
          <w:b/>
          <w:sz w:val="22"/>
          <w:szCs w:val="22"/>
        </w:rPr>
        <w:t xml:space="preserve">: </w:t>
      </w:r>
      <w:r w:rsidR="000C058D">
        <w:rPr>
          <w:rFonts w:ascii="Calibri" w:hAnsi="Calibri" w:cstheme="minorHAnsi"/>
          <w:sz w:val="22"/>
          <w:szCs w:val="22"/>
        </w:rPr>
        <w:t xml:space="preserve">This </w:t>
      </w:r>
      <w:r w:rsidRPr="00187EA9">
        <w:rPr>
          <w:rFonts w:ascii="Calibri" w:hAnsi="Calibri" w:cstheme="minorHAnsi"/>
          <w:sz w:val="22"/>
          <w:szCs w:val="22"/>
        </w:rPr>
        <w:t>report provide</w:t>
      </w:r>
      <w:r w:rsidR="00E36C8E">
        <w:rPr>
          <w:rFonts w:ascii="Calibri" w:hAnsi="Calibri" w:cstheme="minorHAnsi"/>
          <w:sz w:val="22"/>
          <w:szCs w:val="22"/>
        </w:rPr>
        <w:t>s</w:t>
      </w:r>
      <w:r w:rsidRPr="00187EA9">
        <w:rPr>
          <w:rFonts w:ascii="Calibri" w:hAnsi="Calibri" w:cstheme="minorHAnsi"/>
          <w:sz w:val="22"/>
          <w:szCs w:val="22"/>
        </w:rPr>
        <w:t xml:space="preserve"> a comprehensive monthly insight into the rental market covering price trends by type and size of property across New Zealand.</w:t>
      </w:r>
    </w:p>
    <w:p w:rsidR="00187EA9" w:rsidRPr="00187EA9" w:rsidRDefault="00187EA9" w:rsidP="00187EA9">
      <w:pPr>
        <w:pStyle w:val="ListParagraph"/>
        <w:ind w:left="1440"/>
        <w:rPr>
          <w:rFonts w:ascii="Calibri" w:hAnsi="Calibri" w:cstheme="minorHAnsi"/>
          <w:sz w:val="22"/>
          <w:szCs w:val="22"/>
        </w:rPr>
      </w:pPr>
    </w:p>
    <w:p w:rsidR="000C058D" w:rsidRDefault="00187EA9" w:rsidP="00187EA9">
      <w:pPr>
        <w:ind w:left="720"/>
        <w:rPr>
          <w:rFonts w:ascii="Calibri" w:hAnsi="Calibri" w:cstheme="minorHAnsi"/>
          <w:sz w:val="22"/>
          <w:szCs w:val="22"/>
        </w:rPr>
      </w:pPr>
      <w:r w:rsidRPr="00187EA9">
        <w:rPr>
          <w:rFonts w:ascii="Calibri" w:hAnsi="Calibri" w:cstheme="minorHAnsi"/>
          <w:sz w:val="22"/>
          <w:szCs w:val="22"/>
        </w:rPr>
        <w:t xml:space="preserve">The index is produced from Trade Me Property data of properties that have been rented in the month by property managers and private landlords. On average over 14,000 properties are rented each month and the report provides </w:t>
      </w:r>
      <w:r w:rsidR="000C058D">
        <w:rPr>
          <w:rFonts w:ascii="Calibri" w:hAnsi="Calibri" w:cstheme="minorHAnsi"/>
          <w:sz w:val="22"/>
          <w:szCs w:val="22"/>
        </w:rPr>
        <w:t xml:space="preserve">a </w:t>
      </w:r>
      <w:r w:rsidRPr="00187EA9">
        <w:rPr>
          <w:rFonts w:ascii="Calibri" w:hAnsi="Calibri" w:cstheme="minorHAnsi"/>
          <w:sz w:val="22"/>
          <w:szCs w:val="22"/>
        </w:rPr>
        <w:t xml:space="preserve">comprehensive insight into this part of the property market for tenants, landlords and investors. </w:t>
      </w:r>
    </w:p>
    <w:p w:rsidR="000C058D" w:rsidRDefault="000C058D" w:rsidP="00187EA9">
      <w:pPr>
        <w:ind w:left="720"/>
        <w:rPr>
          <w:rFonts w:ascii="Calibri" w:hAnsi="Calibri" w:cstheme="minorHAnsi"/>
          <w:sz w:val="22"/>
          <w:szCs w:val="22"/>
        </w:rPr>
      </w:pPr>
    </w:p>
    <w:p w:rsidR="00B73E39" w:rsidRPr="00187EA9" w:rsidRDefault="00187EA9" w:rsidP="00187EA9">
      <w:pPr>
        <w:ind w:left="720"/>
        <w:rPr>
          <w:rFonts w:ascii="Calibri" w:hAnsi="Calibri"/>
          <w:sz w:val="22"/>
          <w:szCs w:val="22"/>
        </w:rPr>
      </w:pPr>
      <w:r w:rsidRPr="00187EA9">
        <w:rPr>
          <w:rFonts w:ascii="Calibri" w:hAnsi="Calibri" w:cstheme="minorHAnsi"/>
          <w:sz w:val="22"/>
          <w:szCs w:val="22"/>
        </w:rPr>
        <w:t>The index is calculated using the median rent in the month, this being an accurate statistical assessment of the current rent being charged by landlords and property managers</w:t>
      </w:r>
      <w:r w:rsidR="000C058D">
        <w:rPr>
          <w:rFonts w:ascii="Calibri" w:hAnsi="Calibri" w:cstheme="minorHAnsi"/>
          <w:sz w:val="22"/>
          <w:szCs w:val="22"/>
        </w:rPr>
        <w:t>.</w:t>
      </w:r>
      <w:r>
        <w:rPr>
          <w:rFonts w:ascii="Calibri" w:hAnsi="Calibri" w:cstheme="minorHAnsi"/>
          <w:sz w:val="22"/>
          <w:szCs w:val="22"/>
        </w:rPr>
        <w:br/>
      </w:r>
    </w:p>
    <w:p w:rsidR="00B73E39" w:rsidRDefault="00B73E39" w:rsidP="00DD07FD">
      <w:pPr>
        <w:pStyle w:val="ListParagraph"/>
        <w:rPr>
          <w:rFonts w:ascii="Calibri" w:hAnsi="Calibri" w:cstheme="minorHAnsi"/>
          <w:sz w:val="22"/>
          <w:szCs w:val="22"/>
        </w:rPr>
      </w:pPr>
      <w:r w:rsidRPr="00F20DF9">
        <w:rPr>
          <w:rFonts w:ascii="Calibri" w:hAnsi="Calibri" w:cstheme="minorHAnsi"/>
          <w:b/>
          <w:sz w:val="22"/>
          <w:szCs w:val="22"/>
        </w:rPr>
        <w:t>Regional data:</w:t>
      </w:r>
      <w:r w:rsidRPr="00F20DF9">
        <w:rPr>
          <w:rFonts w:ascii="Calibri" w:hAnsi="Calibri" w:cstheme="minorHAnsi"/>
          <w:sz w:val="22"/>
          <w:szCs w:val="22"/>
        </w:rPr>
        <w:t xml:space="preserve"> If you are after information for a particular region, please email </w:t>
      </w:r>
      <w:r w:rsidR="00343D04">
        <w:rPr>
          <w:rFonts w:ascii="Calibri" w:hAnsi="Calibri" w:cstheme="minorHAnsi"/>
          <w:sz w:val="22"/>
          <w:szCs w:val="22"/>
        </w:rPr>
        <w:t>Jeff Hunkin</w:t>
      </w:r>
      <w:r w:rsidR="000C058D">
        <w:rPr>
          <w:rFonts w:ascii="Calibri" w:hAnsi="Calibri" w:cstheme="minorHAnsi"/>
          <w:sz w:val="22"/>
          <w:szCs w:val="22"/>
        </w:rPr>
        <w:t xml:space="preserve"> </w:t>
      </w:r>
      <w:r w:rsidRPr="00F20DF9">
        <w:rPr>
          <w:rFonts w:ascii="Calibri" w:hAnsi="Calibri" w:cstheme="minorHAnsi"/>
          <w:sz w:val="22"/>
          <w:szCs w:val="22"/>
        </w:rPr>
        <w:t xml:space="preserve">via </w:t>
      </w:r>
      <w:hyperlink r:id="rId12" w:history="1">
        <w:r w:rsidRPr="00F20DF9">
          <w:rPr>
            <w:rStyle w:val="Hyperlink"/>
            <w:rFonts w:ascii="Calibri" w:hAnsi="Calibri" w:cstheme="minorHAnsi"/>
            <w:sz w:val="22"/>
            <w:szCs w:val="22"/>
          </w:rPr>
          <w:t>mediaenquiries@trademe.co.nz</w:t>
        </w:r>
      </w:hyperlink>
      <w:r w:rsidRPr="00F20DF9">
        <w:rPr>
          <w:rFonts w:ascii="Calibri" w:hAnsi="Calibri" w:cstheme="minorHAnsi"/>
          <w:sz w:val="22"/>
          <w:szCs w:val="22"/>
        </w:rPr>
        <w:t xml:space="preserve">  and we will see what we can unearth for you. We can also provide </w:t>
      </w:r>
      <w:r>
        <w:rPr>
          <w:rFonts w:ascii="Calibri" w:hAnsi="Calibri" w:cstheme="minorHAnsi"/>
          <w:sz w:val="22"/>
          <w:szCs w:val="22"/>
        </w:rPr>
        <w:t xml:space="preserve">the </w:t>
      </w:r>
      <w:r w:rsidRPr="00F20DF9">
        <w:rPr>
          <w:rFonts w:ascii="Calibri" w:hAnsi="Calibri" w:cstheme="minorHAnsi"/>
          <w:sz w:val="22"/>
          <w:szCs w:val="22"/>
        </w:rPr>
        <w:t>graphs and tables.</w:t>
      </w:r>
    </w:p>
    <w:p w:rsidR="00B73E39" w:rsidRDefault="00B73E39" w:rsidP="00B16D16">
      <w:pPr>
        <w:rPr>
          <w:rFonts w:ascii="Calibri" w:hAnsi="Calibri" w:cstheme="minorHAnsi"/>
          <w:sz w:val="22"/>
          <w:szCs w:val="22"/>
        </w:rPr>
      </w:pPr>
    </w:p>
    <w:p w:rsidR="00B73E39" w:rsidRPr="000053A5" w:rsidRDefault="00B73E39" w:rsidP="00DD07FD">
      <w:pPr>
        <w:pStyle w:val="ListParagraph"/>
        <w:rPr>
          <w:rFonts w:ascii="Calibri" w:hAnsi="Calibri" w:cstheme="minorHAnsi"/>
          <w:sz w:val="22"/>
          <w:szCs w:val="22"/>
        </w:rPr>
      </w:pPr>
      <w:r w:rsidRPr="000053A5">
        <w:rPr>
          <w:rFonts w:ascii="Calibri" w:hAnsi="Calibri" w:cstheme="minorHAnsi"/>
          <w:b/>
          <w:sz w:val="22"/>
          <w:szCs w:val="22"/>
        </w:rPr>
        <w:t>Contact:</w:t>
      </w:r>
      <w:r w:rsidRPr="000053A5">
        <w:rPr>
          <w:rFonts w:ascii="Calibri" w:hAnsi="Calibri" w:cstheme="minorHAnsi"/>
          <w:sz w:val="22"/>
          <w:szCs w:val="22"/>
        </w:rPr>
        <w:t xml:space="preserve"> Nigel Jeffries is available for interviews. To tee up a time that suits, please email </w:t>
      </w:r>
      <w:r w:rsidR="00343D04">
        <w:rPr>
          <w:rFonts w:ascii="Calibri" w:hAnsi="Calibri" w:cstheme="minorHAnsi"/>
          <w:sz w:val="22"/>
          <w:szCs w:val="22"/>
        </w:rPr>
        <w:t xml:space="preserve">Jeff Hunkin </w:t>
      </w:r>
      <w:r w:rsidRPr="000053A5">
        <w:rPr>
          <w:rFonts w:ascii="Calibri" w:hAnsi="Calibri" w:cstheme="minorHAnsi"/>
          <w:sz w:val="22"/>
          <w:szCs w:val="22"/>
        </w:rPr>
        <w:t xml:space="preserve">via </w:t>
      </w:r>
      <w:hyperlink r:id="rId13" w:history="1">
        <w:r w:rsidRPr="000053A5">
          <w:rPr>
            <w:rStyle w:val="Hyperlink"/>
            <w:rFonts w:ascii="Calibri" w:hAnsi="Calibri" w:cstheme="minorHAnsi"/>
            <w:sz w:val="22"/>
            <w:szCs w:val="22"/>
          </w:rPr>
          <w:t>mediaenquiries@trademe.co.nz</w:t>
        </w:r>
      </w:hyperlink>
      <w:r w:rsidRPr="000053A5">
        <w:rPr>
          <w:rFonts w:ascii="Calibri" w:hAnsi="Calibri" w:cstheme="minorHAnsi"/>
          <w:sz w:val="22"/>
          <w:szCs w:val="22"/>
        </w:rPr>
        <w:t xml:space="preserve"> or phone (04) 803 2</w:t>
      </w:r>
      <w:r w:rsidR="00343D04">
        <w:rPr>
          <w:rFonts w:ascii="Calibri" w:hAnsi="Calibri" w:cstheme="minorHAnsi"/>
          <w:sz w:val="22"/>
          <w:szCs w:val="22"/>
        </w:rPr>
        <w:t>702</w:t>
      </w:r>
      <w:r w:rsidRPr="000053A5">
        <w:rPr>
          <w:rFonts w:ascii="Calibri" w:hAnsi="Calibri" w:cstheme="minorHAnsi"/>
          <w:sz w:val="22"/>
          <w:szCs w:val="22"/>
        </w:rPr>
        <w:t>.</w:t>
      </w:r>
    </w:p>
    <w:p w:rsidR="00B73E39" w:rsidRPr="00B16D16" w:rsidRDefault="00B73E39" w:rsidP="00B16D16">
      <w:pPr>
        <w:rPr>
          <w:rFonts w:ascii="Calibri" w:hAnsi="Calibri"/>
          <w:sz w:val="22"/>
          <w:szCs w:val="22"/>
        </w:rPr>
      </w:pPr>
    </w:p>
    <w:p w:rsidR="003532F0" w:rsidRDefault="003532F0" w:rsidP="00B85339">
      <w:pPr>
        <w:pStyle w:val="Body"/>
        <w:jc w:val="both"/>
        <w:rPr>
          <w:rFonts w:ascii="Calibri" w:hAnsi="Calibri"/>
        </w:rPr>
      </w:pPr>
    </w:p>
    <w:p w:rsidR="00887CCE" w:rsidRDefault="00887CCE" w:rsidP="00B85339">
      <w:pPr>
        <w:pStyle w:val="Body"/>
        <w:jc w:val="both"/>
        <w:rPr>
          <w:rFonts w:ascii="Calibri" w:hAnsi="Calibri"/>
        </w:rPr>
      </w:pPr>
    </w:p>
    <w:sectPr w:rsidR="00887CCE" w:rsidSect="00187EA9">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709"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93A" w:rsidRDefault="0012393A">
      <w:r>
        <w:separator/>
      </w:r>
    </w:p>
  </w:endnote>
  <w:endnote w:type="continuationSeparator" w:id="0">
    <w:p w:rsidR="0012393A" w:rsidRDefault="00123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Helvetica Light">
    <w:charset w:val="00"/>
    <w:family w:val="auto"/>
    <w:pitch w:val="variable"/>
    <w:sig w:usb0="800000AF" w:usb1="4000204A"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B26" w:rsidRDefault="00BE2B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B26" w:rsidRDefault="00BE2B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B26" w:rsidRDefault="00BE2B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93A" w:rsidRDefault="0012393A">
      <w:r>
        <w:separator/>
      </w:r>
    </w:p>
  </w:footnote>
  <w:footnote w:type="continuationSeparator" w:id="0">
    <w:p w:rsidR="0012393A" w:rsidRDefault="001239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B26" w:rsidRDefault="00BE2B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B26" w:rsidRDefault="00BE2B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B26" w:rsidRDefault="00BE2B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81536"/>
    <w:multiLevelType w:val="hybridMultilevel"/>
    <w:tmpl w:val="E14CB68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
    <w:nsid w:val="0AD07C8A"/>
    <w:multiLevelType w:val="hybridMultilevel"/>
    <w:tmpl w:val="38F21D12"/>
    <w:lvl w:ilvl="0" w:tplc="0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
    <w:nsid w:val="29B9695B"/>
    <w:multiLevelType w:val="hybridMultilevel"/>
    <w:tmpl w:val="F8DEE064"/>
    <w:lvl w:ilvl="0" w:tplc="04090005">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2D683170"/>
    <w:multiLevelType w:val="hybridMultilevel"/>
    <w:tmpl w:val="956E12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2FCD0C6D"/>
    <w:multiLevelType w:val="hybridMultilevel"/>
    <w:tmpl w:val="DBDC2908"/>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474C782E"/>
    <w:multiLevelType w:val="hybridMultilevel"/>
    <w:tmpl w:val="99EC5FC6"/>
    <w:lvl w:ilvl="0" w:tplc="04090005">
      <w:start w:val="1"/>
      <w:numFmt w:val="bullet"/>
      <w:lvlText w:val=""/>
      <w:lvlJc w:val="left"/>
      <w:pPr>
        <w:ind w:left="0" w:hanging="360"/>
      </w:pPr>
      <w:rPr>
        <w:rFonts w:ascii="Wingdings" w:hAnsi="Wingdings" w:hint="default"/>
      </w:rPr>
    </w:lvl>
    <w:lvl w:ilvl="1" w:tplc="14090003" w:tentative="1">
      <w:start w:val="1"/>
      <w:numFmt w:val="bullet"/>
      <w:lvlText w:val="o"/>
      <w:lvlJc w:val="left"/>
      <w:pPr>
        <w:ind w:left="720" w:hanging="360"/>
      </w:pPr>
      <w:rPr>
        <w:rFonts w:ascii="Courier New" w:hAnsi="Courier New" w:cs="Courier New" w:hint="default"/>
      </w:rPr>
    </w:lvl>
    <w:lvl w:ilvl="2" w:tplc="14090005" w:tentative="1">
      <w:start w:val="1"/>
      <w:numFmt w:val="bullet"/>
      <w:lvlText w:val=""/>
      <w:lvlJc w:val="left"/>
      <w:pPr>
        <w:ind w:left="1440" w:hanging="360"/>
      </w:pPr>
      <w:rPr>
        <w:rFonts w:ascii="Wingdings" w:hAnsi="Wingdings" w:hint="default"/>
      </w:rPr>
    </w:lvl>
    <w:lvl w:ilvl="3" w:tplc="14090001" w:tentative="1">
      <w:start w:val="1"/>
      <w:numFmt w:val="bullet"/>
      <w:lvlText w:val=""/>
      <w:lvlJc w:val="left"/>
      <w:pPr>
        <w:ind w:left="2160" w:hanging="360"/>
      </w:pPr>
      <w:rPr>
        <w:rFonts w:ascii="Symbol" w:hAnsi="Symbol" w:hint="default"/>
      </w:rPr>
    </w:lvl>
    <w:lvl w:ilvl="4" w:tplc="14090003" w:tentative="1">
      <w:start w:val="1"/>
      <w:numFmt w:val="bullet"/>
      <w:lvlText w:val="o"/>
      <w:lvlJc w:val="left"/>
      <w:pPr>
        <w:ind w:left="2880" w:hanging="360"/>
      </w:pPr>
      <w:rPr>
        <w:rFonts w:ascii="Courier New" w:hAnsi="Courier New" w:cs="Courier New" w:hint="default"/>
      </w:rPr>
    </w:lvl>
    <w:lvl w:ilvl="5" w:tplc="14090005" w:tentative="1">
      <w:start w:val="1"/>
      <w:numFmt w:val="bullet"/>
      <w:lvlText w:val=""/>
      <w:lvlJc w:val="left"/>
      <w:pPr>
        <w:ind w:left="3600" w:hanging="360"/>
      </w:pPr>
      <w:rPr>
        <w:rFonts w:ascii="Wingdings" w:hAnsi="Wingdings" w:hint="default"/>
      </w:rPr>
    </w:lvl>
    <w:lvl w:ilvl="6" w:tplc="14090001" w:tentative="1">
      <w:start w:val="1"/>
      <w:numFmt w:val="bullet"/>
      <w:lvlText w:val=""/>
      <w:lvlJc w:val="left"/>
      <w:pPr>
        <w:ind w:left="4320" w:hanging="360"/>
      </w:pPr>
      <w:rPr>
        <w:rFonts w:ascii="Symbol" w:hAnsi="Symbol" w:hint="default"/>
      </w:rPr>
    </w:lvl>
    <w:lvl w:ilvl="7" w:tplc="14090003" w:tentative="1">
      <w:start w:val="1"/>
      <w:numFmt w:val="bullet"/>
      <w:lvlText w:val="o"/>
      <w:lvlJc w:val="left"/>
      <w:pPr>
        <w:ind w:left="5040" w:hanging="360"/>
      </w:pPr>
      <w:rPr>
        <w:rFonts w:ascii="Courier New" w:hAnsi="Courier New" w:cs="Courier New" w:hint="default"/>
      </w:rPr>
    </w:lvl>
    <w:lvl w:ilvl="8" w:tplc="14090005" w:tentative="1">
      <w:start w:val="1"/>
      <w:numFmt w:val="bullet"/>
      <w:lvlText w:val=""/>
      <w:lvlJc w:val="left"/>
      <w:pPr>
        <w:ind w:left="576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2F0"/>
    <w:rsid w:val="000053A5"/>
    <w:rsid w:val="00013705"/>
    <w:rsid w:val="00013E09"/>
    <w:rsid w:val="00014EA9"/>
    <w:rsid w:val="00025EFE"/>
    <w:rsid w:val="00027AAE"/>
    <w:rsid w:val="00032C44"/>
    <w:rsid w:val="0003405C"/>
    <w:rsid w:val="0005292E"/>
    <w:rsid w:val="00073AD7"/>
    <w:rsid w:val="000855B3"/>
    <w:rsid w:val="00092308"/>
    <w:rsid w:val="000A1392"/>
    <w:rsid w:val="000C058D"/>
    <w:rsid w:val="000F2A1D"/>
    <w:rsid w:val="0010300A"/>
    <w:rsid w:val="001140A8"/>
    <w:rsid w:val="0012393A"/>
    <w:rsid w:val="00135C49"/>
    <w:rsid w:val="0014398D"/>
    <w:rsid w:val="00177BE6"/>
    <w:rsid w:val="00187EA9"/>
    <w:rsid w:val="001B095B"/>
    <w:rsid w:val="001B316A"/>
    <w:rsid w:val="001C0FCA"/>
    <w:rsid w:val="001D49DB"/>
    <w:rsid w:val="001D594D"/>
    <w:rsid w:val="0021513B"/>
    <w:rsid w:val="002214A8"/>
    <w:rsid w:val="00223145"/>
    <w:rsid w:val="00226C44"/>
    <w:rsid w:val="00240539"/>
    <w:rsid w:val="00246FC2"/>
    <w:rsid w:val="00262955"/>
    <w:rsid w:val="0027185A"/>
    <w:rsid w:val="002823B3"/>
    <w:rsid w:val="00292361"/>
    <w:rsid w:val="00292FC9"/>
    <w:rsid w:val="002A462D"/>
    <w:rsid w:val="002B38DE"/>
    <w:rsid w:val="002C50EA"/>
    <w:rsid w:val="002C514F"/>
    <w:rsid w:val="002C79E9"/>
    <w:rsid w:val="002D5ADF"/>
    <w:rsid w:val="002E71B5"/>
    <w:rsid w:val="00332096"/>
    <w:rsid w:val="0034386D"/>
    <w:rsid w:val="00343D04"/>
    <w:rsid w:val="003532F0"/>
    <w:rsid w:val="0037740C"/>
    <w:rsid w:val="00383DDC"/>
    <w:rsid w:val="00386809"/>
    <w:rsid w:val="00386E9D"/>
    <w:rsid w:val="003962D7"/>
    <w:rsid w:val="003B4CEB"/>
    <w:rsid w:val="003B67F4"/>
    <w:rsid w:val="003C7145"/>
    <w:rsid w:val="003D7CE0"/>
    <w:rsid w:val="003E3E6F"/>
    <w:rsid w:val="003F04A5"/>
    <w:rsid w:val="00432CFA"/>
    <w:rsid w:val="00436023"/>
    <w:rsid w:val="00456B18"/>
    <w:rsid w:val="004958F3"/>
    <w:rsid w:val="004B0CAC"/>
    <w:rsid w:val="004B5312"/>
    <w:rsid w:val="004C229B"/>
    <w:rsid w:val="004C2919"/>
    <w:rsid w:val="004C4BE7"/>
    <w:rsid w:val="004D3F3D"/>
    <w:rsid w:val="00503EB7"/>
    <w:rsid w:val="00524636"/>
    <w:rsid w:val="00525280"/>
    <w:rsid w:val="00530431"/>
    <w:rsid w:val="00543759"/>
    <w:rsid w:val="00571DBD"/>
    <w:rsid w:val="00585FEA"/>
    <w:rsid w:val="00591E87"/>
    <w:rsid w:val="00592B4A"/>
    <w:rsid w:val="00593DF8"/>
    <w:rsid w:val="005A3C80"/>
    <w:rsid w:val="005B69BA"/>
    <w:rsid w:val="005E3B16"/>
    <w:rsid w:val="006362B6"/>
    <w:rsid w:val="00637380"/>
    <w:rsid w:val="0065193A"/>
    <w:rsid w:val="00655D6B"/>
    <w:rsid w:val="00672F35"/>
    <w:rsid w:val="006C5B55"/>
    <w:rsid w:val="006D6D1E"/>
    <w:rsid w:val="00700889"/>
    <w:rsid w:val="00713A81"/>
    <w:rsid w:val="00713E38"/>
    <w:rsid w:val="0071496A"/>
    <w:rsid w:val="007366FD"/>
    <w:rsid w:val="00756A04"/>
    <w:rsid w:val="00771B1F"/>
    <w:rsid w:val="00775321"/>
    <w:rsid w:val="00776003"/>
    <w:rsid w:val="00782D4A"/>
    <w:rsid w:val="0078502E"/>
    <w:rsid w:val="00787CED"/>
    <w:rsid w:val="007A63B0"/>
    <w:rsid w:val="007F78E1"/>
    <w:rsid w:val="007F7C92"/>
    <w:rsid w:val="007F7F4A"/>
    <w:rsid w:val="00812A5A"/>
    <w:rsid w:val="00813935"/>
    <w:rsid w:val="00813F4F"/>
    <w:rsid w:val="00815F69"/>
    <w:rsid w:val="00844C38"/>
    <w:rsid w:val="00866D20"/>
    <w:rsid w:val="00887CCE"/>
    <w:rsid w:val="008A32B2"/>
    <w:rsid w:val="008B1AFA"/>
    <w:rsid w:val="008B4B66"/>
    <w:rsid w:val="008C1E36"/>
    <w:rsid w:val="008D397D"/>
    <w:rsid w:val="008F0618"/>
    <w:rsid w:val="00911F83"/>
    <w:rsid w:val="00923B6E"/>
    <w:rsid w:val="00923E99"/>
    <w:rsid w:val="00927FCE"/>
    <w:rsid w:val="00962E26"/>
    <w:rsid w:val="009870F9"/>
    <w:rsid w:val="00996DE2"/>
    <w:rsid w:val="009A4D34"/>
    <w:rsid w:val="009B4291"/>
    <w:rsid w:val="009D6930"/>
    <w:rsid w:val="00A06E58"/>
    <w:rsid w:val="00A10831"/>
    <w:rsid w:val="00A149BB"/>
    <w:rsid w:val="00A25711"/>
    <w:rsid w:val="00A515C4"/>
    <w:rsid w:val="00A660AD"/>
    <w:rsid w:val="00A8186C"/>
    <w:rsid w:val="00A9074D"/>
    <w:rsid w:val="00A93571"/>
    <w:rsid w:val="00A976D3"/>
    <w:rsid w:val="00AA2701"/>
    <w:rsid w:val="00AB6803"/>
    <w:rsid w:val="00AE19E5"/>
    <w:rsid w:val="00AE4F64"/>
    <w:rsid w:val="00B16D16"/>
    <w:rsid w:val="00B247CB"/>
    <w:rsid w:val="00B259C9"/>
    <w:rsid w:val="00B2792D"/>
    <w:rsid w:val="00B34B2D"/>
    <w:rsid w:val="00B53928"/>
    <w:rsid w:val="00B73E39"/>
    <w:rsid w:val="00B85339"/>
    <w:rsid w:val="00BA0A96"/>
    <w:rsid w:val="00BD1A9B"/>
    <w:rsid w:val="00BE2B26"/>
    <w:rsid w:val="00BF4917"/>
    <w:rsid w:val="00C01D4C"/>
    <w:rsid w:val="00C13B2B"/>
    <w:rsid w:val="00C13B6C"/>
    <w:rsid w:val="00C4286D"/>
    <w:rsid w:val="00C6476F"/>
    <w:rsid w:val="00C7593B"/>
    <w:rsid w:val="00C81A0B"/>
    <w:rsid w:val="00C920C7"/>
    <w:rsid w:val="00C95FAE"/>
    <w:rsid w:val="00CA2B50"/>
    <w:rsid w:val="00CA73B1"/>
    <w:rsid w:val="00CD7D53"/>
    <w:rsid w:val="00D01733"/>
    <w:rsid w:val="00D04AAA"/>
    <w:rsid w:val="00D13F13"/>
    <w:rsid w:val="00D224E4"/>
    <w:rsid w:val="00D425C9"/>
    <w:rsid w:val="00D47278"/>
    <w:rsid w:val="00D55083"/>
    <w:rsid w:val="00D61F08"/>
    <w:rsid w:val="00D706A8"/>
    <w:rsid w:val="00D816BB"/>
    <w:rsid w:val="00D96D77"/>
    <w:rsid w:val="00DB65E9"/>
    <w:rsid w:val="00DB7A83"/>
    <w:rsid w:val="00DC5346"/>
    <w:rsid w:val="00DD07FD"/>
    <w:rsid w:val="00DF667E"/>
    <w:rsid w:val="00E06C35"/>
    <w:rsid w:val="00E258B2"/>
    <w:rsid w:val="00E30D65"/>
    <w:rsid w:val="00E36C8E"/>
    <w:rsid w:val="00E5162F"/>
    <w:rsid w:val="00E64D0C"/>
    <w:rsid w:val="00EB37B5"/>
    <w:rsid w:val="00EC4346"/>
    <w:rsid w:val="00EC6361"/>
    <w:rsid w:val="00EE1D22"/>
    <w:rsid w:val="00EE4D8E"/>
    <w:rsid w:val="00EE4FD9"/>
    <w:rsid w:val="00F02DDD"/>
    <w:rsid w:val="00F057C8"/>
    <w:rsid w:val="00F13AF0"/>
    <w:rsid w:val="00F271AD"/>
    <w:rsid w:val="00F2768F"/>
    <w:rsid w:val="00F37A4E"/>
    <w:rsid w:val="00F40D63"/>
    <w:rsid w:val="00F4255F"/>
    <w:rsid w:val="00F51118"/>
    <w:rsid w:val="00F94750"/>
    <w:rsid w:val="00FA275C"/>
    <w:rsid w:val="00FA2C2B"/>
    <w:rsid w:val="00FB6D94"/>
    <w:rsid w:val="00FD0B21"/>
    <w:rsid w:val="00FD5AA6"/>
    <w:rsid w:val="00FE24A9"/>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NZ"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lang w:val="en-US"/>
    </w:rPr>
  </w:style>
  <w:style w:type="paragraph" w:customStyle="1" w:styleId="LabelDark">
    <w:name w:val="Label Dark"/>
    <w:pPr>
      <w:jc w:val="center"/>
    </w:pPr>
    <w:rPr>
      <w:rFonts w:ascii="Helvetica Light" w:hAnsi="Arial Unicode MS" w:cs="Arial Unicode MS"/>
      <w:color w:val="000000"/>
      <w:sz w:val="24"/>
      <w:szCs w:val="24"/>
      <w:lang w:val="en-US"/>
    </w:rPr>
  </w:style>
  <w:style w:type="character" w:styleId="CommentReference">
    <w:name w:val="annotation reference"/>
    <w:basedOn w:val="DefaultParagraphFont"/>
    <w:uiPriority w:val="99"/>
    <w:semiHidden/>
    <w:unhideWhenUsed/>
    <w:rsid w:val="00A8186C"/>
    <w:rPr>
      <w:sz w:val="16"/>
      <w:szCs w:val="16"/>
    </w:rPr>
  </w:style>
  <w:style w:type="paragraph" w:styleId="CommentText">
    <w:name w:val="annotation text"/>
    <w:basedOn w:val="Normal"/>
    <w:link w:val="CommentTextChar"/>
    <w:uiPriority w:val="99"/>
    <w:semiHidden/>
    <w:unhideWhenUsed/>
    <w:rsid w:val="00A8186C"/>
    <w:rPr>
      <w:sz w:val="20"/>
      <w:szCs w:val="20"/>
    </w:rPr>
  </w:style>
  <w:style w:type="character" w:customStyle="1" w:styleId="CommentTextChar">
    <w:name w:val="Comment Text Char"/>
    <w:basedOn w:val="DefaultParagraphFont"/>
    <w:link w:val="CommentText"/>
    <w:uiPriority w:val="99"/>
    <w:semiHidden/>
    <w:rsid w:val="00A8186C"/>
    <w:rPr>
      <w:lang w:val="en-US"/>
    </w:rPr>
  </w:style>
  <w:style w:type="paragraph" w:styleId="CommentSubject">
    <w:name w:val="annotation subject"/>
    <w:basedOn w:val="CommentText"/>
    <w:next w:val="CommentText"/>
    <w:link w:val="CommentSubjectChar"/>
    <w:uiPriority w:val="99"/>
    <w:semiHidden/>
    <w:unhideWhenUsed/>
    <w:rsid w:val="00A8186C"/>
    <w:rPr>
      <w:b/>
      <w:bCs/>
    </w:rPr>
  </w:style>
  <w:style w:type="character" w:customStyle="1" w:styleId="CommentSubjectChar">
    <w:name w:val="Comment Subject Char"/>
    <w:basedOn w:val="CommentTextChar"/>
    <w:link w:val="CommentSubject"/>
    <w:uiPriority w:val="99"/>
    <w:semiHidden/>
    <w:rsid w:val="00A8186C"/>
    <w:rPr>
      <w:b/>
      <w:bCs/>
      <w:lang w:val="en-US"/>
    </w:rPr>
  </w:style>
  <w:style w:type="paragraph" w:styleId="BalloonText">
    <w:name w:val="Balloon Text"/>
    <w:basedOn w:val="Normal"/>
    <w:link w:val="BalloonTextChar"/>
    <w:uiPriority w:val="99"/>
    <w:semiHidden/>
    <w:unhideWhenUsed/>
    <w:rsid w:val="00A818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86C"/>
    <w:rPr>
      <w:rFonts w:ascii="Segoe UI" w:hAnsi="Segoe UI" w:cs="Segoe UI"/>
      <w:sz w:val="18"/>
      <w:szCs w:val="18"/>
      <w:lang w:val="en-US"/>
    </w:rPr>
  </w:style>
  <w:style w:type="paragraph" w:styleId="ListParagraph">
    <w:name w:val="List Paragraph"/>
    <w:basedOn w:val="Normal"/>
    <w:uiPriority w:val="34"/>
    <w:qFormat/>
    <w:rsid w:val="00B85339"/>
    <w:pPr>
      <w:ind w:left="720"/>
      <w:contextualSpacing/>
    </w:pPr>
  </w:style>
  <w:style w:type="table" w:styleId="LightShading-Accent1">
    <w:name w:val="Light Shading Accent 1"/>
    <w:basedOn w:val="TableNormal"/>
    <w:uiPriority w:val="60"/>
    <w:rsid w:val="00F40D63"/>
    <w:rPr>
      <w:color w:val="2F759E" w:themeColor="accent1" w:themeShade="BF"/>
      <w:lang w:eastAsia="en-NZ"/>
    </w:rPr>
    <w:tblPr>
      <w:tblStyleRowBandSize w:val="1"/>
      <w:tblStyleColBandSize w:val="1"/>
      <w:tblBorders>
        <w:top w:val="single" w:sz="4" w:space="0" w:color="8F8F8F" w:themeColor="background2" w:themeShade="BF"/>
        <w:bottom w:val="single" w:sz="4" w:space="0" w:color="8F8F8F" w:themeColor="background2" w:themeShade="BF"/>
      </w:tblBorders>
    </w:tblPr>
    <w:tblStylePr w:type="firstRow">
      <w:pPr>
        <w:spacing w:before="0" w:after="0" w:line="240" w:lineRule="auto"/>
      </w:pPr>
      <w:rPr>
        <w:b/>
        <w:bCs/>
      </w:rPr>
      <w:tblPr/>
      <w:tcPr>
        <w:tcBorders>
          <w:top w:val="single" w:sz="8" w:space="0" w:color="499BC9" w:themeColor="accent1"/>
          <w:left w:val="nil"/>
          <w:bottom w:val="single" w:sz="8" w:space="0" w:color="499BC9" w:themeColor="accent1"/>
          <w:right w:val="nil"/>
          <w:insideH w:val="nil"/>
          <w:insideV w:val="nil"/>
        </w:tcBorders>
      </w:tcPr>
    </w:tblStylePr>
    <w:tblStylePr w:type="lastRow">
      <w:pPr>
        <w:spacing w:before="0" w:after="0" w:line="240" w:lineRule="auto"/>
      </w:pPr>
      <w:rPr>
        <w:b/>
        <w:bCs/>
      </w:rPr>
      <w:tblPr/>
      <w:tcPr>
        <w:tcBorders>
          <w:top w:val="single" w:sz="8" w:space="0" w:color="499BC9" w:themeColor="accent1"/>
          <w:left w:val="nil"/>
          <w:bottom w:val="single" w:sz="8" w:space="0" w:color="499B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6F1" w:themeFill="accent1" w:themeFillTint="3F"/>
      </w:tcPr>
    </w:tblStylePr>
    <w:tblStylePr w:type="band1Horz">
      <w:tblPr/>
      <w:tcPr>
        <w:shd w:val="clear" w:color="auto" w:fill="ADDB7B"/>
      </w:tcPr>
    </w:tblStylePr>
  </w:style>
  <w:style w:type="paragraph" w:styleId="Revision">
    <w:name w:val="Revision"/>
    <w:hidden/>
    <w:uiPriority w:val="99"/>
    <w:semiHidden/>
    <w:rsid w:val="005A3C8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 w:type="table" w:customStyle="1" w:styleId="LightShading-Accent11">
    <w:name w:val="Light Shading - Accent 11"/>
    <w:basedOn w:val="TableNormal"/>
    <w:next w:val="LightShading-Accent1"/>
    <w:uiPriority w:val="60"/>
    <w:rsid w:val="00844C38"/>
    <w:rPr>
      <w:color w:val="2F759E" w:themeColor="accent1" w:themeShade="BF"/>
      <w:lang w:eastAsia="en-NZ"/>
    </w:rPr>
    <w:tblPr>
      <w:tblStyleRowBandSize w:val="1"/>
      <w:tblStyleColBandSize w:val="1"/>
      <w:tblBorders>
        <w:top w:val="single" w:sz="8" w:space="0" w:color="499BC9" w:themeColor="accent1"/>
        <w:bottom w:val="single" w:sz="8" w:space="0" w:color="499BC9" w:themeColor="accent1"/>
      </w:tblBorders>
    </w:tblPr>
    <w:tblStylePr w:type="firstRow">
      <w:pPr>
        <w:spacing w:before="0" w:after="0" w:line="240" w:lineRule="auto"/>
      </w:pPr>
      <w:rPr>
        <w:b/>
        <w:bCs/>
      </w:rPr>
      <w:tblPr/>
      <w:tcPr>
        <w:tcBorders>
          <w:top w:val="single" w:sz="8" w:space="0" w:color="499BC9" w:themeColor="accent1"/>
          <w:left w:val="nil"/>
          <w:bottom w:val="single" w:sz="8" w:space="0" w:color="499BC9" w:themeColor="accent1"/>
          <w:right w:val="nil"/>
          <w:insideH w:val="nil"/>
          <w:insideV w:val="nil"/>
        </w:tcBorders>
      </w:tcPr>
    </w:tblStylePr>
    <w:tblStylePr w:type="lastRow">
      <w:pPr>
        <w:spacing w:before="0" w:after="0" w:line="240" w:lineRule="auto"/>
      </w:pPr>
      <w:rPr>
        <w:b/>
        <w:bCs/>
      </w:rPr>
      <w:tblPr/>
      <w:tcPr>
        <w:tcBorders>
          <w:top w:val="single" w:sz="8" w:space="0" w:color="499BC9" w:themeColor="accent1"/>
          <w:left w:val="nil"/>
          <w:bottom w:val="single" w:sz="8" w:space="0" w:color="499B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6F1" w:themeFill="accent1" w:themeFillTint="3F"/>
      </w:tcPr>
    </w:tblStylePr>
    <w:tblStylePr w:type="band1Horz">
      <w:tblPr/>
      <w:tcPr>
        <w:tcBorders>
          <w:left w:val="nil"/>
          <w:right w:val="nil"/>
          <w:insideH w:val="nil"/>
          <w:insideV w:val="nil"/>
        </w:tcBorders>
        <w:shd w:val="clear" w:color="auto" w:fill="D2E6F1" w:themeFill="accent1" w:themeFillTint="3F"/>
      </w:tcPr>
    </w:tblStylePr>
  </w:style>
  <w:style w:type="table" w:customStyle="1" w:styleId="LightShading-Accent12">
    <w:name w:val="Light Shading - Accent 12"/>
    <w:basedOn w:val="TableNormal"/>
    <w:next w:val="LightShading-Accent1"/>
    <w:uiPriority w:val="60"/>
    <w:rsid w:val="00844C38"/>
    <w:rPr>
      <w:color w:val="2F759E" w:themeColor="accent1" w:themeShade="BF"/>
      <w:lang w:eastAsia="en-NZ"/>
    </w:rPr>
    <w:tblPr>
      <w:tblStyleRowBandSize w:val="1"/>
      <w:tblStyleColBandSize w:val="1"/>
      <w:tblBorders>
        <w:top w:val="single" w:sz="8" w:space="0" w:color="499BC9" w:themeColor="accent1"/>
        <w:bottom w:val="single" w:sz="8" w:space="0" w:color="499BC9" w:themeColor="accent1"/>
      </w:tblBorders>
    </w:tblPr>
    <w:tblStylePr w:type="firstRow">
      <w:pPr>
        <w:spacing w:before="0" w:after="0" w:line="240" w:lineRule="auto"/>
      </w:pPr>
      <w:rPr>
        <w:b/>
        <w:bCs/>
      </w:rPr>
      <w:tblPr/>
      <w:tcPr>
        <w:tcBorders>
          <w:top w:val="single" w:sz="8" w:space="0" w:color="499BC9" w:themeColor="accent1"/>
          <w:left w:val="nil"/>
          <w:bottom w:val="single" w:sz="8" w:space="0" w:color="499BC9" w:themeColor="accent1"/>
          <w:right w:val="nil"/>
          <w:insideH w:val="nil"/>
          <w:insideV w:val="nil"/>
        </w:tcBorders>
      </w:tcPr>
    </w:tblStylePr>
    <w:tblStylePr w:type="lastRow">
      <w:pPr>
        <w:spacing w:before="0" w:after="0" w:line="240" w:lineRule="auto"/>
      </w:pPr>
      <w:rPr>
        <w:b/>
        <w:bCs/>
      </w:rPr>
      <w:tblPr/>
      <w:tcPr>
        <w:tcBorders>
          <w:top w:val="single" w:sz="8" w:space="0" w:color="499BC9" w:themeColor="accent1"/>
          <w:left w:val="nil"/>
          <w:bottom w:val="single" w:sz="8" w:space="0" w:color="499B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6F1" w:themeFill="accent1" w:themeFillTint="3F"/>
      </w:tcPr>
    </w:tblStylePr>
    <w:tblStylePr w:type="band1Horz">
      <w:tblPr/>
      <w:tcPr>
        <w:tcBorders>
          <w:left w:val="nil"/>
          <w:right w:val="nil"/>
          <w:insideH w:val="nil"/>
          <w:insideV w:val="nil"/>
        </w:tcBorders>
        <w:shd w:val="clear" w:color="auto" w:fill="D2E6F1" w:themeFill="accent1" w:themeFillTint="3F"/>
      </w:tcPr>
    </w:tblStylePr>
  </w:style>
  <w:style w:type="table" w:customStyle="1" w:styleId="LightShading-Accent13">
    <w:name w:val="Light Shading - Accent 13"/>
    <w:basedOn w:val="TableNormal"/>
    <w:next w:val="LightShading-Accent1"/>
    <w:uiPriority w:val="60"/>
    <w:rsid w:val="008A32B2"/>
    <w:rPr>
      <w:color w:val="2F759E" w:themeColor="accent1" w:themeShade="BF"/>
      <w:lang w:eastAsia="en-NZ"/>
    </w:rPr>
    <w:tblPr>
      <w:tblStyleRowBandSize w:val="1"/>
      <w:tblStyleColBandSize w:val="1"/>
      <w:tblBorders>
        <w:top w:val="single" w:sz="8" w:space="0" w:color="499BC9" w:themeColor="accent1"/>
        <w:bottom w:val="single" w:sz="8" w:space="0" w:color="499BC9" w:themeColor="accent1"/>
      </w:tblBorders>
    </w:tblPr>
    <w:tblStylePr w:type="firstRow">
      <w:pPr>
        <w:spacing w:before="0" w:after="0" w:line="240" w:lineRule="auto"/>
      </w:pPr>
      <w:rPr>
        <w:b/>
        <w:bCs/>
      </w:rPr>
      <w:tblPr/>
      <w:tcPr>
        <w:tcBorders>
          <w:top w:val="single" w:sz="8" w:space="0" w:color="499BC9" w:themeColor="accent1"/>
          <w:left w:val="nil"/>
          <w:bottom w:val="single" w:sz="8" w:space="0" w:color="499BC9" w:themeColor="accent1"/>
          <w:right w:val="nil"/>
          <w:insideH w:val="nil"/>
          <w:insideV w:val="nil"/>
        </w:tcBorders>
      </w:tcPr>
    </w:tblStylePr>
    <w:tblStylePr w:type="lastRow">
      <w:pPr>
        <w:spacing w:before="0" w:after="0" w:line="240" w:lineRule="auto"/>
      </w:pPr>
      <w:rPr>
        <w:b/>
        <w:bCs/>
      </w:rPr>
      <w:tblPr/>
      <w:tcPr>
        <w:tcBorders>
          <w:top w:val="single" w:sz="8" w:space="0" w:color="499BC9" w:themeColor="accent1"/>
          <w:left w:val="nil"/>
          <w:bottom w:val="single" w:sz="8" w:space="0" w:color="499B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6F1" w:themeFill="accent1" w:themeFillTint="3F"/>
      </w:tcPr>
    </w:tblStylePr>
    <w:tblStylePr w:type="band1Horz">
      <w:tblPr/>
      <w:tcPr>
        <w:tcBorders>
          <w:left w:val="nil"/>
          <w:right w:val="nil"/>
          <w:insideH w:val="nil"/>
          <w:insideV w:val="nil"/>
        </w:tcBorders>
        <w:shd w:val="clear" w:color="auto" w:fill="D2E6F1" w:themeFill="accent1" w:themeFillTint="3F"/>
      </w:tcPr>
    </w:tblStylePr>
  </w:style>
  <w:style w:type="paragraph" w:styleId="Header">
    <w:name w:val="header"/>
    <w:basedOn w:val="Normal"/>
    <w:link w:val="HeaderChar"/>
    <w:uiPriority w:val="99"/>
    <w:unhideWhenUsed/>
    <w:rsid w:val="00BE2B26"/>
    <w:pPr>
      <w:tabs>
        <w:tab w:val="center" w:pos="4513"/>
        <w:tab w:val="right" w:pos="9026"/>
      </w:tabs>
    </w:pPr>
  </w:style>
  <w:style w:type="character" w:customStyle="1" w:styleId="HeaderChar">
    <w:name w:val="Header Char"/>
    <w:basedOn w:val="DefaultParagraphFont"/>
    <w:link w:val="Header"/>
    <w:uiPriority w:val="99"/>
    <w:rsid w:val="00BE2B26"/>
    <w:rPr>
      <w:sz w:val="24"/>
      <w:szCs w:val="24"/>
      <w:lang w:val="en-US"/>
    </w:rPr>
  </w:style>
  <w:style w:type="paragraph" w:styleId="Footer">
    <w:name w:val="footer"/>
    <w:basedOn w:val="Normal"/>
    <w:link w:val="FooterChar"/>
    <w:uiPriority w:val="99"/>
    <w:unhideWhenUsed/>
    <w:rsid w:val="00BE2B26"/>
    <w:pPr>
      <w:tabs>
        <w:tab w:val="center" w:pos="4513"/>
        <w:tab w:val="right" w:pos="9026"/>
      </w:tabs>
    </w:pPr>
  </w:style>
  <w:style w:type="character" w:customStyle="1" w:styleId="FooterChar">
    <w:name w:val="Footer Char"/>
    <w:basedOn w:val="DefaultParagraphFont"/>
    <w:link w:val="Footer"/>
    <w:uiPriority w:val="99"/>
    <w:rsid w:val="00BE2B26"/>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ediaenquiries@trademe.co.nz"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ediaenquiries@trademe.co.n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gi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B60DA-35BC-42E2-B91E-A7BF13FA9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1005</Words>
  <Characters>5731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2015-04-21T04:25:00Z</dcterms:created>
  <dcterms:modified xsi:type="dcterms:W3CDTF">2015-04-21T04:26:00Z</dcterms:modified>
</cp:coreProperties>
</file>