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1B7" w:rsidRPr="00721EC2" w:rsidRDefault="00FC21B7" w:rsidP="00FC21B7">
      <w:pPr>
        <w:pStyle w:val="NoSpacing"/>
        <w:rPr>
          <w:rFonts w:cstheme="minorHAnsi"/>
          <w:b/>
        </w:rPr>
      </w:pPr>
      <w:bookmarkStart w:id="0" w:name="_GoBack"/>
      <w:bookmarkEnd w:id="0"/>
      <w:r w:rsidRPr="00721EC2">
        <w:rPr>
          <w:rFonts w:cstheme="minorHAnsi"/>
        </w:rPr>
        <w:t>Media Release</w:t>
      </w:r>
      <w:r w:rsidRPr="00721EC2">
        <w:rPr>
          <w:rFonts w:cstheme="minorHAnsi"/>
        </w:rPr>
        <w:tab/>
      </w:r>
      <w:r w:rsidRPr="00721EC2">
        <w:rPr>
          <w:rFonts w:cstheme="minorHAnsi"/>
        </w:rPr>
        <w:tab/>
      </w:r>
      <w:r w:rsidRPr="00721EC2">
        <w:rPr>
          <w:rFonts w:cstheme="minorHAnsi"/>
        </w:rPr>
        <w:tab/>
      </w:r>
    </w:p>
    <w:p w:rsidR="00FC21B7" w:rsidRPr="00721EC2" w:rsidRDefault="00CE11FB" w:rsidP="00FC21B7">
      <w:pPr>
        <w:pStyle w:val="NoSpacing"/>
        <w:rPr>
          <w:rFonts w:cstheme="minorHAnsi"/>
        </w:rPr>
      </w:pPr>
      <w:r>
        <w:rPr>
          <w:rFonts w:cstheme="minorHAnsi"/>
        </w:rPr>
        <w:t>7</w:t>
      </w:r>
      <w:r w:rsidRPr="00CE11FB">
        <w:rPr>
          <w:rFonts w:cstheme="minorHAnsi"/>
          <w:vertAlign w:val="superscript"/>
        </w:rPr>
        <w:t>th</w:t>
      </w:r>
      <w:r>
        <w:rPr>
          <w:rFonts w:cstheme="minorHAnsi"/>
        </w:rPr>
        <w:t xml:space="preserve"> November 2016</w:t>
      </w:r>
    </w:p>
    <w:p w:rsidR="00CE11FB" w:rsidRDefault="00CE11FB" w:rsidP="008F2124">
      <w:pPr>
        <w:pStyle w:val="NoSpacing"/>
        <w:ind w:left="720" w:firstLine="720"/>
        <w:rPr>
          <w:rFonts w:cstheme="minorHAnsi"/>
          <w:b/>
          <w:bCs/>
        </w:rPr>
      </w:pPr>
    </w:p>
    <w:p w:rsidR="00FC21B7" w:rsidRPr="00721EC2" w:rsidRDefault="00CE11FB" w:rsidP="008F2124">
      <w:pPr>
        <w:pStyle w:val="NoSpacing"/>
        <w:ind w:left="720" w:firstLine="720"/>
        <w:rPr>
          <w:rFonts w:cstheme="minorHAnsi"/>
          <w:b/>
          <w:bCs/>
        </w:rPr>
      </w:pPr>
      <w:r>
        <w:rPr>
          <w:rFonts w:cstheme="minorHAnsi"/>
          <w:b/>
          <w:bCs/>
        </w:rPr>
        <w:t>W</w:t>
      </w:r>
      <w:r w:rsidR="00FC21B7" w:rsidRPr="00721EC2">
        <w:rPr>
          <w:rFonts w:cstheme="minorHAnsi"/>
          <w:b/>
          <w:bCs/>
        </w:rPr>
        <w:t>estpac N</w:t>
      </w:r>
      <w:r w:rsidR="00A863FD" w:rsidRPr="00721EC2">
        <w:rPr>
          <w:rFonts w:cstheme="minorHAnsi"/>
          <w:b/>
          <w:bCs/>
        </w:rPr>
        <w:t xml:space="preserve">ew </w:t>
      </w:r>
      <w:r w:rsidR="00FC21B7" w:rsidRPr="00721EC2">
        <w:rPr>
          <w:rFonts w:cstheme="minorHAnsi"/>
          <w:b/>
          <w:bCs/>
        </w:rPr>
        <w:t>Z</w:t>
      </w:r>
      <w:r w:rsidR="00A863FD" w:rsidRPr="00721EC2">
        <w:rPr>
          <w:rFonts w:cstheme="minorHAnsi"/>
          <w:b/>
          <w:bCs/>
        </w:rPr>
        <w:t>ealand</w:t>
      </w:r>
      <w:r w:rsidR="00FC21B7" w:rsidRPr="00721EC2">
        <w:rPr>
          <w:rFonts w:cstheme="minorHAnsi"/>
          <w:b/>
          <w:bCs/>
        </w:rPr>
        <w:t>: Balanced growth, investing in transformation</w:t>
      </w:r>
    </w:p>
    <w:p w:rsidR="00AD7681" w:rsidRDefault="00AD7681" w:rsidP="00FC21B7">
      <w:pPr>
        <w:pStyle w:val="NoSpacing"/>
        <w:rPr>
          <w:rFonts w:cstheme="minorHAnsi"/>
        </w:rPr>
      </w:pPr>
    </w:p>
    <w:p w:rsidR="00FC21B7" w:rsidRPr="00721EC2" w:rsidRDefault="00FC21B7" w:rsidP="00FC21B7">
      <w:pPr>
        <w:pStyle w:val="NoSpacing"/>
        <w:rPr>
          <w:rFonts w:cstheme="minorHAnsi"/>
        </w:rPr>
      </w:pPr>
      <w:r w:rsidRPr="00721EC2">
        <w:rPr>
          <w:rFonts w:cstheme="minorHAnsi"/>
        </w:rPr>
        <w:t>Westpac New Zealand</w:t>
      </w:r>
      <w:r w:rsidR="00A863FD" w:rsidRPr="00721EC2">
        <w:rPr>
          <w:rFonts w:cstheme="minorHAnsi"/>
          <w:vertAlign w:val="superscript"/>
        </w:rPr>
        <w:t>1</w:t>
      </w:r>
      <w:r w:rsidRPr="00721EC2">
        <w:rPr>
          <w:rFonts w:cstheme="minorHAnsi"/>
        </w:rPr>
        <w:t xml:space="preserve"> has posted cash earnings</w:t>
      </w:r>
      <w:r w:rsidR="00A863FD" w:rsidRPr="00721EC2">
        <w:rPr>
          <w:rFonts w:cstheme="minorHAnsi"/>
          <w:vertAlign w:val="superscript"/>
        </w:rPr>
        <w:t>2</w:t>
      </w:r>
      <w:r w:rsidRPr="00721EC2">
        <w:rPr>
          <w:rFonts w:cstheme="minorHAnsi"/>
        </w:rPr>
        <w:t xml:space="preserve"> of $872 million for the year ended 3</w:t>
      </w:r>
      <w:r w:rsidR="00E21706">
        <w:rPr>
          <w:rFonts w:cstheme="minorHAnsi"/>
        </w:rPr>
        <w:t>0</w:t>
      </w:r>
      <w:r w:rsidRPr="00721EC2">
        <w:rPr>
          <w:rFonts w:cstheme="minorHAnsi"/>
        </w:rPr>
        <w:t xml:space="preserve"> September 2016, </w:t>
      </w:r>
      <w:r w:rsidR="00E21706">
        <w:rPr>
          <w:rFonts w:cstheme="minorHAnsi"/>
        </w:rPr>
        <w:t xml:space="preserve">below </w:t>
      </w:r>
      <w:r w:rsidRPr="00721EC2">
        <w:rPr>
          <w:rFonts w:cstheme="minorHAnsi"/>
        </w:rPr>
        <w:t xml:space="preserve">the corresponding period last year while also investing significantly in a new customer service transformation programme. </w:t>
      </w:r>
    </w:p>
    <w:p w:rsidR="00FC21B7" w:rsidRPr="00721EC2" w:rsidRDefault="00FC21B7" w:rsidP="00FC21B7">
      <w:pPr>
        <w:pStyle w:val="NoSpacing"/>
        <w:rPr>
          <w:rFonts w:cstheme="minorHAnsi"/>
        </w:rPr>
      </w:pPr>
    </w:p>
    <w:p w:rsidR="00FC21B7" w:rsidRPr="00721EC2" w:rsidRDefault="00FC21B7" w:rsidP="00FC21B7">
      <w:pPr>
        <w:pStyle w:val="NoSpacing"/>
        <w:rPr>
          <w:rFonts w:cstheme="minorHAnsi"/>
        </w:rPr>
      </w:pPr>
      <w:r w:rsidRPr="00721EC2">
        <w:rPr>
          <w:rFonts w:cstheme="minorHAnsi"/>
        </w:rPr>
        <w:t>Net interest income rose 2% to $1.7 billion driven by a 9% lift in total lending. The funding position continued to be strong with 9</w:t>
      </w:r>
      <w:r w:rsidR="001A3E2F">
        <w:rPr>
          <w:rFonts w:cstheme="minorHAnsi"/>
        </w:rPr>
        <w:t>2</w:t>
      </w:r>
      <w:r w:rsidRPr="00721EC2">
        <w:rPr>
          <w:rFonts w:cstheme="minorHAnsi"/>
        </w:rPr>
        <w:t>% of lending growth covered by increased deposits</w:t>
      </w:r>
      <w:r w:rsidR="00A863FD" w:rsidRPr="00721EC2">
        <w:rPr>
          <w:rFonts w:cstheme="minorHAnsi"/>
          <w:vertAlign w:val="superscript"/>
        </w:rPr>
        <w:t>3</w:t>
      </w:r>
      <w:r w:rsidRPr="00721EC2">
        <w:rPr>
          <w:rFonts w:cstheme="minorHAnsi"/>
        </w:rPr>
        <w:t xml:space="preserve">. Focused risk management saw impairments remain low at $59 million which includes provisions for dairy customers. At the same time Westpac </w:t>
      </w:r>
      <w:r w:rsidR="00A863FD" w:rsidRPr="00721EC2">
        <w:rPr>
          <w:rFonts w:cstheme="minorHAnsi"/>
        </w:rPr>
        <w:t xml:space="preserve">New Zealand </w:t>
      </w:r>
      <w:r w:rsidR="00703894">
        <w:rPr>
          <w:rFonts w:cstheme="minorHAnsi"/>
        </w:rPr>
        <w:t xml:space="preserve">further increased investment </w:t>
      </w:r>
      <w:r w:rsidRPr="00721EC2">
        <w:rPr>
          <w:rFonts w:cstheme="minorHAnsi"/>
        </w:rPr>
        <w:t>in service transformation which saw more than 200 initiatives implemented in the first year. Th</w:t>
      </w:r>
      <w:r w:rsidR="00CE11FB">
        <w:rPr>
          <w:rFonts w:cstheme="minorHAnsi"/>
        </w:rPr>
        <w:t>e</w:t>
      </w:r>
      <w:r w:rsidRPr="00721EC2">
        <w:rPr>
          <w:rFonts w:cstheme="minorHAnsi"/>
        </w:rPr>
        <w:t xml:space="preserve"> cost of </w:t>
      </w:r>
      <w:r w:rsidR="003E4215" w:rsidRPr="00721EC2">
        <w:rPr>
          <w:rFonts w:cstheme="minorHAnsi"/>
        </w:rPr>
        <w:t xml:space="preserve">that </w:t>
      </w:r>
      <w:r w:rsidRPr="00721EC2">
        <w:rPr>
          <w:rFonts w:cstheme="minorHAnsi"/>
        </w:rPr>
        <w:t xml:space="preserve">investment </w:t>
      </w:r>
      <w:r w:rsidR="00B32357">
        <w:rPr>
          <w:rFonts w:cstheme="minorHAnsi"/>
        </w:rPr>
        <w:t xml:space="preserve">impacted </w:t>
      </w:r>
      <w:r w:rsidR="00B32357" w:rsidRPr="00B32357">
        <w:rPr>
          <w:rFonts w:cstheme="minorHAnsi"/>
        </w:rPr>
        <w:t>core earnings</w:t>
      </w:r>
      <w:r w:rsidR="00B32357" w:rsidRPr="00B32357">
        <w:rPr>
          <w:rFonts w:cstheme="minorHAnsi"/>
          <w:vertAlign w:val="superscript"/>
        </w:rPr>
        <w:t>4</w:t>
      </w:r>
      <w:r w:rsidR="00B32357">
        <w:rPr>
          <w:rFonts w:cstheme="minorHAnsi"/>
        </w:rPr>
        <w:t xml:space="preserve"> by </w:t>
      </w:r>
      <w:r w:rsidR="00B32357" w:rsidRPr="00721EC2">
        <w:rPr>
          <w:rFonts w:cstheme="minorHAnsi"/>
        </w:rPr>
        <w:t>2</w:t>
      </w:r>
      <w:r w:rsidRPr="00721EC2">
        <w:rPr>
          <w:rFonts w:cstheme="minorHAnsi"/>
        </w:rPr>
        <w:t>%</w:t>
      </w:r>
      <w:r w:rsidR="00B32357">
        <w:rPr>
          <w:rFonts w:cstheme="minorHAnsi"/>
        </w:rPr>
        <w:t>.</w:t>
      </w:r>
    </w:p>
    <w:p w:rsidR="00FC21B7" w:rsidRPr="00721EC2" w:rsidRDefault="00FC21B7" w:rsidP="00FC21B7">
      <w:pPr>
        <w:pStyle w:val="NoSpacing"/>
        <w:rPr>
          <w:rFonts w:cstheme="minorHAnsi"/>
        </w:rPr>
      </w:pPr>
      <w:r w:rsidRPr="00721EC2">
        <w:rPr>
          <w:rFonts w:cstheme="minorHAnsi"/>
        </w:rPr>
        <w:t xml:space="preserve"> </w:t>
      </w:r>
    </w:p>
    <w:p w:rsidR="00CE11FB" w:rsidRDefault="00FC21B7" w:rsidP="00FC21B7">
      <w:pPr>
        <w:pStyle w:val="NoSpacing"/>
        <w:rPr>
          <w:rFonts w:cstheme="minorHAnsi"/>
        </w:rPr>
      </w:pPr>
      <w:r w:rsidRPr="00721EC2">
        <w:rPr>
          <w:rFonts w:cstheme="minorHAnsi"/>
        </w:rPr>
        <w:t xml:space="preserve">Westpac </w:t>
      </w:r>
      <w:r w:rsidR="00A863FD" w:rsidRPr="00721EC2">
        <w:rPr>
          <w:rFonts w:cstheme="minorHAnsi"/>
        </w:rPr>
        <w:t xml:space="preserve">New Zealand </w:t>
      </w:r>
      <w:r w:rsidRPr="00721EC2">
        <w:rPr>
          <w:rFonts w:cstheme="minorHAnsi"/>
        </w:rPr>
        <w:t xml:space="preserve">Chief Executive Officer, David McLean, said </w:t>
      </w:r>
      <w:r w:rsidR="00CE11FB">
        <w:rPr>
          <w:rFonts w:cstheme="minorHAnsi"/>
        </w:rPr>
        <w:t>notwithstanding a challenging environment, the bank continued its significant investment in customer service transformation.</w:t>
      </w:r>
    </w:p>
    <w:p w:rsidR="003E4215" w:rsidRPr="00721EC2" w:rsidRDefault="003E4215" w:rsidP="00FC21B7">
      <w:pPr>
        <w:pStyle w:val="NoSpacing"/>
        <w:rPr>
          <w:rFonts w:cstheme="minorHAnsi"/>
        </w:rPr>
      </w:pPr>
    </w:p>
    <w:p w:rsidR="00FC21B7" w:rsidRPr="00721EC2" w:rsidRDefault="00A863FD" w:rsidP="00FC21B7">
      <w:pPr>
        <w:pStyle w:val="NoSpacing"/>
        <w:rPr>
          <w:rFonts w:cstheme="minorHAnsi"/>
        </w:rPr>
      </w:pPr>
      <w:r w:rsidRPr="00721EC2">
        <w:rPr>
          <w:rFonts w:cstheme="minorHAnsi"/>
        </w:rPr>
        <w:t>“Westpac New Zealand</w:t>
      </w:r>
      <w:r w:rsidR="00FC21B7" w:rsidRPr="00721EC2">
        <w:rPr>
          <w:rFonts w:cstheme="minorHAnsi"/>
        </w:rPr>
        <w:t xml:space="preserve"> delivered a sound performance based on a disciplined approach to risk management and balanced growth,” Mr McLean said.</w:t>
      </w:r>
    </w:p>
    <w:p w:rsidR="00FC21B7" w:rsidRPr="00721EC2" w:rsidRDefault="00FC21B7" w:rsidP="00FC21B7">
      <w:pPr>
        <w:pStyle w:val="NoSpacing"/>
        <w:rPr>
          <w:rFonts w:cstheme="minorHAnsi"/>
        </w:rPr>
      </w:pPr>
    </w:p>
    <w:p w:rsidR="00FC21B7" w:rsidRPr="00721EC2" w:rsidRDefault="00FC21B7" w:rsidP="00FC21B7">
      <w:pPr>
        <w:pStyle w:val="NoSpacing"/>
        <w:rPr>
          <w:rFonts w:cstheme="minorHAnsi"/>
        </w:rPr>
      </w:pPr>
      <w:r w:rsidRPr="00721EC2">
        <w:rPr>
          <w:rFonts w:cstheme="minorHAnsi"/>
        </w:rPr>
        <w:t>“We have focused on quality lending over volume, particularly in housing. This was evidenced by some risk policy changes we were prepared to make and lead the market in implementing policy changes ahead of regulation.”</w:t>
      </w:r>
    </w:p>
    <w:p w:rsidR="00FC21B7" w:rsidRPr="00721EC2" w:rsidRDefault="00FC21B7" w:rsidP="00FC21B7">
      <w:pPr>
        <w:pStyle w:val="NoSpacing"/>
        <w:rPr>
          <w:rFonts w:cstheme="minorHAnsi"/>
        </w:rPr>
      </w:pPr>
    </w:p>
    <w:p w:rsidR="00FC21B7" w:rsidRPr="00721EC2" w:rsidRDefault="00FC21B7" w:rsidP="00FC21B7">
      <w:pPr>
        <w:pStyle w:val="NoSpacing"/>
        <w:rPr>
          <w:rFonts w:cstheme="minorHAnsi"/>
        </w:rPr>
      </w:pPr>
      <w:r w:rsidRPr="00721EC2">
        <w:rPr>
          <w:rFonts w:cstheme="minorHAnsi"/>
        </w:rPr>
        <w:t>“As well, we made a good start to implementing our service transformation to meet our customers rapidly evolving needs through their uptake of technology. Over the short to medium term this will significantly change the way our customers can manage their banking.”</w:t>
      </w:r>
    </w:p>
    <w:p w:rsidR="003E4215" w:rsidRPr="00721EC2" w:rsidRDefault="003E4215" w:rsidP="00FC21B7">
      <w:pPr>
        <w:pStyle w:val="NoSpacing"/>
        <w:rPr>
          <w:rFonts w:cstheme="minorHAnsi"/>
        </w:rPr>
      </w:pPr>
    </w:p>
    <w:p w:rsidR="003E4215" w:rsidRPr="00721EC2" w:rsidRDefault="003E4215" w:rsidP="00FC21B7">
      <w:pPr>
        <w:pStyle w:val="NoSpacing"/>
        <w:rPr>
          <w:rFonts w:cstheme="minorHAnsi"/>
        </w:rPr>
      </w:pPr>
      <w:r w:rsidRPr="00721EC2">
        <w:rPr>
          <w:rFonts w:cstheme="minorHAnsi"/>
        </w:rPr>
        <w:t>“</w:t>
      </w:r>
      <w:r w:rsidR="00616210" w:rsidRPr="00721EC2">
        <w:rPr>
          <w:rFonts w:cstheme="minorHAnsi"/>
        </w:rPr>
        <w:t xml:space="preserve">We have </w:t>
      </w:r>
      <w:r w:rsidRPr="00721EC2">
        <w:rPr>
          <w:rFonts w:cstheme="minorHAnsi"/>
        </w:rPr>
        <w:t>adjusted well to the challenges of the market and service transformation and are a business with momentum.” Mr McLean said.</w:t>
      </w:r>
    </w:p>
    <w:p w:rsidR="003E4215" w:rsidRPr="00721EC2" w:rsidRDefault="003E4215" w:rsidP="00FC21B7">
      <w:pPr>
        <w:pStyle w:val="NoSpacing"/>
        <w:rPr>
          <w:rFonts w:cstheme="minorHAnsi"/>
        </w:rPr>
      </w:pPr>
    </w:p>
    <w:p w:rsidR="00FC21B7" w:rsidRPr="00721EC2" w:rsidRDefault="00FC21B7" w:rsidP="00FC21B7">
      <w:pPr>
        <w:pStyle w:val="NoSpacing"/>
        <w:rPr>
          <w:rFonts w:cstheme="minorHAnsi"/>
          <w:b/>
        </w:rPr>
      </w:pPr>
      <w:r w:rsidRPr="00721EC2">
        <w:rPr>
          <w:rFonts w:cstheme="minorHAnsi"/>
          <w:b/>
        </w:rPr>
        <w:t>LENDING AND DEPOSIT GROWTH</w:t>
      </w:r>
    </w:p>
    <w:p w:rsidR="008F2124" w:rsidRPr="00721EC2" w:rsidRDefault="00FC21B7" w:rsidP="00FC21B7">
      <w:pPr>
        <w:pStyle w:val="NoSpacing"/>
        <w:rPr>
          <w:rFonts w:cstheme="minorHAnsi"/>
        </w:rPr>
      </w:pPr>
      <w:r w:rsidRPr="00721EC2">
        <w:rPr>
          <w:rFonts w:cstheme="minorHAnsi"/>
        </w:rPr>
        <w:t xml:space="preserve">Business and Institutional lending grew 12% to $28.4b underpinned by 13% growth in </w:t>
      </w:r>
      <w:proofErr w:type="spellStart"/>
      <w:r w:rsidRPr="00721EC2">
        <w:rPr>
          <w:rFonts w:cstheme="minorHAnsi"/>
        </w:rPr>
        <w:t>Agri</w:t>
      </w:r>
      <w:proofErr w:type="spellEnd"/>
      <w:r w:rsidRPr="00721EC2">
        <w:rPr>
          <w:rFonts w:cstheme="minorHAnsi"/>
        </w:rPr>
        <w:t xml:space="preserve"> with </w:t>
      </w:r>
      <w:proofErr w:type="gramStart"/>
      <w:r w:rsidRPr="00721EC2">
        <w:rPr>
          <w:rFonts w:cstheme="minorHAnsi"/>
        </w:rPr>
        <w:t>Commercial</w:t>
      </w:r>
      <w:proofErr w:type="gramEnd"/>
      <w:r w:rsidRPr="00721EC2">
        <w:rPr>
          <w:rFonts w:cstheme="minorHAnsi"/>
        </w:rPr>
        <w:t xml:space="preserve"> lending up 12%. </w:t>
      </w:r>
      <w:r w:rsidR="008F2124" w:rsidRPr="00721EC2">
        <w:rPr>
          <w:rFonts w:cstheme="minorHAnsi"/>
        </w:rPr>
        <w:t>Westpac</w:t>
      </w:r>
      <w:r w:rsidR="00A863FD" w:rsidRPr="00721EC2">
        <w:rPr>
          <w:rFonts w:cstheme="minorHAnsi"/>
        </w:rPr>
        <w:t xml:space="preserve"> New Zealand</w:t>
      </w:r>
      <w:r w:rsidR="008F2124" w:rsidRPr="00721EC2">
        <w:rPr>
          <w:rFonts w:cstheme="minorHAnsi"/>
        </w:rPr>
        <w:t xml:space="preserve"> is playing a key role in the future of New Zealand  with the Institutional Bank the lead bank in five of the six Public-Private-Partnerships (PPPs) the Government has launched for key infrastructure projects.</w:t>
      </w:r>
    </w:p>
    <w:p w:rsidR="008F2124" w:rsidRPr="00721EC2" w:rsidRDefault="008F2124" w:rsidP="00FC21B7">
      <w:pPr>
        <w:pStyle w:val="NoSpacing"/>
        <w:rPr>
          <w:rFonts w:cstheme="minorHAnsi"/>
        </w:rPr>
      </w:pPr>
    </w:p>
    <w:p w:rsidR="008F2124" w:rsidRPr="00721EC2" w:rsidRDefault="008F2124" w:rsidP="00FC21B7">
      <w:pPr>
        <w:pStyle w:val="NoSpacing"/>
        <w:rPr>
          <w:rFonts w:cstheme="minorHAnsi"/>
        </w:rPr>
      </w:pPr>
      <w:r w:rsidRPr="00721EC2">
        <w:rPr>
          <w:rFonts w:cstheme="minorHAnsi"/>
        </w:rPr>
        <w:t xml:space="preserve">Bankers were added to the </w:t>
      </w:r>
      <w:proofErr w:type="spellStart"/>
      <w:r w:rsidRPr="00721EC2">
        <w:rPr>
          <w:rFonts w:cstheme="minorHAnsi"/>
        </w:rPr>
        <w:t>Agri</w:t>
      </w:r>
      <w:proofErr w:type="spellEnd"/>
      <w:r w:rsidRPr="00721EC2">
        <w:rPr>
          <w:rFonts w:cstheme="minorHAnsi"/>
        </w:rPr>
        <w:t xml:space="preserve"> team which worked closely with dairy customers impacted by adverse market conditions. Support was also provided to the wider rural community with bank ambassador and mental health advocate Sir John Kirwan hosting forums across the country attended by more than </w:t>
      </w:r>
      <w:r w:rsidR="00AD7681">
        <w:rPr>
          <w:rFonts w:cstheme="minorHAnsi"/>
        </w:rPr>
        <w:t>3,500</w:t>
      </w:r>
      <w:r w:rsidRPr="00721EC2">
        <w:rPr>
          <w:rFonts w:cstheme="minorHAnsi"/>
        </w:rPr>
        <w:t xml:space="preserve"> people.</w:t>
      </w:r>
    </w:p>
    <w:p w:rsidR="008F2124" w:rsidRPr="00721EC2" w:rsidRDefault="008F2124" w:rsidP="00FC21B7">
      <w:pPr>
        <w:pStyle w:val="NoSpacing"/>
        <w:rPr>
          <w:rFonts w:cstheme="minorHAnsi"/>
        </w:rPr>
      </w:pPr>
    </w:p>
    <w:p w:rsidR="008F2124" w:rsidRPr="00721EC2" w:rsidRDefault="00B32357" w:rsidP="00FC21B7">
      <w:pPr>
        <w:pStyle w:val="NoSpacing"/>
        <w:rPr>
          <w:rFonts w:cstheme="minorHAnsi"/>
        </w:rPr>
      </w:pPr>
      <w:r>
        <w:rPr>
          <w:rFonts w:cstheme="minorHAnsi"/>
        </w:rPr>
        <w:t>Home lending lifted 7</w:t>
      </w:r>
      <w:r w:rsidR="00FC21B7" w:rsidRPr="00721EC2">
        <w:rPr>
          <w:rFonts w:cstheme="minorHAnsi"/>
        </w:rPr>
        <w:t>% to $45.1b, slightly below market growth. With historic low interest rates, strong customer preference for fixed home loans contributed to a net interest margin of 2.13%, down 12bps on the previous year.</w:t>
      </w:r>
      <w:r w:rsidR="00703894">
        <w:rPr>
          <w:rFonts w:cstheme="minorHAnsi"/>
        </w:rPr>
        <w:t xml:space="preserve"> Margins stabilised in the second half, down 4bps. </w:t>
      </w:r>
      <w:r w:rsidR="008F2124" w:rsidRPr="00721EC2">
        <w:rPr>
          <w:rFonts w:cstheme="minorHAnsi"/>
        </w:rPr>
        <w:t xml:space="preserve">Focus remains on the </w:t>
      </w:r>
      <w:r w:rsidR="002376C8" w:rsidRPr="00721EC2">
        <w:rPr>
          <w:rFonts w:cstheme="minorHAnsi"/>
        </w:rPr>
        <w:t>f</w:t>
      </w:r>
      <w:r w:rsidR="008F2124" w:rsidRPr="00721EC2">
        <w:rPr>
          <w:rFonts w:cstheme="minorHAnsi"/>
        </w:rPr>
        <w:t xml:space="preserve">irst and </w:t>
      </w:r>
      <w:r w:rsidR="002376C8" w:rsidRPr="00721EC2">
        <w:rPr>
          <w:rFonts w:cstheme="minorHAnsi"/>
        </w:rPr>
        <w:t>n</w:t>
      </w:r>
      <w:r w:rsidR="008F2124" w:rsidRPr="00721EC2">
        <w:rPr>
          <w:rFonts w:cstheme="minorHAnsi"/>
        </w:rPr>
        <w:t xml:space="preserve">ext </w:t>
      </w:r>
      <w:r w:rsidR="002376C8" w:rsidRPr="00721EC2">
        <w:rPr>
          <w:rFonts w:cstheme="minorHAnsi"/>
        </w:rPr>
        <w:t>h</w:t>
      </w:r>
      <w:r w:rsidR="008F2124" w:rsidRPr="00721EC2">
        <w:rPr>
          <w:rFonts w:cstheme="minorHAnsi"/>
        </w:rPr>
        <w:t xml:space="preserve">ome </w:t>
      </w:r>
      <w:r w:rsidR="002376C8" w:rsidRPr="00721EC2">
        <w:rPr>
          <w:rFonts w:cstheme="minorHAnsi"/>
        </w:rPr>
        <w:t>b</w:t>
      </w:r>
      <w:r w:rsidR="008F2124" w:rsidRPr="00721EC2">
        <w:rPr>
          <w:rFonts w:cstheme="minorHAnsi"/>
        </w:rPr>
        <w:t>uyer segments.</w:t>
      </w:r>
    </w:p>
    <w:p w:rsidR="00703894" w:rsidRPr="00721EC2" w:rsidRDefault="00703894" w:rsidP="00FC21B7">
      <w:pPr>
        <w:pStyle w:val="NoSpacing"/>
        <w:rPr>
          <w:rFonts w:cstheme="minorHAnsi"/>
        </w:rPr>
      </w:pPr>
    </w:p>
    <w:p w:rsidR="00721EC2" w:rsidRDefault="00FC21B7" w:rsidP="00FC21B7">
      <w:pPr>
        <w:pStyle w:val="NoSpacing"/>
        <w:rPr>
          <w:rFonts w:cstheme="minorHAnsi"/>
        </w:rPr>
      </w:pPr>
      <w:r w:rsidRPr="00721EC2">
        <w:rPr>
          <w:rFonts w:cstheme="minorHAnsi"/>
        </w:rPr>
        <w:t xml:space="preserve">Deposits grew strongly up 11% to </w:t>
      </w:r>
      <w:r w:rsidR="00A863FD" w:rsidRPr="00721EC2">
        <w:rPr>
          <w:rFonts w:cstheme="minorHAnsi"/>
        </w:rPr>
        <w:t>$57.5b</w:t>
      </w:r>
      <w:r w:rsidR="0080607C" w:rsidRPr="00721EC2">
        <w:rPr>
          <w:rFonts w:cstheme="minorHAnsi"/>
        </w:rPr>
        <w:t xml:space="preserve"> and more than 40% of deposits were taken via Smart ATMs. </w:t>
      </w:r>
      <w:r w:rsidR="00A863FD" w:rsidRPr="00721EC2">
        <w:rPr>
          <w:rFonts w:cstheme="minorHAnsi"/>
        </w:rPr>
        <w:t xml:space="preserve">Continued growth in </w:t>
      </w:r>
      <w:r w:rsidR="00A0223F" w:rsidRPr="00721EC2">
        <w:rPr>
          <w:rFonts w:cstheme="minorHAnsi"/>
        </w:rPr>
        <w:t xml:space="preserve">Westpac </w:t>
      </w:r>
      <w:proofErr w:type="spellStart"/>
      <w:r w:rsidR="00A863FD" w:rsidRPr="00721EC2">
        <w:rPr>
          <w:rFonts w:cstheme="minorHAnsi"/>
        </w:rPr>
        <w:t>KiwiS</w:t>
      </w:r>
      <w:r w:rsidRPr="00721EC2">
        <w:rPr>
          <w:rFonts w:cstheme="minorHAnsi"/>
        </w:rPr>
        <w:t>aver</w:t>
      </w:r>
      <w:proofErr w:type="spellEnd"/>
      <w:r w:rsidRPr="00721EC2">
        <w:rPr>
          <w:rFonts w:cstheme="minorHAnsi"/>
        </w:rPr>
        <w:t xml:space="preserve"> </w:t>
      </w:r>
      <w:r w:rsidR="00A863FD" w:rsidRPr="00721EC2">
        <w:rPr>
          <w:rFonts w:cstheme="minorHAnsi"/>
        </w:rPr>
        <w:t>Scheme</w:t>
      </w:r>
      <w:r w:rsidR="009948E0" w:rsidRPr="00721EC2">
        <w:rPr>
          <w:rFonts w:cstheme="minorHAnsi"/>
          <w:vertAlign w:val="superscript"/>
        </w:rPr>
        <w:t>5</w:t>
      </w:r>
      <w:r w:rsidR="00A863FD" w:rsidRPr="00721EC2">
        <w:rPr>
          <w:rFonts w:cstheme="minorHAnsi"/>
        </w:rPr>
        <w:t xml:space="preserve"> </w:t>
      </w:r>
      <w:r w:rsidRPr="00721EC2">
        <w:rPr>
          <w:rFonts w:cstheme="minorHAnsi"/>
        </w:rPr>
        <w:t>helped Funds</w:t>
      </w:r>
      <w:r w:rsidR="00A863FD" w:rsidRPr="00721EC2">
        <w:rPr>
          <w:rFonts w:cstheme="minorHAnsi"/>
        </w:rPr>
        <w:t xml:space="preserve"> under </w:t>
      </w:r>
      <w:r w:rsidR="002D3C15">
        <w:rPr>
          <w:rFonts w:cstheme="minorHAnsi"/>
        </w:rPr>
        <w:t xml:space="preserve">Management increase 15% to $7.5b while Funds under Administration were flat at $2b. </w:t>
      </w:r>
      <w:r w:rsidRPr="00721EC2">
        <w:rPr>
          <w:rFonts w:cstheme="minorHAnsi"/>
        </w:rPr>
        <w:t xml:space="preserve">The deposit to loan ratio was 76.6%. </w:t>
      </w:r>
    </w:p>
    <w:p w:rsidR="002D3C15" w:rsidRDefault="002D3C15" w:rsidP="00FC21B7">
      <w:pPr>
        <w:pStyle w:val="NoSpacing"/>
        <w:rPr>
          <w:rFonts w:cstheme="minorHAnsi"/>
        </w:rPr>
      </w:pPr>
    </w:p>
    <w:p w:rsidR="002C3FC8" w:rsidRDefault="002C3FC8" w:rsidP="00FC21B7">
      <w:pPr>
        <w:pStyle w:val="NoSpacing"/>
        <w:rPr>
          <w:rFonts w:cstheme="minorHAnsi"/>
          <w:b/>
        </w:rPr>
      </w:pPr>
    </w:p>
    <w:p w:rsidR="00FC21B7" w:rsidRPr="00721EC2" w:rsidRDefault="00FC21B7" w:rsidP="00FC21B7">
      <w:pPr>
        <w:pStyle w:val="NoSpacing"/>
        <w:rPr>
          <w:rFonts w:cstheme="minorHAnsi"/>
        </w:rPr>
      </w:pPr>
      <w:r w:rsidRPr="00721EC2">
        <w:rPr>
          <w:rFonts w:cstheme="minorHAnsi"/>
          <w:b/>
        </w:rPr>
        <w:lastRenderedPageBreak/>
        <w:t>DELIVERING THE SERVICE STRATEGY</w:t>
      </w:r>
    </w:p>
    <w:p w:rsidR="00FC21B7" w:rsidRPr="00721EC2" w:rsidRDefault="00FC21B7" w:rsidP="00FC21B7">
      <w:pPr>
        <w:pStyle w:val="NoSpacing"/>
        <w:rPr>
          <w:rFonts w:cstheme="minorHAnsi"/>
        </w:rPr>
      </w:pPr>
      <w:r w:rsidRPr="00721EC2">
        <w:rPr>
          <w:rFonts w:cstheme="minorHAnsi"/>
        </w:rPr>
        <w:t xml:space="preserve">Early last year Westpac New Zealand began work on a new service strategy as customers continue to drive change through their uptake of new technology. Staff put forward more than 1000 suggestions to deliver faster and easier service. These were tested with independent service experts and a Transformation Office was formed to deliver key priorities by 2019. </w:t>
      </w:r>
    </w:p>
    <w:p w:rsidR="00FC21B7" w:rsidRPr="00721EC2" w:rsidRDefault="00FC21B7" w:rsidP="00FC21B7">
      <w:pPr>
        <w:pStyle w:val="NoSpacing"/>
        <w:rPr>
          <w:rFonts w:cstheme="minorHAnsi"/>
        </w:rPr>
      </w:pPr>
    </w:p>
    <w:p w:rsidR="0080607C" w:rsidRPr="00721EC2" w:rsidRDefault="00FC21B7" w:rsidP="00FC21B7">
      <w:pPr>
        <w:pStyle w:val="NoSpacing"/>
        <w:rPr>
          <w:rFonts w:cstheme="minorHAnsi"/>
        </w:rPr>
      </w:pPr>
      <w:r w:rsidRPr="00721EC2">
        <w:rPr>
          <w:rFonts w:cstheme="minorHAnsi"/>
        </w:rPr>
        <w:t xml:space="preserve">Mr McLean said the first year of implementation had been a good start with more than 200 initiatives implemented. </w:t>
      </w:r>
    </w:p>
    <w:p w:rsidR="0080607C" w:rsidRPr="00721EC2" w:rsidRDefault="0080607C" w:rsidP="00FC21B7">
      <w:pPr>
        <w:pStyle w:val="NoSpacing"/>
        <w:rPr>
          <w:rFonts w:cstheme="minorHAnsi"/>
        </w:rPr>
      </w:pPr>
    </w:p>
    <w:p w:rsidR="0080607C" w:rsidRPr="00721EC2" w:rsidRDefault="0080607C" w:rsidP="00FC21B7">
      <w:pPr>
        <w:pStyle w:val="NoSpacing"/>
        <w:rPr>
          <w:rFonts w:cstheme="minorHAnsi"/>
        </w:rPr>
      </w:pPr>
      <w:r w:rsidRPr="00721EC2">
        <w:rPr>
          <w:rFonts w:cstheme="minorHAnsi"/>
        </w:rPr>
        <w:t>“</w:t>
      </w:r>
      <w:r w:rsidR="008C6A5A" w:rsidRPr="00721EC2">
        <w:rPr>
          <w:rFonts w:cstheme="minorHAnsi"/>
        </w:rPr>
        <w:t xml:space="preserve">Change is the new normal for any customer service business and we aspire to be one of the world’s great customer service companies. </w:t>
      </w:r>
      <w:r w:rsidRPr="00721EC2">
        <w:rPr>
          <w:rFonts w:cstheme="minorHAnsi"/>
        </w:rPr>
        <w:t xml:space="preserve">This is an exciting time for the business </w:t>
      </w:r>
      <w:r w:rsidR="008C6A5A" w:rsidRPr="00721EC2">
        <w:rPr>
          <w:rFonts w:cstheme="minorHAnsi"/>
        </w:rPr>
        <w:t>and we have established a good rhythm around the implementation of the service strategy.” Mr McLean said.</w:t>
      </w:r>
    </w:p>
    <w:p w:rsidR="0080607C" w:rsidRPr="00721EC2" w:rsidRDefault="0080607C" w:rsidP="00FC21B7">
      <w:pPr>
        <w:pStyle w:val="NoSpacing"/>
        <w:rPr>
          <w:rFonts w:cstheme="minorHAnsi"/>
        </w:rPr>
      </w:pPr>
    </w:p>
    <w:p w:rsidR="00FC21B7" w:rsidRPr="00721EC2" w:rsidRDefault="00EC6E1A" w:rsidP="00FC21B7">
      <w:pPr>
        <w:pStyle w:val="NoSpacing"/>
        <w:rPr>
          <w:rFonts w:cstheme="minorHAnsi"/>
        </w:rPr>
      </w:pPr>
      <w:r w:rsidRPr="00721EC2">
        <w:rPr>
          <w:rFonts w:cstheme="minorHAnsi"/>
        </w:rPr>
        <w:t xml:space="preserve">Some of the changes made in FY16 </w:t>
      </w:r>
      <w:r w:rsidR="00FC21B7" w:rsidRPr="00721EC2">
        <w:rPr>
          <w:rFonts w:cstheme="minorHAnsi"/>
        </w:rPr>
        <w:t>included:</w:t>
      </w:r>
    </w:p>
    <w:p w:rsidR="00FC21B7" w:rsidRPr="00721EC2" w:rsidRDefault="00FC21B7" w:rsidP="00FC21B7">
      <w:pPr>
        <w:pStyle w:val="NoSpacing"/>
        <w:rPr>
          <w:rFonts w:cstheme="minorHAnsi"/>
          <w:b/>
          <w:bCs/>
        </w:rPr>
      </w:pPr>
    </w:p>
    <w:p w:rsidR="00FC21B7" w:rsidRPr="00721EC2" w:rsidRDefault="00FC21B7" w:rsidP="00FC21B7">
      <w:pPr>
        <w:pStyle w:val="NoSpacing"/>
        <w:rPr>
          <w:rFonts w:cstheme="minorHAnsi"/>
        </w:rPr>
      </w:pPr>
      <w:r w:rsidRPr="00721EC2">
        <w:rPr>
          <w:rFonts w:cstheme="minorHAnsi"/>
          <w:b/>
          <w:bCs/>
        </w:rPr>
        <w:t>Customer benefits</w:t>
      </w:r>
    </w:p>
    <w:p w:rsidR="00FC21B7" w:rsidRPr="00721EC2" w:rsidRDefault="00FC21B7" w:rsidP="00FC21B7">
      <w:pPr>
        <w:pStyle w:val="NoSpacing"/>
        <w:numPr>
          <w:ilvl w:val="0"/>
          <w:numId w:val="1"/>
        </w:numPr>
        <w:rPr>
          <w:rFonts w:cstheme="minorHAnsi"/>
        </w:rPr>
      </w:pPr>
      <w:r w:rsidRPr="00721EC2">
        <w:rPr>
          <w:rFonts w:cstheme="minorHAnsi"/>
        </w:rPr>
        <w:t>Cus</w:t>
      </w:r>
      <w:r w:rsidR="00A863FD" w:rsidRPr="00721EC2">
        <w:rPr>
          <w:rFonts w:cstheme="minorHAnsi"/>
        </w:rPr>
        <w:t>tomer capability to sign, scan and send</w:t>
      </w:r>
      <w:r w:rsidRPr="00721EC2">
        <w:rPr>
          <w:rFonts w:cstheme="minorHAnsi"/>
        </w:rPr>
        <w:t xml:space="preserve"> personal loan documentation. This not only saves the customer a visit to a branch but also 1000 hours every six months for our people </w:t>
      </w:r>
    </w:p>
    <w:p w:rsidR="00FC21B7" w:rsidRPr="00721EC2" w:rsidRDefault="00FC21B7" w:rsidP="00FC21B7">
      <w:pPr>
        <w:pStyle w:val="NoSpacing"/>
        <w:numPr>
          <w:ilvl w:val="0"/>
          <w:numId w:val="1"/>
        </w:numPr>
        <w:rPr>
          <w:rFonts w:cstheme="minorHAnsi"/>
        </w:rPr>
      </w:pPr>
      <w:r w:rsidRPr="00721EC2">
        <w:rPr>
          <w:rFonts w:cstheme="minorHAnsi"/>
        </w:rPr>
        <w:t xml:space="preserve">Password reset online or by mobile. On average 130,000 customers call the contact centre per year to reset passwords. Being able to self-reset has cut those calls by 50% </w:t>
      </w:r>
      <w:r w:rsidR="00AE382B" w:rsidRPr="00721EC2">
        <w:rPr>
          <w:rFonts w:cstheme="minorHAnsi"/>
        </w:rPr>
        <w:t>per year</w:t>
      </w:r>
    </w:p>
    <w:p w:rsidR="00FC21B7" w:rsidRPr="00721EC2" w:rsidRDefault="00FC21B7" w:rsidP="00FC21B7">
      <w:pPr>
        <w:pStyle w:val="NoSpacing"/>
        <w:numPr>
          <w:ilvl w:val="0"/>
          <w:numId w:val="1"/>
        </w:numPr>
        <w:rPr>
          <w:rFonts w:cstheme="minorHAnsi"/>
          <w:u w:val="single"/>
        </w:rPr>
      </w:pPr>
      <w:r w:rsidRPr="00721EC2">
        <w:rPr>
          <w:rFonts w:cstheme="minorHAnsi"/>
        </w:rPr>
        <w:t>Posting a reminder to customers through Westpac One on missed payments saw 1000 payments made in 10 days saving late payment fees if paid during the grace period</w:t>
      </w:r>
    </w:p>
    <w:p w:rsidR="00FC21B7" w:rsidRPr="00721EC2" w:rsidRDefault="00FC21B7" w:rsidP="00FC21B7">
      <w:pPr>
        <w:pStyle w:val="NoSpacing"/>
        <w:numPr>
          <w:ilvl w:val="0"/>
          <w:numId w:val="1"/>
        </w:numPr>
        <w:rPr>
          <w:rFonts w:cstheme="minorHAnsi"/>
        </w:rPr>
      </w:pPr>
      <w:r w:rsidRPr="00721EC2">
        <w:rPr>
          <w:rFonts w:cstheme="minorHAnsi"/>
        </w:rPr>
        <w:t>Giving customers the ability to identify themselves when they call the contact centre before a staff member answer</w:t>
      </w:r>
      <w:r w:rsidR="00A5526B">
        <w:rPr>
          <w:rFonts w:cstheme="minorHAnsi"/>
        </w:rPr>
        <w:t>s has saved 50 seconds per call.</w:t>
      </w:r>
    </w:p>
    <w:p w:rsidR="00FC21B7" w:rsidRPr="00721EC2" w:rsidRDefault="00FC21B7" w:rsidP="00FC21B7">
      <w:pPr>
        <w:pStyle w:val="NoSpacing"/>
        <w:rPr>
          <w:rFonts w:cstheme="minorHAnsi"/>
        </w:rPr>
      </w:pPr>
      <w:r w:rsidRPr="00721EC2">
        <w:rPr>
          <w:rFonts w:cstheme="minorHAnsi"/>
          <w:b/>
          <w:bCs/>
        </w:rPr>
        <w:t>Internal</w:t>
      </w:r>
    </w:p>
    <w:p w:rsidR="00FC21B7" w:rsidRPr="00721EC2" w:rsidRDefault="00FC21B7" w:rsidP="00FC21B7">
      <w:pPr>
        <w:pStyle w:val="NoSpacing"/>
        <w:numPr>
          <w:ilvl w:val="0"/>
          <w:numId w:val="2"/>
        </w:numPr>
        <w:rPr>
          <w:rFonts w:cstheme="minorHAnsi"/>
        </w:rPr>
      </w:pPr>
      <w:r w:rsidRPr="00721EC2">
        <w:rPr>
          <w:rFonts w:cstheme="minorHAnsi"/>
        </w:rPr>
        <w:t>Introducing Agile work methods in Technology has increased efficiency from 28% to 50% and has slashed the time to market of new products and services</w:t>
      </w:r>
    </w:p>
    <w:p w:rsidR="00FC21B7" w:rsidRPr="00721EC2" w:rsidRDefault="00FC21B7" w:rsidP="00FC21B7">
      <w:pPr>
        <w:pStyle w:val="NoSpacing"/>
        <w:numPr>
          <w:ilvl w:val="0"/>
          <w:numId w:val="2"/>
        </w:numPr>
        <w:rPr>
          <w:rFonts w:cstheme="minorHAnsi"/>
        </w:rPr>
      </w:pPr>
      <w:r w:rsidRPr="00721EC2">
        <w:rPr>
          <w:rFonts w:cstheme="minorHAnsi"/>
        </w:rPr>
        <w:t>Providing new tools to frontline bankers has enabled them to deliver customers faster decisions on loan applications</w:t>
      </w:r>
      <w:r w:rsidR="00A5526B">
        <w:rPr>
          <w:rFonts w:cstheme="minorHAnsi"/>
        </w:rPr>
        <w:t>.</w:t>
      </w:r>
    </w:p>
    <w:p w:rsidR="00FC21B7" w:rsidRPr="00721EC2" w:rsidRDefault="00FC21B7" w:rsidP="00FC21B7">
      <w:pPr>
        <w:pStyle w:val="NoSpacing"/>
        <w:rPr>
          <w:rFonts w:cstheme="minorHAnsi"/>
        </w:rPr>
      </w:pPr>
    </w:p>
    <w:p w:rsidR="00FC21B7" w:rsidRPr="00721EC2" w:rsidRDefault="00FC21B7" w:rsidP="00FC21B7">
      <w:pPr>
        <w:pStyle w:val="NoSpacing"/>
        <w:rPr>
          <w:rFonts w:cstheme="minorHAnsi"/>
        </w:rPr>
      </w:pPr>
    </w:p>
    <w:p w:rsidR="00FC21B7" w:rsidRPr="00721EC2" w:rsidRDefault="00FC21B7" w:rsidP="00FC21B7">
      <w:pPr>
        <w:pStyle w:val="NoSpacing"/>
        <w:rPr>
          <w:rFonts w:cstheme="minorHAnsi"/>
          <w:b/>
        </w:rPr>
      </w:pPr>
      <w:r w:rsidRPr="00721EC2">
        <w:rPr>
          <w:rFonts w:cstheme="minorHAnsi"/>
          <w:b/>
        </w:rPr>
        <w:t>OUTLOOK</w:t>
      </w:r>
    </w:p>
    <w:p w:rsidR="00FC21B7" w:rsidRPr="00721EC2" w:rsidRDefault="00FC21B7" w:rsidP="00FC21B7">
      <w:pPr>
        <w:pStyle w:val="NoSpacing"/>
        <w:rPr>
          <w:rFonts w:cstheme="minorHAnsi"/>
        </w:rPr>
      </w:pPr>
      <w:r w:rsidRPr="00721EC2">
        <w:rPr>
          <w:rFonts w:cstheme="minorHAnsi"/>
          <w:bCs/>
          <w:lang w:val="en-AU"/>
        </w:rPr>
        <w:t xml:space="preserve">Economic conditions for FY17 are expected to be similar to FY16. </w:t>
      </w:r>
      <w:r w:rsidR="008F4E9A">
        <w:rPr>
          <w:rFonts w:cstheme="minorHAnsi"/>
          <w:bCs/>
          <w:lang w:val="en-AU"/>
        </w:rPr>
        <w:t>The forecast for e</w:t>
      </w:r>
      <w:r w:rsidRPr="00721EC2">
        <w:rPr>
          <w:rFonts w:cstheme="minorHAnsi"/>
          <w:bCs/>
          <w:lang w:val="en-AU"/>
        </w:rPr>
        <w:t>conomic growth last year was 3.1% and is predicted to be 3.3% this year with the drivers remaining largely the same:</w:t>
      </w:r>
      <w:r w:rsidRPr="00721EC2">
        <w:rPr>
          <w:rFonts w:cstheme="minorHAnsi"/>
        </w:rPr>
        <w:t xml:space="preserve"> </w:t>
      </w:r>
      <w:r w:rsidR="00A863FD" w:rsidRPr="00721EC2">
        <w:rPr>
          <w:rFonts w:cstheme="minorHAnsi"/>
        </w:rPr>
        <w:t xml:space="preserve">high </w:t>
      </w:r>
      <w:r w:rsidRPr="00721EC2">
        <w:rPr>
          <w:rFonts w:cstheme="minorHAnsi"/>
        </w:rPr>
        <w:t>construction activity, historic low interest rates and continued population growth. Challenges will also remain similar, particularly externally with subdued global demand and the high NZD creating challenging conditions for many exporters.</w:t>
      </w:r>
    </w:p>
    <w:p w:rsidR="00FC21B7" w:rsidRPr="00721EC2" w:rsidRDefault="00FC21B7" w:rsidP="00FC21B7">
      <w:pPr>
        <w:pStyle w:val="NoSpacing"/>
        <w:rPr>
          <w:rFonts w:cstheme="minorHAnsi"/>
        </w:rPr>
      </w:pPr>
    </w:p>
    <w:p w:rsidR="00FC21B7" w:rsidRPr="00721EC2" w:rsidRDefault="00FC21B7" w:rsidP="00FC21B7">
      <w:pPr>
        <w:pStyle w:val="NoSpacing"/>
        <w:rPr>
          <w:rFonts w:cstheme="minorHAnsi"/>
        </w:rPr>
      </w:pPr>
      <w:r w:rsidRPr="00721EC2">
        <w:rPr>
          <w:rFonts w:cstheme="minorHAnsi"/>
        </w:rPr>
        <w:t xml:space="preserve">In terms of regulation, with inflation low, the Reserve Bank of New Zealand (RBNZ) has cut the Official Cash Rate to a record low of 2%, and is likely to cut rates again later this year. With low interest rates adding to housing market pressures, the RBNZ has announced new lending restrictions, targeted mainly at investors. These changes will dampen housing demand, though the effects </w:t>
      </w:r>
      <w:r w:rsidR="00703894">
        <w:rPr>
          <w:rFonts w:cstheme="minorHAnsi"/>
        </w:rPr>
        <w:t xml:space="preserve">maybe </w:t>
      </w:r>
      <w:r w:rsidRPr="00721EC2">
        <w:rPr>
          <w:rFonts w:cstheme="minorHAnsi"/>
        </w:rPr>
        <w:t>short lived. Some additional tightening in macro-prudential polic</w:t>
      </w:r>
      <w:r w:rsidR="00A5526B">
        <w:rPr>
          <w:rFonts w:cstheme="minorHAnsi"/>
        </w:rPr>
        <w:t>ies</w:t>
      </w:r>
      <w:r w:rsidRPr="00721EC2">
        <w:rPr>
          <w:rFonts w:cstheme="minorHAnsi"/>
        </w:rPr>
        <w:t xml:space="preserve"> is expected over the coming year in the form of debt-to-income limits on borrowing.</w:t>
      </w:r>
    </w:p>
    <w:p w:rsidR="00FC21B7" w:rsidRPr="00721EC2" w:rsidRDefault="00FC21B7" w:rsidP="00FC21B7">
      <w:pPr>
        <w:pStyle w:val="NoSpacing"/>
        <w:rPr>
          <w:rFonts w:cstheme="minorHAnsi"/>
        </w:rPr>
      </w:pPr>
    </w:p>
    <w:p w:rsidR="00FC21B7" w:rsidRPr="00721EC2" w:rsidRDefault="00FC21B7" w:rsidP="00FC21B7">
      <w:pPr>
        <w:pStyle w:val="NoSpacing"/>
        <w:rPr>
          <w:rFonts w:cstheme="minorHAnsi"/>
        </w:rPr>
      </w:pPr>
      <w:r w:rsidRPr="00721EC2">
        <w:rPr>
          <w:rFonts w:cstheme="minorHAnsi"/>
        </w:rPr>
        <w:t xml:space="preserve">With investor activity significantly impacted by new regulations last year, the market is opening up to first and next home buyers. How </w:t>
      </w:r>
      <w:r w:rsidR="002376C8" w:rsidRPr="00721EC2">
        <w:rPr>
          <w:rFonts w:cstheme="minorHAnsi"/>
        </w:rPr>
        <w:t xml:space="preserve">any debt-to-income limits </w:t>
      </w:r>
      <w:r w:rsidRPr="00721EC2">
        <w:rPr>
          <w:rFonts w:cstheme="minorHAnsi"/>
        </w:rPr>
        <w:t xml:space="preserve">might </w:t>
      </w:r>
      <w:r w:rsidR="0080607C" w:rsidRPr="00721EC2">
        <w:rPr>
          <w:rFonts w:cstheme="minorHAnsi"/>
        </w:rPr>
        <w:t>impact</w:t>
      </w:r>
      <w:r w:rsidRPr="00721EC2">
        <w:rPr>
          <w:rFonts w:cstheme="minorHAnsi"/>
        </w:rPr>
        <w:t xml:space="preserve"> </w:t>
      </w:r>
      <w:r w:rsidR="002376C8" w:rsidRPr="00721EC2">
        <w:rPr>
          <w:rFonts w:cstheme="minorHAnsi"/>
        </w:rPr>
        <w:t xml:space="preserve">first home buyers in particular </w:t>
      </w:r>
      <w:r w:rsidRPr="00721EC2">
        <w:rPr>
          <w:rFonts w:cstheme="minorHAnsi"/>
        </w:rPr>
        <w:t>will no doubt be careful</w:t>
      </w:r>
      <w:r w:rsidR="00A5526B">
        <w:rPr>
          <w:rFonts w:cstheme="minorHAnsi"/>
        </w:rPr>
        <w:t>ly</w:t>
      </w:r>
      <w:r w:rsidRPr="00721EC2">
        <w:rPr>
          <w:rFonts w:cstheme="minorHAnsi"/>
        </w:rPr>
        <w:t xml:space="preserve"> considered by the RBNZ. </w:t>
      </w:r>
    </w:p>
    <w:p w:rsidR="008F2124" w:rsidRPr="00721EC2" w:rsidRDefault="008F2124" w:rsidP="00FC21B7">
      <w:pPr>
        <w:pStyle w:val="NoSpacing"/>
        <w:rPr>
          <w:rFonts w:cstheme="minorHAnsi"/>
        </w:rPr>
      </w:pPr>
    </w:p>
    <w:p w:rsidR="000C1C4E" w:rsidRDefault="00FC21B7" w:rsidP="000C1C4E">
      <w:pPr>
        <w:pStyle w:val="NoSpacing"/>
        <w:rPr>
          <w:rFonts w:cstheme="minorHAnsi"/>
          <w:b/>
        </w:rPr>
      </w:pPr>
      <w:r w:rsidRPr="00721EC2">
        <w:rPr>
          <w:rFonts w:cstheme="minorHAnsi"/>
          <w:b/>
        </w:rPr>
        <w:t>ENDS</w:t>
      </w:r>
    </w:p>
    <w:p w:rsidR="002C3FC8" w:rsidRDefault="002C3FC8" w:rsidP="000C1C4E">
      <w:pPr>
        <w:pStyle w:val="NoSpacing"/>
        <w:rPr>
          <w:b/>
          <w:sz w:val="24"/>
          <w:szCs w:val="24"/>
        </w:rPr>
      </w:pPr>
    </w:p>
    <w:p w:rsidR="002C3FC8" w:rsidRDefault="002C3FC8" w:rsidP="000C1C4E">
      <w:pPr>
        <w:pStyle w:val="NoSpacing"/>
        <w:rPr>
          <w:b/>
          <w:sz w:val="24"/>
          <w:szCs w:val="24"/>
        </w:rPr>
      </w:pPr>
    </w:p>
    <w:p w:rsidR="002C3FC8" w:rsidRDefault="002C3FC8" w:rsidP="000C1C4E">
      <w:pPr>
        <w:pStyle w:val="NoSpacing"/>
        <w:rPr>
          <w:b/>
          <w:sz w:val="24"/>
          <w:szCs w:val="24"/>
        </w:rPr>
      </w:pPr>
    </w:p>
    <w:p w:rsidR="000C1C4E" w:rsidRPr="000C1C4E" w:rsidRDefault="000C1C4E" w:rsidP="000C1C4E">
      <w:pPr>
        <w:pStyle w:val="NoSpacing"/>
        <w:rPr>
          <w:rFonts w:cstheme="minorHAnsi"/>
          <w:b/>
        </w:rPr>
      </w:pPr>
      <w:r w:rsidRPr="000C1C4E">
        <w:rPr>
          <w:b/>
          <w:sz w:val="24"/>
          <w:szCs w:val="24"/>
        </w:rPr>
        <w:lastRenderedPageBreak/>
        <w:t>FACT BOX</w:t>
      </w:r>
      <w:r>
        <w:rPr>
          <w:b/>
          <w:sz w:val="24"/>
          <w:szCs w:val="24"/>
        </w:rPr>
        <w:t>:</w:t>
      </w:r>
    </w:p>
    <w:p w:rsidR="000C1C4E" w:rsidRPr="000C1C4E" w:rsidRDefault="00450156" w:rsidP="000C1C4E">
      <w:pPr>
        <w:pStyle w:val="NoSpacing"/>
        <w:rPr>
          <w:b/>
          <w:sz w:val="24"/>
          <w:szCs w:val="24"/>
        </w:rPr>
      </w:pPr>
      <w:r>
        <w:rPr>
          <w:b/>
          <w:sz w:val="24"/>
          <w:szCs w:val="24"/>
        </w:rPr>
        <w:t xml:space="preserve">Westpac New Zealand – The </w:t>
      </w:r>
      <w:proofErr w:type="spellStart"/>
      <w:r w:rsidR="000C1C4E" w:rsidRPr="000C1C4E">
        <w:rPr>
          <w:b/>
          <w:sz w:val="24"/>
          <w:szCs w:val="24"/>
        </w:rPr>
        <w:t>Topline</w:t>
      </w:r>
      <w:proofErr w:type="spellEnd"/>
      <w:r w:rsidR="000C1C4E" w:rsidRPr="000C1C4E">
        <w:rPr>
          <w:b/>
          <w:sz w:val="24"/>
          <w:szCs w:val="24"/>
        </w:rPr>
        <w:t xml:space="preserve"> Numbers</w:t>
      </w:r>
    </w:p>
    <w:p w:rsidR="000C1C4E" w:rsidRDefault="000C1C4E" w:rsidP="000C1C4E">
      <w:pPr>
        <w:pStyle w:val="NoSpacing"/>
        <w:rPr>
          <w:b/>
          <w:bCs/>
        </w:rPr>
      </w:pPr>
    </w:p>
    <w:tbl>
      <w:tblPr>
        <w:tblW w:w="9633" w:type="dxa"/>
        <w:tblInd w:w="-27" w:type="dxa"/>
        <w:tblLook w:val="04A0" w:firstRow="1" w:lastRow="0" w:firstColumn="1" w:lastColumn="0" w:noHBand="0" w:noVBand="1"/>
      </w:tblPr>
      <w:tblGrid>
        <w:gridCol w:w="4246"/>
        <w:gridCol w:w="1740"/>
        <w:gridCol w:w="1662"/>
        <w:gridCol w:w="1985"/>
      </w:tblGrid>
      <w:tr w:rsidR="000C1C4E" w:rsidRPr="000C1C4E" w:rsidTr="00B237AB">
        <w:trPr>
          <w:trHeight w:val="885"/>
        </w:trPr>
        <w:tc>
          <w:tcPr>
            <w:tcW w:w="4246" w:type="dxa"/>
            <w:tcBorders>
              <w:top w:val="nil"/>
              <w:left w:val="nil"/>
              <w:bottom w:val="nil"/>
              <w:right w:val="nil"/>
            </w:tcBorders>
            <w:shd w:val="clear" w:color="000000" w:fill="808080"/>
            <w:vAlign w:val="center"/>
            <w:hideMark/>
          </w:tcPr>
          <w:p w:rsidR="000C1C4E" w:rsidRPr="000C1C4E" w:rsidRDefault="000C1C4E" w:rsidP="000C1C4E">
            <w:pPr>
              <w:spacing w:after="0" w:line="240" w:lineRule="auto"/>
              <w:ind w:firstLineChars="100" w:firstLine="241"/>
              <w:rPr>
                <w:rFonts w:eastAsia="Times New Roman" w:cstheme="minorHAnsi"/>
                <w:b/>
                <w:bCs/>
                <w:color w:val="FFFFFF"/>
                <w:sz w:val="24"/>
                <w:szCs w:val="24"/>
                <w:lang w:eastAsia="en-NZ"/>
              </w:rPr>
            </w:pPr>
            <w:r w:rsidRPr="000C1C4E">
              <w:rPr>
                <w:rFonts w:eastAsia="Times New Roman" w:cstheme="minorHAnsi"/>
                <w:b/>
                <w:bCs/>
                <w:color w:val="FFFFFF"/>
                <w:sz w:val="24"/>
                <w:szCs w:val="24"/>
                <w:lang w:eastAsia="en-NZ"/>
              </w:rPr>
              <w:t>Summary P&amp;L and metrics ($m)</w:t>
            </w:r>
          </w:p>
        </w:tc>
        <w:tc>
          <w:tcPr>
            <w:tcW w:w="1740" w:type="dxa"/>
            <w:tcBorders>
              <w:top w:val="nil"/>
              <w:left w:val="nil"/>
              <w:bottom w:val="nil"/>
              <w:right w:val="nil"/>
            </w:tcBorders>
            <w:shd w:val="clear" w:color="000000" w:fill="808080"/>
            <w:vAlign w:val="center"/>
            <w:hideMark/>
          </w:tcPr>
          <w:p w:rsidR="000C1C4E" w:rsidRPr="000C1C4E" w:rsidRDefault="000C1C4E" w:rsidP="00B237AB">
            <w:pPr>
              <w:spacing w:after="0" w:line="240" w:lineRule="auto"/>
              <w:jc w:val="center"/>
              <w:rPr>
                <w:rFonts w:eastAsia="Times New Roman" w:cstheme="minorHAnsi"/>
                <w:b/>
                <w:bCs/>
                <w:color w:val="FFFFFF"/>
                <w:sz w:val="24"/>
                <w:szCs w:val="24"/>
                <w:lang w:eastAsia="en-NZ"/>
              </w:rPr>
            </w:pPr>
            <w:r w:rsidRPr="000C1C4E">
              <w:rPr>
                <w:rFonts w:eastAsia="Times New Roman" w:cstheme="minorHAnsi"/>
                <w:b/>
                <w:bCs/>
                <w:color w:val="FFFFFF"/>
                <w:sz w:val="24"/>
                <w:szCs w:val="24"/>
                <w:lang w:eastAsia="en-NZ"/>
              </w:rPr>
              <w:t>FY16</w:t>
            </w:r>
          </w:p>
        </w:tc>
        <w:tc>
          <w:tcPr>
            <w:tcW w:w="1662" w:type="dxa"/>
            <w:tcBorders>
              <w:top w:val="nil"/>
              <w:left w:val="nil"/>
              <w:bottom w:val="nil"/>
              <w:right w:val="nil"/>
            </w:tcBorders>
            <w:shd w:val="clear" w:color="000000" w:fill="808080"/>
            <w:vAlign w:val="center"/>
            <w:hideMark/>
          </w:tcPr>
          <w:p w:rsidR="000C1C4E" w:rsidRPr="000C1C4E" w:rsidRDefault="000C1C4E" w:rsidP="00B237AB">
            <w:pPr>
              <w:spacing w:after="0" w:line="240" w:lineRule="auto"/>
              <w:jc w:val="center"/>
              <w:rPr>
                <w:rFonts w:eastAsia="Times New Roman" w:cstheme="minorHAnsi"/>
                <w:b/>
                <w:bCs/>
                <w:color w:val="FFFFFF"/>
                <w:sz w:val="24"/>
                <w:szCs w:val="24"/>
                <w:lang w:eastAsia="en-NZ"/>
              </w:rPr>
            </w:pPr>
            <w:r w:rsidRPr="000C1C4E">
              <w:rPr>
                <w:rFonts w:eastAsia="Times New Roman" w:cstheme="minorHAnsi"/>
                <w:b/>
                <w:bCs/>
                <w:color w:val="FFFFFF"/>
                <w:sz w:val="24"/>
                <w:szCs w:val="24"/>
                <w:lang w:eastAsia="en-NZ"/>
              </w:rPr>
              <w:t xml:space="preserve">Change </w:t>
            </w:r>
            <w:r w:rsidRPr="000C1C4E">
              <w:rPr>
                <w:rFonts w:eastAsia="Times New Roman" w:cstheme="minorHAnsi"/>
                <w:b/>
                <w:bCs/>
                <w:color w:val="FFFFFF"/>
                <w:sz w:val="24"/>
                <w:szCs w:val="24"/>
                <w:lang w:eastAsia="en-NZ"/>
              </w:rPr>
              <w:br/>
              <w:t>FY16 - FY15</w:t>
            </w:r>
          </w:p>
        </w:tc>
        <w:tc>
          <w:tcPr>
            <w:tcW w:w="1985" w:type="dxa"/>
            <w:tcBorders>
              <w:top w:val="nil"/>
              <w:left w:val="nil"/>
              <w:bottom w:val="nil"/>
              <w:right w:val="nil"/>
            </w:tcBorders>
            <w:shd w:val="clear" w:color="000000" w:fill="808080"/>
            <w:vAlign w:val="center"/>
            <w:hideMark/>
          </w:tcPr>
          <w:p w:rsidR="000C1C4E" w:rsidRPr="000C1C4E" w:rsidRDefault="000C1C4E" w:rsidP="00B237AB">
            <w:pPr>
              <w:spacing w:after="0" w:line="240" w:lineRule="auto"/>
              <w:jc w:val="center"/>
              <w:rPr>
                <w:rFonts w:eastAsia="Times New Roman" w:cstheme="minorHAnsi"/>
                <w:b/>
                <w:bCs/>
                <w:color w:val="FFFFFF"/>
                <w:sz w:val="24"/>
                <w:szCs w:val="24"/>
                <w:lang w:eastAsia="en-NZ"/>
              </w:rPr>
            </w:pPr>
            <w:r w:rsidRPr="000C1C4E">
              <w:rPr>
                <w:rFonts w:eastAsia="Times New Roman" w:cstheme="minorHAnsi"/>
                <w:b/>
                <w:bCs/>
                <w:color w:val="FFFFFF"/>
                <w:sz w:val="24"/>
                <w:szCs w:val="24"/>
                <w:lang w:eastAsia="en-NZ"/>
              </w:rPr>
              <w:t xml:space="preserve">Change </w:t>
            </w:r>
            <w:r w:rsidRPr="000C1C4E">
              <w:rPr>
                <w:rFonts w:eastAsia="Times New Roman" w:cstheme="minorHAnsi"/>
                <w:b/>
                <w:bCs/>
                <w:color w:val="FFFFFF"/>
                <w:sz w:val="24"/>
                <w:szCs w:val="24"/>
                <w:lang w:eastAsia="en-NZ"/>
              </w:rPr>
              <w:br/>
              <w:t>2H16 - 1H16</w:t>
            </w:r>
          </w:p>
        </w:tc>
      </w:tr>
      <w:tr w:rsidR="000C1C4E" w:rsidRPr="000C1C4E" w:rsidTr="00B237AB">
        <w:trPr>
          <w:trHeight w:val="162"/>
        </w:trPr>
        <w:tc>
          <w:tcPr>
            <w:tcW w:w="4246" w:type="dxa"/>
            <w:tcBorders>
              <w:top w:val="nil"/>
              <w:left w:val="nil"/>
              <w:bottom w:val="nil"/>
              <w:right w:val="nil"/>
            </w:tcBorders>
            <w:shd w:val="clear" w:color="000000" w:fill="FFFFFF"/>
            <w:vAlign w:val="center"/>
            <w:hideMark/>
          </w:tcPr>
          <w:p w:rsidR="000C1C4E" w:rsidRPr="000C1C4E" w:rsidRDefault="000C1C4E" w:rsidP="000C1C4E">
            <w:pPr>
              <w:spacing w:after="0" w:line="240" w:lineRule="auto"/>
              <w:ind w:firstLineChars="100" w:firstLine="240"/>
              <w:rPr>
                <w:rFonts w:eastAsia="Times New Roman" w:cstheme="minorHAnsi"/>
                <w:color w:val="595959"/>
                <w:sz w:val="24"/>
                <w:szCs w:val="24"/>
                <w:lang w:eastAsia="en-NZ"/>
              </w:rPr>
            </w:pPr>
            <w:r w:rsidRPr="000C1C4E">
              <w:rPr>
                <w:rFonts w:eastAsia="Times New Roman" w:cstheme="minorHAnsi"/>
                <w:color w:val="595959"/>
                <w:sz w:val="24"/>
                <w:szCs w:val="24"/>
                <w:lang w:eastAsia="en-NZ"/>
              </w:rPr>
              <w:t> </w:t>
            </w:r>
          </w:p>
        </w:tc>
        <w:tc>
          <w:tcPr>
            <w:tcW w:w="1740" w:type="dxa"/>
            <w:tcBorders>
              <w:top w:val="nil"/>
              <w:left w:val="nil"/>
              <w:bottom w:val="nil"/>
              <w:right w:val="nil"/>
            </w:tcBorders>
            <w:shd w:val="clear" w:color="000000" w:fill="EEECE1"/>
            <w:vAlign w:val="center"/>
            <w:hideMark/>
          </w:tcPr>
          <w:p w:rsidR="000C1C4E" w:rsidRPr="000C1C4E" w:rsidRDefault="000C1C4E" w:rsidP="00B237AB">
            <w:pPr>
              <w:spacing w:after="0" w:line="240" w:lineRule="auto"/>
              <w:jc w:val="center"/>
              <w:rPr>
                <w:rFonts w:eastAsia="Times New Roman" w:cstheme="minorHAnsi"/>
                <w:color w:val="595959"/>
                <w:sz w:val="24"/>
                <w:szCs w:val="24"/>
                <w:lang w:eastAsia="en-NZ"/>
              </w:rPr>
            </w:pPr>
            <w:r w:rsidRPr="000C1C4E">
              <w:rPr>
                <w:rFonts w:eastAsia="Times New Roman" w:cstheme="minorHAnsi"/>
                <w:color w:val="595959"/>
                <w:sz w:val="24"/>
                <w:szCs w:val="24"/>
                <w:lang w:eastAsia="en-NZ"/>
              </w:rPr>
              <w:t> </w:t>
            </w:r>
          </w:p>
        </w:tc>
        <w:tc>
          <w:tcPr>
            <w:tcW w:w="1662" w:type="dxa"/>
            <w:tcBorders>
              <w:top w:val="nil"/>
              <w:left w:val="nil"/>
              <w:bottom w:val="nil"/>
              <w:right w:val="nil"/>
            </w:tcBorders>
            <w:shd w:val="clear" w:color="000000" w:fill="FFFFFF"/>
            <w:vAlign w:val="center"/>
            <w:hideMark/>
          </w:tcPr>
          <w:p w:rsidR="000C1C4E" w:rsidRPr="000C1C4E" w:rsidRDefault="000C1C4E" w:rsidP="00B237AB">
            <w:pPr>
              <w:spacing w:after="0" w:line="240" w:lineRule="auto"/>
              <w:jc w:val="center"/>
              <w:rPr>
                <w:rFonts w:eastAsia="Times New Roman" w:cstheme="minorHAnsi"/>
                <w:color w:val="595959"/>
                <w:sz w:val="24"/>
                <w:szCs w:val="24"/>
                <w:lang w:eastAsia="en-NZ"/>
              </w:rPr>
            </w:pPr>
            <w:r w:rsidRPr="000C1C4E">
              <w:rPr>
                <w:rFonts w:eastAsia="Times New Roman" w:cstheme="minorHAnsi"/>
                <w:color w:val="595959"/>
                <w:sz w:val="24"/>
                <w:szCs w:val="24"/>
                <w:lang w:eastAsia="en-NZ"/>
              </w:rPr>
              <w:t> </w:t>
            </w:r>
          </w:p>
        </w:tc>
        <w:tc>
          <w:tcPr>
            <w:tcW w:w="1985" w:type="dxa"/>
            <w:tcBorders>
              <w:top w:val="nil"/>
              <w:left w:val="nil"/>
              <w:bottom w:val="nil"/>
              <w:right w:val="nil"/>
            </w:tcBorders>
            <w:shd w:val="clear" w:color="000000" w:fill="FFFFFF"/>
            <w:vAlign w:val="center"/>
            <w:hideMark/>
          </w:tcPr>
          <w:p w:rsidR="000C1C4E" w:rsidRPr="000C1C4E" w:rsidRDefault="000C1C4E" w:rsidP="00B237AB">
            <w:pPr>
              <w:spacing w:after="0" w:line="240" w:lineRule="auto"/>
              <w:jc w:val="center"/>
              <w:rPr>
                <w:rFonts w:eastAsia="Times New Roman" w:cstheme="minorHAnsi"/>
                <w:color w:val="595959"/>
                <w:sz w:val="24"/>
                <w:szCs w:val="24"/>
                <w:lang w:eastAsia="en-NZ"/>
              </w:rPr>
            </w:pPr>
            <w:r w:rsidRPr="000C1C4E">
              <w:rPr>
                <w:rFonts w:eastAsia="Times New Roman" w:cstheme="minorHAnsi"/>
                <w:color w:val="595959"/>
                <w:sz w:val="24"/>
                <w:szCs w:val="24"/>
                <w:lang w:eastAsia="en-NZ"/>
              </w:rPr>
              <w:t> </w:t>
            </w:r>
          </w:p>
        </w:tc>
      </w:tr>
      <w:tr w:rsidR="000C1C4E" w:rsidRPr="000C1C4E" w:rsidTr="00B237AB">
        <w:trPr>
          <w:trHeight w:val="499"/>
        </w:trPr>
        <w:tc>
          <w:tcPr>
            <w:tcW w:w="4246" w:type="dxa"/>
            <w:tcBorders>
              <w:top w:val="nil"/>
              <w:left w:val="nil"/>
              <w:bottom w:val="nil"/>
              <w:right w:val="nil"/>
            </w:tcBorders>
            <w:shd w:val="clear" w:color="000000" w:fill="FFFFFF"/>
            <w:vAlign w:val="center"/>
            <w:hideMark/>
          </w:tcPr>
          <w:p w:rsidR="000C1C4E" w:rsidRPr="000C1C4E" w:rsidRDefault="000C1C4E" w:rsidP="000C1C4E">
            <w:pPr>
              <w:spacing w:after="0" w:line="240" w:lineRule="auto"/>
              <w:ind w:firstLineChars="100" w:firstLine="240"/>
              <w:rPr>
                <w:rFonts w:eastAsia="Times New Roman" w:cstheme="minorHAnsi"/>
                <w:color w:val="595959"/>
                <w:sz w:val="24"/>
                <w:szCs w:val="24"/>
                <w:lang w:eastAsia="en-NZ"/>
              </w:rPr>
            </w:pPr>
            <w:r w:rsidRPr="000C1C4E">
              <w:rPr>
                <w:rFonts w:eastAsia="Times New Roman" w:cstheme="minorHAnsi"/>
                <w:color w:val="595959"/>
                <w:sz w:val="24"/>
                <w:szCs w:val="24"/>
                <w:lang w:eastAsia="en-NZ"/>
              </w:rPr>
              <w:t>Net interest income</w:t>
            </w:r>
          </w:p>
        </w:tc>
        <w:tc>
          <w:tcPr>
            <w:tcW w:w="1740" w:type="dxa"/>
            <w:tcBorders>
              <w:top w:val="nil"/>
              <w:left w:val="nil"/>
              <w:bottom w:val="nil"/>
              <w:right w:val="nil"/>
            </w:tcBorders>
            <w:shd w:val="clear" w:color="000000" w:fill="EEECE1"/>
            <w:vAlign w:val="center"/>
            <w:hideMark/>
          </w:tcPr>
          <w:p w:rsidR="000C1C4E" w:rsidRPr="000C1C4E" w:rsidRDefault="000C1C4E" w:rsidP="00B237AB">
            <w:pPr>
              <w:spacing w:after="0" w:line="240" w:lineRule="auto"/>
              <w:jc w:val="center"/>
              <w:rPr>
                <w:rFonts w:eastAsia="Times New Roman" w:cstheme="minorHAnsi"/>
                <w:color w:val="595959"/>
                <w:sz w:val="24"/>
                <w:szCs w:val="24"/>
                <w:lang w:eastAsia="en-NZ"/>
              </w:rPr>
            </w:pPr>
            <w:r w:rsidRPr="000C1C4E">
              <w:rPr>
                <w:rFonts w:eastAsia="Times New Roman" w:cstheme="minorHAnsi"/>
                <w:color w:val="595959"/>
                <w:sz w:val="24"/>
                <w:szCs w:val="24"/>
                <w:lang w:eastAsia="en-NZ"/>
              </w:rPr>
              <w:t>1,706</w:t>
            </w:r>
          </w:p>
        </w:tc>
        <w:tc>
          <w:tcPr>
            <w:tcW w:w="1662" w:type="dxa"/>
            <w:tcBorders>
              <w:top w:val="nil"/>
              <w:left w:val="nil"/>
              <w:bottom w:val="nil"/>
              <w:right w:val="nil"/>
            </w:tcBorders>
            <w:shd w:val="clear" w:color="000000" w:fill="FFFFFF"/>
            <w:vAlign w:val="center"/>
            <w:hideMark/>
          </w:tcPr>
          <w:p w:rsidR="000C1C4E" w:rsidRPr="000C1C4E" w:rsidRDefault="000C1C4E" w:rsidP="00B237AB">
            <w:pPr>
              <w:spacing w:after="0" w:line="240" w:lineRule="auto"/>
              <w:jc w:val="center"/>
              <w:rPr>
                <w:rFonts w:eastAsia="Times New Roman" w:cstheme="minorHAnsi"/>
                <w:i/>
                <w:iCs/>
                <w:color w:val="00B050"/>
                <w:sz w:val="24"/>
                <w:szCs w:val="24"/>
                <w:lang w:eastAsia="en-NZ"/>
              </w:rPr>
            </w:pPr>
            <w:r w:rsidRPr="000C1C4E">
              <w:rPr>
                <w:rFonts w:eastAsia="Times New Roman" w:cstheme="minorHAnsi"/>
                <w:i/>
                <w:iCs/>
                <w:color w:val="00B050"/>
                <w:sz w:val="24"/>
                <w:szCs w:val="24"/>
                <w:lang w:eastAsia="en-NZ"/>
              </w:rPr>
              <w:t>2%</w:t>
            </w:r>
          </w:p>
        </w:tc>
        <w:tc>
          <w:tcPr>
            <w:tcW w:w="1985" w:type="dxa"/>
            <w:tcBorders>
              <w:top w:val="nil"/>
              <w:left w:val="nil"/>
              <w:bottom w:val="nil"/>
              <w:right w:val="nil"/>
            </w:tcBorders>
            <w:shd w:val="clear" w:color="000000" w:fill="FFFFFF"/>
            <w:vAlign w:val="center"/>
            <w:hideMark/>
          </w:tcPr>
          <w:p w:rsidR="000C1C4E" w:rsidRPr="000C1C4E" w:rsidRDefault="000C1C4E" w:rsidP="00B237AB">
            <w:pPr>
              <w:spacing w:after="0" w:line="240" w:lineRule="auto"/>
              <w:jc w:val="center"/>
              <w:rPr>
                <w:rFonts w:eastAsia="Times New Roman" w:cstheme="minorHAnsi"/>
                <w:i/>
                <w:iCs/>
                <w:color w:val="00B050"/>
                <w:sz w:val="24"/>
                <w:szCs w:val="24"/>
                <w:lang w:eastAsia="en-NZ"/>
              </w:rPr>
            </w:pPr>
            <w:r w:rsidRPr="000C1C4E">
              <w:rPr>
                <w:rFonts w:eastAsia="Times New Roman" w:cstheme="minorHAnsi"/>
                <w:i/>
                <w:iCs/>
                <w:color w:val="00B050"/>
                <w:sz w:val="24"/>
                <w:szCs w:val="24"/>
                <w:lang w:eastAsia="en-NZ"/>
              </w:rPr>
              <w:t>3%</w:t>
            </w:r>
          </w:p>
        </w:tc>
      </w:tr>
      <w:tr w:rsidR="000C1C4E" w:rsidRPr="000C1C4E" w:rsidTr="00B237AB">
        <w:trPr>
          <w:trHeight w:val="499"/>
        </w:trPr>
        <w:tc>
          <w:tcPr>
            <w:tcW w:w="4246" w:type="dxa"/>
            <w:tcBorders>
              <w:top w:val="nil"/>
              <w:left w:val="nil"/>
              <w:bottom w:val="nil"/>
              <w:right w:val="nil"/>
            </w:tcBorders>
            <w:shd w:val="clear" w:color="000000" w:fill="FFFFFF"/>
            <w:vAlign w:val="center"/>
            <w:hideMark/>
          </w:tcPr>
          <w:p w:rsidR="000C1C4E" w:rsidRPr="000C1C4E" w:rsidRDefault="000C1C4E" w:rsidP="000C1C4E">
            <w:pPr>
              <w:spacing w:after="0" w:line="240" w:lineRule="auto"/>
              <w:ind w:firstLineChars="100" w:firstLine="240"/>
              <w:rPr>
                <w:rFonts w:eastAsia="Times New Roman" w:cstheme="minorHAnsi"/>
                <w:color w:val="595959"/>
                <w:sz w:val="24"/>
                <w:szCs w:val="24"/>
                <w:lang w:eastAsia="en-NZ"/>
              </w:rPr>
            </w:pPr>
            <w:r w:rsidRPr="000C1C4E">
              <w:rPr>
                <w:rFonts w:eastAsia="Times New Roman" w:cstheme="minorHAnsi"/>
                <w:color w:val="595959"/>
                <w:sz w:val="24"/>
                <w:szCs w:val="24"/>
                <w:lang w:eastAsia="en-NZ"/>
              </w:rPr>
              <w:t>Non-interest income</w:t>
            </w:r>
          </w:p>
        </w:tc>
        <w:tc>
          <w:tcPr>
            <w:tcW w:w="1740" w:type="dxa"/>
            <w:tcBorders>
              <w:top w:val="nil"/>
              <w:left w:val="nil"/>
              <w:bottom w:val="nil"/>
              <w:right w:val="nil"/>
            </w:tcBorders>
            <w:shd w:val="clear" w:color="000000" w:fill="EEECE1"/>
            <w:vAlign w:val="center"/>
            <w:hideMark/>
          </w:tcPr>
          <w:p w:rsidR="000C1C4E" w:rsidRPr="000C1C4E" w:rsidRDefault="000C1C4E" w:rsidP="00B237AB">
            <w:pPr>
              <w:spacing w:after="0" w:line="240" w:lineRule="auto"/>
              <w:jc w:val="center"/>
              <w:rPr>
                <w:rFonts w:eastAsia="Times New Roman" w:cstheme="minorHAnsi"/>
                <w:color w:val="595959"/>
                <w:sz w:val="24"/>
                <w:szCs w:val="24"/>
                <w:lang w:eastAsia="en-NZ"/>
              </w:rPr>
            </w:pPr>
            <w:r w:rsidRPr="000C1C4E">
              <w:rPr>
                <w:rFonts w:eastAsia="Times New Roman" w:cstheme="minorHAnsi"/>
                <w:color w:val="595959"/>
                <w:sz w:val="24"/>
                <w:szCs w:val="24"/>
                <w:lang w:eastAsia="en-NZ"/>
              </w:rPr>
              <w:t>482</w:t>
            </w:r>
          </w:p>
        </w:tc>
        <w:tc>
          <w:tcPr>
            <w:tcW w:w="1662" w:type="dxa"/>
            <w:tcBorders>
              <w:top w:val="nil"/>
              <w:left w:val="nil"/>
              <w:bottom w:val="nil"/>
              <w:right w:val="nil"/>
            </w:tcBorders>
            <w:shd w:val="clear" w:color="000000" w:fill="FFFFFF"/>
            <w:vAlign w:val="center"/>
            <w:hideMark/>
          </w:tcPr>
          <w:p w:rsidR="000C1C4E" w:rsidRPr="000C1C4E" w:rsidRDefault="000C1C4E" w:rsidP="00B237AB">
            <w:pPr>
              <w:spacing w:after="0" w:line="240" w:lineRule="auto"/>
              <w:jc w:val="center"/>
              <w:rPr>
                <w:rFonts w:eastAsia="Times New Roman" w:cstheme="minorHAnsi"/>
                <w:i/>
                <w:iCs/>
                <w:color w:val="FF0000"/>
                <w:sz w:val="24"/>
                <w:szCs w:val="24"/>
                <w:lang w:eastAsia="en-NZ"/>
              </w:rPr>
            </w:pPr>
            <w:r w:rsidRPr="000C1C4E">
              <w:rPr>
                <w:rFonts w:eastAsia="Times New Roman" w:cstheme="minorHAnsi"/>
                <w:i/>
                <w:iCs/>
                <w:color w:val="FF0000"/>
                <w:sz w:val="24"/>
                <w:szCs w:val="24"/>
                <w:lang w:eastAsia="en-NZ"/>
              </w:rPr>
              <w:t>(2%)</w:t>
            </w:r>
          </w:p>
        </w:tc>
        <w:tc>
          <w:tcPr>
            <w:tcW w:w="1985" w:type="dxa"/>
            <w:tcBorders>
              <w:top w:val="nil"/>
              <w:left w:val="nil"/>
              <w:bottom w:val="nil"/>
              <w:right w:val="nil"/>
            </w:tcBorders>
            <w:shd w:val="clear" w:color="000000" w:fill="FFFFFF"/>
            <w:vAlign w:val="center"/>
            <w:hideMark/>
          </w:tcPr>
          <w:p w:rsidR="000C1C4E" w:rsidRPr="000C1C4E" w:rsidRDefault="000C1C4E" w:rsidP="00B237AB">
            <w:pPr>
              <w:spacing w:after="0" w:line="240" w:lineRule="auto"/>
              <w:jc w:val="center"/>
              <w:rPr>
                <w:rFonts w:eastAsia="Times New Roman" w:cstheme="minorHAnsi"/>
                <w:i/>
                <w:iCs/>
                <w:color w:val="FF0000"/>
                <w:sz w:val="24"/>
                <w:szCs w:val="24"/>
                <w:lang w:eastAsia="en-NZ"/>
              </w:rPr>
            </w:pPr>
            <w:r w:rsidRPr="000C1C4E">
              <w:rPr>
                <w:rFonts w:eastAsia="Times New Roman" w:cstheme="minorHAnsi"/>
                <w:i/>
                <w:iCs/>
                <w:color w:val="FF0000"/>
                <w:sz w:val="24"/>
                <w:szCs w:val="24"/>
                <w:lang w:eastAsia="en-NZ"/>
              </w:rPr>
              <w:t>(2%)</w:t>
            </w:r>
          </w:p>
        </w:tc>
      </w:tr>
      <w:tr w:rsidR="000C1C4E" w:rsidRPr="000C1C4E" w:rsidTr="00B237AB">
        <w:trPr>
          <w:trHeight w:val="499"/>
        </w:trPr>
        <w:tc>
          <w:tcPr>
            <w:tcW w:w="4246" w:type="dxa"/>
            <w:tcBorders>
              <w:top w:val="nil"/>
              <w:left w:val="nil"/>
              <w:bottom w:val="nil"/>
              <w:right w:val="nil"/>
            </w:tcBorders>
            <w:shd w:val="clear" w:color="000000" w:fill="FFFFFF"/>
            <w:vAlign w:val="center"/>
            <w:hideMark/>
          </w:tcPr>
          <w:p w:rsidR="000C1C4E" w:rsidRPr="000C1C4E" w:rsidRDefault="000C1C4E" w:rsidP="000C1C4E">
            <w:pPr>
              <w:spacing w:after="0" w:line="240" w:lineRule="auto"/>
              <w:ind w:firstLineChars="100" w:firstLine="241"/>
              <w:rPr>
                <w:rFonts w:eastAsia="Times New Roman" w:cstheme="minorHAnsi"/>
                <w:b/>
                <w:bCs/>
                <w:color w:val="595959"/>
                <w:sz w:val="24"/>
                <w:szCs w:val="24"/>
                <w:lang w:eastAsia="en-NZ"/>
              </w:rPr>
            </w:pPr>
            <w:r w:rsidRPr="000C1C4E">
              <w:rPr>
                <w:rFonts w:eastAsia="Times New Roman" w:cstheme="minorHAnsi"/>
                <w:b/>
                <w:bCs/>
                <w:color w:val="595959"/>
                <w:sz w:val="24"/>
                <w:szCs w:val="24"/>
                <w:lang w:eastAsia="en-NZ"/>
              </w:rPr>
              <w:t>Total income</w:t>
            </w:r>
          </w:p>
        </w:tc>
        <w:tc>
          <w:tcPr>
            <w:tcW w:w="1740" w:type="dxa"/>
            <w:tcBorders>
              <w:top w:val="nil"/>
              <w:left w:val="nil"/>
              <w:bottom w:val="nil"/>
              <w:right w:val="nil"/>
            </w:tcBorders>
            <w:shd w:val="clear" w:color="000000" w:fill="EEECE1"/>
            <w:vAlign w:val="center"/>
            <w:hideMark/>
          </w:tcPr>
          <w:p w:rsidR="000C1C4E" w:rsidRPr="000C1C4E" w:rsidRDefault="000C1C4E" w:rsidP="00B237AB">
            <w:pPr>
              <w:spacing w:after="0" w:line="240" w:lineRule="auto"/>
              <w:jc w:val="center"/>
              <w:rPr>
                <w:rFonts w:eastAsia="Times New Roman" w:cstheme="minorHAnsi"/>
                <w:b/>
                <w:bCs/>
                <w:color w:val="595959"/>
                <w:sz w:val="24"/>
                <w:szCs w:val="24"/>
                <w:lang w:eastAsia="en-NZ"/>
              </w:rPr>
            </w:pPr>
            <w:r w:rsidRPr="000C1C4E">
              <w:rPr>
                <w:rFonts w:eastAsia="Times New Roman" w:cstheme="minorHAnsi"/>
                <w:b/>
                <w:bCs/>
                <w:color w:val="595959"/>
                <w:sz w:val="24"/>
                <w:szCs w:val="24"/>
                <w:lang w:eastAsia="en-NZ"/>
              </w:rPr>
              <w:t>2,188</w:t>
            </w:r>
          </w:p>
        </w:tc>
        <w:tc>
          <w:tcPr>
            <w:tcW w:w="1662" w:type="dxa"/>
            <w:tcBorders>
              <w:top w:val="nil"/>
              <w:left w:val="nil"/>
              <w:bottom w:val="nil"/>
              <w:right w:val="nil"/>
            </w:tcBorders>
            <w:shd w:val="clear" w:color="000000" w:fill="FFFFFF"/>
            <w:vAlign w:val="center"/>
            <w:hideMark/>
          </w:tcPr>
          <w:p w:rsidR="000C1C4E" w:rsidRPr="000C1C4E" w:rsidRDefault="000C1C4E" w:rsidP="00B237AB">
            <w:pPr>
              <w:spacing w:after="0" w:line="240" w:lineRule="auto"/>
              <w:jc w:val="center"/>
              <w:rPr>
                <w:rFonts w:eastAsia="Times New Roman" w:cstheme="minorHAnsi"/>
                <w:b/>
                <w:bCs/>
                <w:i/>
                <w:iCs/>
                <w:color w:val="00B050"/>
                <w:sz w:val="24"/>
                <w:szCs w:val="24"/>
                <w:lang w:eastAsia="en-NZ"/>
              </w:rPr>
            </w:pPr>
            <w:r w:rsidRPr="000C1C4E">
              <w:rPr>
                <w:rFonts w:eastAsia="Times New Roman" w:cstheme="minorHAnsi"/>
                <w:b/>
                <w:bCs/>
                <w:i/>
                <w:iCs/>
                <w:color w:val="00B050"/>
                <w:sz w:val="24"/>
                <w:szCs w:val="24"/>
                <w:lang w:eastAsia="en-NZ"/>
              </w:rPr>
              <w:t>1%</w:t>
            </w:r>
          </w:p>
        </w:tc>
        <w:tc>
          <w:tcPr>
            <w:tcW w:w="1985" w:type="dxa"/>
            <w:tcBorders>
              <w:top w:val="nil"/>
              <w:left w:val="nil"/>
              <w:bottom w:val="nil"/>
              <w:right w:val="nil"/>
            </w:tcBorders>
            <w:shd w:val="clear" w:color="000000" w:fill="FFFFFF"/>
            <w:vAlign w:val="center"/>
            <w:hideMark/>
          </w:tcPr>
          <w:p w:rsidR="000C1C4E" w:rsidRPr="000C1C4E" w:rsidRDefault="000C1C4E" w:rsidP="00B237AB">
            <w:pPr>
              <w:spacing w:after="0" w:line="240" w:lineRule="auto"/>
              <w:jc w:val="center"/>
              <w:rPr>
                <w:rFonts w:eastAsia="Times New Roman" w:cstheme="minorHAnsi"/>
                <w:b/>
                <w:bCs/>
                <w:i/>
                <w:iCs/>
                <w:color w:val="00B050"/>
                <w:sz w:val="24"/>
                <w:szCs w:val="24"/>
                <w:lang w:eastAsia="en-NZ"/>
              </w:rPr>
            </w:pPr>
            <w:r w:rsidRPr="000C1C4E">
              <w:rPr>
                <w:rFonts w:eastAsia="Times New Roman" w:cstheme="minorHAnsi"/>
                <w:b/>
                <w:bCs/>
                <w:i/>
                <w:iCs/>
                <w:color w:val="00B050"/>
                <w:sz w:val="24"/>
                <w:szCs w:val="24"/>
                <w:lang w:eastAsia="en-NZ"/>
              </w:rPr>
              <w:t>2%</w:t>
            </w:r>
          </w:p>
        </w:tc>
      </w:tr>
      <w:tr w:rsidR="000C1C4E" w:rsidRPr="000C1C4E" w:rsidTr="00B237AB">
        <w:trPr>
          <w:trHeight w:val="499"/>
        </w:trPr>
        <w:tc>
          <w:tcPr>
            <w:tcW w:w="4246" w:type="dxa"/>
            <w:tcBorders>
              <w:top w:val="nil"/>
              <w:left w:val="nil"/>
              <w:bottom w:val="nil"/>
              <w:right w:val="nil"/>
            </w:tcBorders>
            <w:shd w:val="clear" w:color="000000" w:fill="FFFFFF"/>
            <w:vAlign w:val="center"/>
            <w:hideMark/>
          </w:tcPr>
          <w:p w:rsidR="000C1C4E" w:rsidRPr="000C1C4E" w:rsidRDefault="000C1C4E" w:rsidP="000C1C4E">
            <w:pPr>
              <w:spacing w:after="0" w:line="240" w:lineRule="auto"/>
              <w:ind w:firstLineChars="100" w:firstLine="240"/>
              <w:rPr>
                <w:rFonts w:eastAsia="Times New Roman" w:cstheme="minorHAnsi"/>
                <w:color w:val="595959"/>
                <w:sz w:val="24"/>
                <w:szCs w:val="24"/>
                <w:lang w:eastAsia="en-NZ"/>
              </w:rPr>
            </w:pPr>
            <w:r w:rsidRPr="000C1C4E">
              <w:rPr>
                <w:rFonts w:eastAsia="Times New Roman" w:cstheme="minorHAnsi"/>
                <w:color w:val="595959"/>
                <w:sz w:val="24"/>
                <w:szCs w:val="24"/>
                <w:lang w:eastAsia="en-NZ"/>
              </w:rPr>
              <w:t>Operating expenses</w:t>
            </w:r>
          </w:p>
        </w:tc>
        <w:tc>
          <w:tcPr>
            <w:tcW w:w="1740" w:type="dxa"/>
            <w:tcBorders>
              <w:top w:val="nil"/>
              <w:left w:val="nil"/>
              <w:bottom w:val="nil"/>
              <w:right w:val="nil"/>
            </w:tcBorders>
            <w:shd w:val="clear" w:color="000000" w:fill="EEECE1"/>
            <w:vAlign w:val="center"/>
            <w:hideMark/>
          </w:tcPr>
          <w:p w:rsidR="000C1C4E" w:rsidRPr="000C1C4E" w:rsidRDefault="000C1C4E" w:rsidP="00B237AB">
            <w:pPr>
              <w:spacing w:after="0" w:line="240" w:lineRule="auto"/>
              <w:jc w:val="center"/>
              <w:rPr>
                <w:rFonts w:eastAsia="Times New Roman" w:cstheme="minorHAnsi"/>
                <w:color w:val="595959"/>
                <w:sz w:val="24"/>
                <w:szCs w:val="24"/>
                <w:lang w:eastAsia="en-NZ"/>
              </w:rPr>
            </w:pPr>
            <w:r w:rsidRPr="000C1C4E">
              <w:rPr>
                <w:rFonts w:eastAsia="Times New Roman" w:cstheme="minorHAnsi"/>
                <w:color w:val="595959"/>
                <w:sz w:val="24"/>
                <w:szCs w:val="24"/>
                <w:lang w:eastAsia="en-NZ"/>
              </w:rPr>
              <w:t>(919)</w:t>
            </w:r>
          </w:p>
        </w:tc>
        <w:tc>
          <w:tcPr>
            <w:tcW w:w="1662" w:type="dxa"/>
            <w:tcBorders>
              <w:top w:val="nil"/>
              <w:left w:val="nil"/>
              <w:bottom w:val="nil"/>
              <w:right w:val="nil"/>
            </w:tcBorders>
            <w:shd w:val="clear" w:color="000000" w:fill="FFFFFF"/>
            <w:vAlign w:val="center"/>
            <w:hideMark/>
          </w:tcPr>
          <w:p w:rsidR="000C1C4E" w:rsidRPr="000C1C4E" w:rsidRDefault="00F94BA6" w:rsidP="00B237AB">
            <w:pPr>
              <w:spacing w:after="0" w:line="240" w:lineRule="auto"/>
              <w:jc w:val="center"/>
              <w:rPr>
                <w:rFonts w:eastAsia="Times New Roman" w:cstheme="minorHAnsi"/>
                <w:i/>
                <w:iCs/>
                <w:color w:val="FF0000"/>
                <w:sz w:val="24"/>
                <w:szCs w:val="24"/>
                <w:lang w:eastAsia="en-NZ"/>
              </w:rPr>
            </w:pPr>
            <w:r>
              <w:rPr>
                <w:rFonts w:eastAsia="Times New Roman" w:cstheme="minorHAnsi"/>
                <w:i/>
                <w:iCs/>
                <w:color w:val="FF0000"/>
                <w:sz w:val="24"/>
                <w:szCs w:val="24"/>
                <w:lang w:eastAsia="en-NZ"/>
              </w:rPr>
              <w:t>5%</w:t>
            </w:r>
          </w:p>
        </w:tc>
        <w:tc>
          <w:tcPr>
            <w:tcW w:w="1985" w:type="dxa"/>
            <w:tcBorders>
              <w:top w:val="nil"/>
              <w:left w:val="nil"/>
              <w:bottom w:val="nil"/>
              <w:right w:val="nil"/>
            </w:tcBorders>
            <w:shd w:val="clear" w:color="000000" w:fill="FFFFFF"/>
            <w:vAlign w:val="center"/>
            <w:hideMark/>
          </w:tcPr>
          <w:p w:rsidR="000C1C4E" w:rsidRPr="000C1C4E" w:rsidRDefault="00F94BA6" w:rsidP="00B237AB">
            <w:pPr>
              <w:spacing w:after="0" w:line="240" w:lineRule="auto"/>
              <w:jc w:val="center"/>
              <w:rPr>
                <w:rFonts w:eastAsia="Times New Roman" w:cstheme="minorHAnsi"/>
                <w:i/>
                <w:iCs/>
                <w:color w:val="FF0000"/>
                <w:sz w:val="24"/>
                <w:szCs w:val="24"/>
                <w:lang w:eastAsia="en-NZ"/>
              </w:rPr>
            </w:pPr>
            <w:r>
              <w:rPr>
                <w:rFonts w:eastAsia="Times New Roman" w:cstheme="minorHAnsi"/>
                <w:i/>
                <w:iCs/>
                <w:color w:val="FF0000"/>
                <w:sz w:val="24"/>
                <w:szCs w:val="24"/>
                <w:lang w:eastAsia="en-NZ"/>
              </w:rPr>
              <w:t>1%</w:t>
            </w:r>
          </w:p>
        </w:tc>
      </w:tr>
      <w:tr w:rsidR="000C1C4E" w:rsidRPr="000C1C4E" w:rsidTr="00B237AB">
        <w:trPr>
          <w:trHeight w:val="499"/>
        </w:trPr>
        <w:tc>
          <w:tcPr>
            <w:tcW w:w="4246" w:type="dxa"/>
            <w:tcBorders>
              <w:top w:val="nil"/>
              <w:left w:val="nil"/>
              <w:bottom w:val="nil"/>
              <w:right w:val="nil"/>
            </w:tcBorders>
            <w:shd w:val="clear" w:color="000000" w:fill="FFFFFF"/>
            <w:vAlign w:val="center"/>
            <w:hideMark/>
          </w:tcPr>
          <w:p w:rsidR="000C1C4E" w:rsidRPr="000C1C4E" w:rsidRDefault="000C1C4E" w:rsidP="000C1C4E">
            <w:pPr>
              <w:spacing w:after="0" w:line="240" w:lineRule="auto"/>
              <w:ind w:firstLineChars="100" w:firstLine="241"/>
              <w:rPr>
                <w:rFonts w:eastAsia="Times New Roman" w:cstheme="minorHAnsi"/>
                <w:b/>
                <w:bCs/>
                <w:color w:val="595959"/>
                <w:sz w:val="24"/>
                <w:szCs w:val="24"/>
                <w:lang w:eastAsia="en-NZ"/>
              </w:rPr>
            </w:pPr>
            <w:r w:rsidRPr="000C1C4E">
              <w:rPr>
                <w:rFonts w:eastAsia="Times New Roman" w:cstheme="minorHAnsi"/>
                <w:b/>
                <w:bCs/>
                <w:color w:val="595959"/>
                <w:sz w:val="24"/>
                <w:szCs w:val="24"/>
                <w:lang w:eastAsia="en-NZ"/>
              </w:rPr>
              <w:t>Core earnings</w:t>
            </w:r>
          </w:p>
        </w:tc>
        <w:tc>
          <w:tcPr>
            <w:tcW w:w="1740" w:type="dxa"/>
            <w:tcBorders>
              <w:top w:val="nil"/>
              <w:left w:val="nil"/>
              <w:bottom w:val="nil"/>
              <w:right w:val="nil"/>
            </w:tcBorders>
            <w:shd w:val="clear" w:color="000000" w:fill="EEECE1"/>
            <w:vAlign w:val="center"/>
            <w:hideMark/>
          </w:tcPr>
          <w:p w:rsidR="000C1C4E" w:rsidRPr="000C1C4E" w:rsidRDefault="000C1C4E" w:rsidP="00B237AB">
            <w:pPr>
              <w:spacing w:after="0" w:line="240" w:lineRule="auto"/>
              <w:jc w:val="center"/>
              <w:rPr>
                <w:rFonts w:eastAsia="Times New Roman" w:cstheme="minorHAnsi"/>
                <w:b/>
                <w:bCs/>
                <w:color w:val="595959"/>
                <w:sz w:val="24"/>
                <w:szCs w:val="24"/>
                <w:lang w:eastAsia="en-NZ"/>
              </w:rPr>
            </w:pPr>
            <w:r w:rsidRPr="000C1C4E">
              <w:rPr>
                <w:rFonts w:eastAsia="Times New Roman" w:cstheme="minorHAnsi"/>
                <w:b/>
                <w:bCs/>
                <w:color w:val="595959"/>
                <w:sz w:val="24"/>
                <w:szCs w:val="24"/>
                <w:lang w:eastAsia="en-NZ"/>
              </w:rPr>
              <w:t>1,269</w:t>
            </w:r>
          </w:p>
        </w:tc>
        <w:tc>
          <w:tcPr>
            <w:tcW w:w="1662" w:type="dxa"/>
            <w:tcBorders>
              <w:top w:val="nil"/>
              <w:left w:val="nil"/>
              <w:bottom w:val="nil"/>
              <w:right w:val="nil"/>
            </w:tcBorders>
            <w:shd w:val="clear" w:color="000000" w:fill="FFFFFF"/>
            <w:vAlign w:val="center"/>
            <w:hideMark/>
          </w:tcPr>
          <w:p w:rsidR="000C1C4E" w:rsidRPr="000C1C4E" w:rsidRDefault="000C1C4E" w:rsidP="00B237AB">
            <w:pPr>
              <w:spacing w:after="0" w:line="240" w:lineRule="auto"/>
              <w:jc w:val="center"/>
              <w:rPr>
                <w:rFonts w:eastAsia="Times New Roman" w:cstheme="minorHAnsi"/>
                <w:b/>
                <w:bCs/>
                <w:i/>
                <w:iCs/>
                <w:color w:val="FF0000"/>
                <w:sz w:val="24"/>
                <w:szCs w:val="24"/>
                <w:lang w:eastAsia="en-NZ"/>
              </w:rPr>
            </w:pPr>
            <w:r w:rsidRPr="000C1C4E">
              <w:rPr>
                <w:rFonts w:eastAsia="Times New Roman" w:cstheme="minorHAnsi"/>
                <w:b/>
                <w:bCs/>
                <w:i/>
                <w:iCs/>
                <w:color w:val="FF0000"/>
                <w:sz w:val="24"/>
                <w:szCs w:val="24"/>
                <w:lang w:eastAsia="en-NZ"/>
              </w:rPr>
              <w:t>(2%)</w:t>
            </w:r>
          </w:p>
        </w:tc>
        <w:tc>
          <w:tcPr>
            <w:tcW w:w="1985" w:type="dxa"/>
            <w:tcBorders>
              <w:top w:val="nil"/>
              <w:left w:val="nil"/>
              <w:bottom w:val="nil"/>
              <w:right w:val="nil"/>
            </w:tcBorders>
            <w:shd w:val="clear" w:color="000000" w:fill="FFFFFF"/>
            <w:vAlign w:val="center"/>
            <w:hideMark/>
          </w:tcPr>
          <w:p w:rsidR="000C1C4E" w:rsidRPr="000C1C4E" w:rsidRDefault="000C1C4E" w:rsidP="00B237AB">
            <w:pPr>
              <w:spacing w:after="0" w:line="240" w:lineRule="auto"/>
              <w:jc w:val="center"/>
              <w:rPr>
                <w:rFonts w:eastAsia="Times New Roman" w:cstheme="minorHAnsi"/>
                <w:b/>
                <w:bCs/>
                <w:i/>
                <w:iCs/>
                <w:color w:val="00B050"/>
                <w:sz w:val="24"/>
                <w:szCs w:val="24"/>
                <w:lang w:eastAsia="en-NZ"/>
              </w:rPr>
            </w:pPr>
            <w:r w:rsidRPr="000C1C4E">
              <w:rPr>
                <w:rFonts w:eastAsia="Times New Roman" w:cstheme="minorHAnsi"/>
                <w:b/>
                <w:bCs/>
                <w:i/>
                <w:iCs/>
                <w:color w:val="00B050"/>
                <w:sz w:val="24"/>
                <w:szCs w:val="24"/>
                <w:lang w:eastAsia="en-NZ"/>
              </w:rPr>
              <w:t>3%</w:t>
            </w:r>
          </w:p>
        </w:tc>
      </w:tr>
      <w:tr w:rsidR="000C1C4E" w:rsidRPr="000C1C4E" w:rsidTr="00B237AB">
        <w:trPr>
          <w:trHeight w:val="499"/>
        </w:trPr>
        <w:tc>
          <w:tcPr>
            <w:tcW w:w="4246" w:type="dxa"/>
            <w:tcBorders>
              <w:top w:val="nil"/>
              <w:left w:val="nil"/>
              <w:bottom w:val="nil"/>
              <w:right w:val="nil"/>
            </w:tcBorders>
            <w:shd w:val="clear" w:color="000000" w:fill="FFFFFF"/>
            <w:vAlign w:val="center"/>
            <w:hideMark/>
          </w:tcPr>
          <w:p w:rsidR="000C1C4E" w:rsidRPr="000C1C4E" w:rsidRDefault="000C1C4E" w:rsidP="000C1C4E">
            <w:pPr>
              <w:spacing w:after="0" w:line="240" w:lineRule="auto"/>
              <w:ind w:firstLineChars="100" w:firstLine="240"/>
              <w:rPr>
                <w:rFonts w:eastAsia="Times New Roman" w:cstheme="minorHAnsi"/>
                <w:color w:val="595959"/>
                <w:sz w:val="24"/>
                <w:szCs w:val="24"/>
                <w:lang w:eastAsia="en-NZ"/>
              </w:rPr>
            </w:pPr>
            <w:r w:rsidRPr="000C1C4E">
              <w:rPr>
                <w:rFonts w:eastAsia="Times New Roman" w:cstheme="minorHAnsi"/>
                <w:color w:val="595959"/>
                <w:sz w:val="24"/>
                <w:szCs w:val="24"/>
                <w:lang w:eastAsia="en-NZ"/>
              </w:rPr>
              <w:t>Impairment charges</w:t>
            </w:r>
          </w:p>
        </w:tc>
        <w:tc>
          <w:tcPr>
            <w:tcW w:w="1740" w:type="dxa"/>
            <w:tcBorders>
              <w:top w:val="nil"/>
              <w:left w:val="nil"/>
              <w:bottom w:val="nil"/>
              <w:right w:val="nil"/>
            </w:tcBorders>
            <w:shd w:val="clear" w:color="000000" w:fill="EEECE1"/>
            <w:vAlign w:val="center"/>
            <w:hideMark/>
          </w:tcPr>
          <w:p w:rsidR="000C1C4E" w:rsidRPr="000C1C4E" w:rsidRDefault="000C1C4E" w:rsidP="00B237AB">
            <w:pPr>
              <w:spacing w:after="0" w:line="240" w:lineRule="auto"/>
              <w:jc w:val="center"/>
              <w:rPr>
                <w:rFonts w:eastAsia="Times New Roman" w:cstheme="minorHAnsi"/>
                <w:color w:val="595959"/>
                <w:sz w:val="24"/>
                <w:szCs w:val="24"/>
                <w:lang w:eastAsia="en-NZ"/>
              </w:rPr>
            </w:pPr>
            <w:r w:rsidRPr="000C1C4E">
              <w:rPr>
                <w:rFonts w:eastAsia="Times New Roman" w:cstheme="minorHAnsi"/>
                <w:color w:val="595959"/>
                <w:sz w:val="24"/>
                <w:szCs w:val="24"/>
                <w:lang w:eastAsia="en-NZ"/>
              </w:rPr>
              <w:t>(59)</w:t>
            </w:r>
          </w:p>
        </w:tc>
        <w:tc>
          <w:tcPr>
            <w:tcW w:w="1662" w:type="dxa"/>
            <w:tcBorders>
              <w:top w:val="nil"/>
              <w:left w:val="nil"/>
              <w:bottom w:val="nil"/>
              <w:right w:val="nil"/>
            </w:tcBorders>
            <w:shd w:val="clear" w:color="000000" w:fill="FFFFFF"/>
            <w:vAlign w:val="center"/>
            <w:hideMark/>
          </w:tcPr>
          <w:p w:rsidR="000C1C4E" w:rsidRPr="000C1C4E" w:rsidRDefault="00F94BA6" w:rsidP="00B237AB">
            <w:pPr>
              <w:spacing w:after="0" w:line="240" w:lineRule="auto"/>
              <w:jc w:val="center"/>
              <w:rPr>
                <w:rFonts w:eastAsia="Times New Roman" w:cstheme="minorHAnsi"/>
                <w:i/>
                <w:iCs/>
                <w:color w:val="FF0000"/>
                <w:sz w:val="24"/>
                <w:szCs w:val="24"/>
                <w:lang w:eastAsia="en-NZ"/>
              </w:rPr>
            </w:pPr>
            <w:r>
              <w:rPr>
                <w:rFonts w:eastAsia="Times New Roman" w:cstheme="minorHAnsi"/>
                <w:i/>
                <w:iCs/>
                <w:color w:val="FF0000"/>
                <w:sz w:val="24"/>
                <w:szCs w:val="24"/>
                <w:lang w:eastAsia="en-NZ"/>
              </w:rPr>
              <w:t>26%</w:t>
            </w:r>
          </w:p>
        </w:tc>
        <w:tc>
          <w:tcPr>
            <w:tcW w:w="1985" w:type="dxa"/>
            <w:tcBorders>
              <w:top w:val="nil"/>
              <w:left w:val="nil"/>
              <w:bottom w:val="nil"/>
              <w:right w:val="nil"/>
            </w:tcBorders>
            <w:shd w:val="clear" w:color="000000" w:fill="FFFFFF"/>
            <w:vAlign w:val="center"/>
            <w:hideMark/>
          </w:tcPr>
          <w:p w:rsidR="000C1C4E" w:rsidRPr="000C1C4E" w:rsidRDefault="000C1C4E" w:rsidP="00B237AB">
            <w:pPr>
              <w:spacing w:after="0" w:line="240" w:lineRule="auto"/>
              <w:jc w:val="center"/>
              <w:rPr>
                <w:rFonts w:eastAsia="Times New Roman" w:cstheme="minorHAnsi"/>
                <w:i/>
                <w:iCs/>
                <w:color w:val="FF0000"/>
                <w:sz w:val="24"/>
                <w:szCs w:val="24"/>
                <w:lang w:eastAsia="en-NZ"/>
              </w:rPr>
            </w:pPr>
            <w:r w:rsidRPr="000C1C4E">
              <w:rPr>
                <w:rFonts w:eastAsia="Times New Roman" w:cstheme="minorHAnsi"/>
                <w:i/>
                <w:iCs/>
                <w:color w:val="FF0000"/>
                <w:sz w:val="24"/>
                <w:szCs w:val="24"/>
                <w:lang w:eastAsia="en-NZ"/>
              </w:rPr>
              <w:t>large</w:t>
            </w:r>
          </w:p>
        </w:tc>
      </w:tr>
      <w:tr w:rsidR="000C1C4E" w:rsidRPr="000C1C4E" w:rsidTr="00B237AB">
        <w:trPr>
          <w:trHeight w:val="499"/>
        </w:trPr>
        <w:tc>
          <w:tcPr>
            <w:tcW w:w="4246" w:type="dxa"/>
            <w:tcBorders>
              <w:top w:val="nil"/>
              <w:left w:val="nil"/>
              <w:bottom w:val="nil"/>
              <w:right w:val="nil"/>
            </w:tcBorders>
            <w:shd w:val="clear" w:color="000000" w:fill="FFFFFF"/>
            <w:vAlign w:val="center"/>
            <w:hideMark/>
          </w:tcPr>
          <w:p w:rsidR="000C1C4E" w:rsidRPr="000C1C4E" w:rsidRDefault="000C1C4E" w:rsidP="000C1C4E">
            <w:pPr>
              <w:spacing w:after="0" w:line="240" w:lineRule="auto"/>
              <w:ind w:firstLineChars="100" w:firstLine="241"/>
              <w:rPr>
                <w:rFonts w:eastAsia="Times New Roman" w:cstheme="minorHAnsi"/>
                <w:b/>
                <w:bCs/>
                <w:color w:val="595959"/>
                <w:sz w:val="24"/>
                <w:szCs w:val="24"/>
                <w:lang w:eastAsia="en-NZ"/>
              </w:rPr>
            </w:pPr>
            <w:r w:rsidRPr="000C1C4E">
              <w:rPr>
                <w:rFonts w:eastAsia="Times New Roman" w:cstheme="minorHAnsi"/>
                <w:b/>
                <w:bCs/>
                <w:color w:val="595959"/>
                <w:sz w:val="24"/>
                <w:szCs w:val="24"/>
                <w:lang w:eastAsia="en-NZ"/>
              </w:rPr>
              <w:t>Cash earnings</w:t>
            </w:r>
          </w:p>
        </w:tc>
        <w:tc>
          <w:tcPr>
            <w:tcW w:w="1740" w:type="dxa"/>
            <w:tcBorders>
              <w:top w:val="nil"/>
              <w:left w:val="nil"/>
              <w:bottom w:val="nil"/>
              <w:right w:val="nil"/>
            </w:tcBorders>
            <w:shd w:val="clear" w:color="000000" w:fill="EEECE1"/>
            <w:vAlign w:val="center"/>
            <w:hideMark/>
          </w:tcPr>
          <w:p w:rsidR="000C1C4E" w:rsidRPr="000C1C4E" w:rsidRDefault="000C1C4E" w:rsidP="00B237AB">
            <w:pPr>
              <w:spacing w:after="0" w:line="240" w:lineRule="auto"/>
              <w:jc w:val="center"/>
              <w:rPr>
                <w:rFonts w:eastAsia="Times New Roman" w:cstheme="minorHAnsi"/>
                <w:b/>
                <w:bCs/>
                <w:color w:val="595959"/>
                <w:sz w:val="24"/>
                <w:szCs w:val="24"/>
                <w:lang w:eastAsia="en-NZ"/>
              </w:rPr>
            </w:pPr>
            <w:r w:rsidRPr="000C1C4E">
              <w:rPr>
                <w:rFonts w:eastAsia="Times New Roman" w:cstheme="minorHAnsi"/>
                <w:b/>
                <w:bCs/>
                <w:color w:val="595959"/>
                <w:sz w:val="24"/>
                <w:szCs w:val="24"/>
                <w:lang w:eastAsia="en-NZ"/>
              </w:rPr>
              <w:t>872</w:t>
            </w:r>
          </w:p>
        </w:tc>
        <w:tc>
          <w:tcPr>
            <w:tcW w:w="1662" w:type="dxa"/>
            <w:tcBorders>
              <w:top w:val="nil"/>
              <w:left w:val="nil"/>
              <w:bottom w:val="nil"/>
              <w:right w:val="nil"/>
            </w:tcBorders>
            <w:shd w:val="clear" w:color="000000" w:fill="FFFFFF"/>
            <w:vAlign w:val="center"/>
            <w:hideMark/>
          </w:tcPr>
          <w:p w:rsidR="000C1C4E" w:rsidRPr="000C1C4E" w:rsidRDefault="000C1C4E" w:rsidP="00B237AB">
            <w:pPr>
              <w:spacing w:after="0" w:line="240" w:lineRule="auto"/>
              <w:jc w:val="center"/>
              <w:rPr>
                <w:rFonts w:eastAsia="Times New Roman" w:cstheme="minorHAnsi"/>
                <w:b/>
                <w:bCs/>
                <w:i/>
                <w:iCs/>
                <w:color w:val="FF0000"/>
                <w:sz w:val="24"/>
                <w:szCs w:val="24"/>
                <w:lang w:eastAsia="en-NZ"/>
              </w:rPr>
            </w:pPr>
            <w:r w:rsidRPr="000C1C4E">
              <w:rPr>
                <w:rFonts w:eastAsia="Times New Roman" w:cstheme="minorHAnsi"/>
                <w:b/>
                <w:bCs/>
                <w:i/>
                <w:iCs/>
                <w:color w:val="FF0000"/>
                <w:sz w:val="24"/>
                <w:szCs w:val="24"/>
                <w:lang w:eastAsia="en-NZ"/>
              </w:rPr>
              <w:t>(4%)</w:t>
            </w:r>
          </w:p>
        </w:tc>
        <w:tc>
          <w:tcPr>
            <w:tcW w:w="1985" w:type="dxa"/>
            <w:tcBorders>
              <w:top w:val="nil"/>
              <w:left w:val="nil"/>
              <w:bottom w:val="nil"/>
              <w:right w:val="nil"/>
            </w:tcBorders>
            <w:shd w:val="clear" w:color="000000" w:fill="FFFFFF"/>
            <w:vAlign w:val="center"/>
            <w:hideMark/>
          </w:tcPr>
          <w:p w:rsidR="000C1C4E" w:rsidRPr="000C1C4E" w:rsidRDefault="000C1C4E" w:rsidP="00B237AB">
            <w:pPr>
              <w:spacing w:after="0" w:line="240" w:lineRule="auto"/>
              <w:jc w:val="center"/>
              <w:rPr>
                <w:rFonts w:eastAsia="Times New Roman" w:cstheme="minorHAnsi"/>
                <w:b/>
                <w:bCs/>
                <w:i/>
                <w:iCs/>
                <w:color w:val="FF0000"/>
                <w:sz w:val="24"/>
                <w:szCs w:val="24"/>
                <w:lang w:eastAsia="en-NZ"/>
              </w:rPr>
            </w:pPr>
            <w:r w:rsidRPr="000C1C4E">
              <w:rPr>
                <w:rFonts w:eastAsia="Times New Roman" w:cstheme="minorHAnsi"/>
                <w:b/>
                <w:bCs/>
                <w:i/>
                <w:iCs/>
                <w:color w:val="FF0000"/>
                <w:sz w:val="24"/>
                <w:szCs w:val="24"/>
                <w:lang w:eastAsia="en-NZ"/>
              </w:rPr>
              <w:t>(4%)</w:t>
            </w:r>
          </w:p>
        </w:tc>
      </w:tr>
      <w:tr w:rsidR="000C1C4E" w:rsidRPr="000C1C4E" w:rsidTr="00B237AB">
        <w:trPr>
          <w:trHeight w:val="300"/>
        </w:trPr>
        <w:tc>
          <w:tcPr>
            <w:tcW w:w="4246" w:type="dxa"/>
            <w:tcBorders>
              <w:top w:val="nil"/>
              <w:left w:val="nil"/>
              <w:bottom w:val="nil"/>
              <w:right w:val="nil"/>
            </w:tcBorders>
            <w:shd w:val="clear" w:color="000000" w:fill="FFFFFF"/>
            <w:noWrap/>
            <w:vAlign w:val="bottom"/>
            <w:hideMark/>
          </w:tcPr>
          <w:p w:rsidR="000C1C4E" w:rsidRPr="000C1C4E" w:rsidRDefault="000C1C4E" w:rsidP="00B237AB">
            <w:pPr>
              <w:spacing w:after="0" w:line="240" w:lineRule="auto"/>
              <w:rPr>
                <w:rFonts w:eastAsia="Times New Roman" w:cstheme="minorHAnsi"/>
                <w:color w:val="000000"/>
                <w:sz w:val="24"/>
                <w:szCs w:val="24"/>
                <w:lang w:eastAsia="en-NZ"/>
              </w:rPr>
            </w:pPr>
            <w:r w:rsidRPr="000C1C4E">
              <w:rPr>
                <w:rFonts w:eastAsia="Times New Roman" w:cstheme="minorHAnsi"/>
                <w:color w:val="000000"/>
                <w:sz w:val="24"/>
                <w:szCs w:val="24"/>
                <w:lang w:eastAsia="en-NZ"/>
              </w:rPr>
              <w:t> </w:t>
            </w:r>
          </w:p>
        </w:tc>
        <w:tc>
          <w:tcPr>
            <w:tcW w:w="1740" w:type="dxa"/>
            <w:tcBorders>
              <w:top w:val="nil"/>
              <w:left w:val="nil"/>
              <w:bottom w:val="nil"/>
              <w:right w:val="nil"/>
            </w:tcBorders>
            <w:shd w:val="clear" w:color="000000" w:fill="EEECE1"/>
            <w:noWrap/>
            <w:vAlign w:val="bottom"/>
            <w:hideMark/>
          </w:tcPr>
          <w:p w:rsidR="000C1C4E" w:rsidRPr="000C1C4E" w:rsidRDefault="000C1C4E" w:rsidP="00B237AB">
            <w:pPr>
              <w:spacing w:after="0" w:line="240" w:lineRule="auto"/>
              <w:rPr>
                <w:rFonts w:eastAsia="Times New Roman" w:cstheme="minorHAnsi"/>
                <w:color w:val="000000"/>
                <w:sz w:val="24"/>
                <w:szCs w:val="24"/>
                <w:lang w:eastAsia="en-NZ"/>
              </w:rPr>
            </w:pPr>
            <w:r w:rsidRPr="000C1C4E">
              <w:rPr>
                <w:rFonts w:eastAsia="Times New Roman" w:cstheme="minorHAnsi"/>
                <w:color w:val="000000"/>
                <w:sz w:val="24"/>
                <w:szCs w:val="24"/>
                <w:lang w:eastAsia="en-NZ"/>
              </w:rPr>
              <w:t> </w:t>
            </w:r>
          </w:p>
        </w:tc>
        <w:tc>
          <w:tcPr>
            <w:tcW w:w="1662" w:type="dxa"/>
            <w:tcBorders>
              <w:top w:val="nil"/>
              <w:left w:val="nil"/>
              <w:bottom w:val="nil"/>
              <w:right w:val="nil"/>
            </w:tcBorders>
            <w:shd w:val="clear" w:color="000000" w:fill="FFFFFF"/>
            <w:noWrap/>
            <w:vAlign w:val="bottom"/>
            <w:hideMark/>
          </w:tcPr>
          <w:p w:rsidR="000C1C4E" w:rsidRPr="000C1C4E" w:rsidRDefault="000C1C4E" w:rsidP="00B237AB">
            <w:pPr>
              <w:spacing w:after="0" w:line="240" w:lineRule="auto"/>
              <w:rPr>
                <w:rFonts w:eastAsia="Times New Roman" w:cstheme="minorHAnsi"/>
                <w:color w:val="000000"/>
                <w:sz w:val="24"/>
                <w:szCs w:val="24"/>
                <w:lang w:eastAsia="en-NZ"/>
              </w:rPr>
            </w:pPr>
            <w:r w:rsidRPr="000C1C4E">
              <w:rPr>
                <w:rFonts w:eastAsia="Times New Roman" w:cstheme="minorHAnsi"/>
                <w:color w:val="000000"/>
                <w:sz w:val="24"/>
                <w:szCs w:val="24"/>
                <w:lang w:eastAsia="en-NZ"/>
              </w:rPr>
              <w:t> </w:t>
            </w:r>
          </w:p>
        </w:tc>
        <w:tc>
          <w:tcPr>
            <w:tcW w:w="1985" w:type="dxa"/>
            <w:tcBorders>
              <w:top w:val="nil"/>
              <w:left w:val="nil"/>
              <w:bottom w:val="nil"/>
              <w:right w:val="nil"/>
            </w:tcBorders>
            <w:shd w:val="clear" w:color="000000" w:fill="FFFFFF"/>
            <w:noWrap/>
            <w:vAlign w:val="bottom"/>
            <w:hideMark/>
          </w:tcPr>
          <w:p w:rsidR="000C1C4E" w:rsidRPr="000C1C4E" w:rsidRDefault="000C1C4E" w:rsidP="00B237AB">
            <w:pPr>
              <w:spacing w:after="0" w:line="240" w:lineRule="auto"/>
              <w:rPr>
                <w:rFonts w:eastAsia="Times New Roman" w:cstheme="minorHAnsi"/>
                <w:color w:val="000000"/>
                <w:sz w:val="24"/>
                <w:szCs w:val="24"/>
                <w:lang w:eastAsia="en-NZ"/>
              </w:rPr>
            </w:pPr>
            <w:r w:rsidRPr="000C1C4E">
              <w:rPr>
                <w:rFonts w:eastAsia="Times New Roman" w:cstheme="minorHAnsi"/>
                <w:color w:val="000000"/>
                <w:sz w:val="24"/>
                <w:szCs w:val="24"/>
                <w:lang w:eastAsia="en-NZ"/>
              </w:rPr>
              <w:t> </w:t>
            </w:r>
          </w:p>
        </w:tc>
      </w:tr>
      <w:tr w:rsidR="000C1C4E" w:rsidRPr="000C1C4E" w:rsidTr="00B237AB">
        <w:trPr>
          <w:trHeight w:val="615"/>
        </w:trPr>
        <w:tc>
          <w:tcPr>
            <w:tcW w:w="4246" w:type="dxa"/>
            <w:tcBorders>
              <w:top w:val="nil"/>
              <w:left w:val="nil"/>
              <w:bottom w:val="nil"/>
              <w:right w:val="nil"/>
            </w:tcBorders>
            <w:shd w:val="clear" w:color="000000" w:fill="FFFFFF"/>
            <w:vAlign w:val="center"/>
            <w:hideMark/>
          </w:tcPr>
          <w:p w:rsidR="000C1C4E" w:rsidRPr="000C1C4E" w:rsidRDefault="000C1C4E" w:rsidP="000C1C4E">
            <w:pPr>
              <w:spacing w:after="0" w:line="240" w:lineRule="auto"/>
              <w:ind w:firstLineChars="100" w:firstLine="240"/>
              <w:rPr>
                <w:rFonts w:eastAsia="Times New Roman" w:cstheme="minorHAnsi"/>
                <w:color w:val="595959"/>
                <w:sz w:val="24"/>
                <w:szCs w:val="24"/>
                <w:lang w:eastAsia="en-NZ"/>
              </w:rPr>
            </w:pPr>
            <w:r w:rsidRPr="000C1C4E">
              <w:rPr>
                <w:rFonts w:eastAsia="Times New Roman" w:cstheme="minorHAnsi"/>
                <w:color w:val="595959"/>
                <w:sz w:val="24"/>
                <w:szCs w:val="24"/>
                <w:lang w:eastAsia="en-NZ"/>
              </w:rPr>
              <w:t>Net interest margin (%)</w:t>
            </w:r>
          </w:p>
        </w:tc>
        <w:tc>
          <w:tcPr>
            <w:tcW w:w="1740" w:type="dxa"/>
            <w:tcBorders>
              <w:top w:val="nil"/>
              <w:left w:val="nil"/>
              <w:bottom w:val="nil"/>
              <w:right w:val="nil"/>
            </w:tcBorders>
            <w:shd w:val="clear" w:color="000000" w:fill="EEECE1"/>
            <w:vAlign w:val="center"/>
            <w:hideMark/>
          </w:tcPr>
          <w:p w:rsidR="000C1C4E" w:rsidRPr="000C1C4E" w:rsidRDefault="000C1C4E" w:rsidP="00B237AB">
            <w:pPr>
              <w:spacing w:after="0" w:line="240" w:lineRule="auto"/>
              <w:jc w:val="center"/>
              <w:rPr>
                <w:rFonts w:eastAsia="Times New Roman" w:cstheme="minorHAnsi"/>
                <w:color w:val="595959"/>
                <w:sz w:val="24"/>
                <w:szCs w:val="24"/>
                <w:lang w:eastAsia="en-NZ"/>
              </w:rPr>
            </w:pPr>
            <w:r w:rsidRPr="000C1C4E">
              <w:rPr>
                <w:rFonts w:eastAsia="Times New Roman" w:cstheme="minorHAnsi"/>
                <w:color w:val="595959"/>
                <w:sz w:val="24"/>
                <w:szCs w:val="24"/>
                <w:lang w:eastAsia="en-NZ"/>
              </w:rPr>
              <w:t>2.13%</w:t>
            </w:r>
          </w:p>
        </w:tc>
        <w:tc>
          <w:tcPr>
            <w:tcW w:w="1662" w:type="dxa"/>
            <w:tcBorders>
              <w:top w:val="nil"/>
              <w:left w:val="nil"/>
              <w:bottom w:val="nil"/>
              <w:right w:val="nil"/>
            </w:tcBorders>
            <w:shd w:val="clear" w:color="000000" w:fill="FFFFFF"/>
            <w:noWrap/>
            <w:vAlign w:val="center"/>
            <w:hideMark/>
          </w:tcPr>
          <w:p w:rsidR="000C1C4E" w:rsidRPr="000C1C4E" w:rsidRDefault="000C1C4E" w:rsidP="00B237AB">
            <w:pPr>
              <w:spacing w:after="0" w:line="240" w:lineRule="auto"/>
              <w:jc w:val="center"/>
              <w:rPr>
                <w:rFonts w:eastAsia="Times New Roman" w:cstheme="minorHAnsi"/>
                <w:i/>
                <w:iCs/>
                <w:color w:val="FF0000"/>
                <w:sz w:val="24"/>
                <w:szCs w:val="24"/>
                <w:lang w:eastAsia="en-NZ"/>
              </w:rPr>
            </w:pPr>
            <w:r w:rsidRPr="000C1C4E">
              <w:rPr>
                <w:rFonts w:eastAsia="Times New Roman" w:cstheme="minorHAnsi"/>
                <w:i/>
                <w:iCs/>
                <w:color w:val="FF0000"/>
                <w:sz w:val="24"/>
                <w:szCs w:val="24"/>
                <w:lang w:eastAsia="en-NZ"/>
              </w:rPr>
              <w:t>(12bps)</w:t>
            </w:r>
          </w:p>
        </w:tc>
        <w:tc>
          <w:tcPr>
            <w:tcW w:w="1985" w:type="dxa"/>
            <w:tcBorders>
              <w:top w:val="nil"/>
              <w:left w:val="nil"/>
              <w:bottom w:val="nil"/>
              <w:right w:val="nil"/>
            </w:tcBorders>
            <w:shd w:val="clear" w:color="000000" w:fill="FFFFFF"/>
            <w:noWrap/>
            <w:vAlign w:val="center"/>
            <w:hideMark/>
          </w:tcPr>
          <w:p w:rsidR="000C1C4E" w:rsidRPr="000C1C4E" w:rsidRDefault="000C1C4E" w:rsidP="00B237AB">
            <w:pPr>
              <w:spacing w:after="0" w:line="240" w:lineRule="auto"/>
              <w:jc w:val="center"/>
              <w:rPr>
                <w:rFonts w:eastAsia="Times New Roman" w:cstheme="minorHAnsi"/>
                <w:i/>
                <w:iCs/>
                <w:color w:val="FF0000"/>
                <w:sz w:val="24"/>
                <w:szCs w:val="24"/>
                <w:lang w:eastAsia="en-NZ"/>
              </w:rPr>
            </w:pPr>
            <w:r w:rsidRPr="000C1C4E">
              <w:rPr>
                <w:rFonts w:eastAsia="Times New Roman" w:cstheme="minorHAnsi"/>
                <w:i/>
                <w:iCs/>
                <w:color w:val="FF0000"/>
                <w:sz w:val="24"/>
                <w:szCs w:val="24"/>
                <w:lang w:eastAsia="en-NZ"/>
              </w:rPr>
              <w:t>(4bps)</w:t>
            </w:r>
          </w:p>
        </w:tc>
      </w:tr>
    </w:tbl>
    <w:p w:rsidR="000C1C4E" w:rsidRPr="000C1C4E" w:rsidRDefault="000C1C4E" w:rsidP="000C1C4E">
      <w:pPr>
        <w:pStyle w:val="NoSpacing"/>
        <w:rPr>
          <w:rFonts w:cstheme="minorHAnsi"/>
          <w:b/>
          <w:bCs/>
          <w:sz w:val="24"/>
          <w:szCs w:val="24"/>
        </w:rPr>
      </w:pPr>
    </w:p>
    <w:tbl>
      <w:tblPr>
        <w:tblW w:w="9633" w:type="dxa"/>
        <w:tblInd w:w="-27" w:type="dxa"/>
        <w:tblLook w:val="04A0" w:firstRow="1" w:lastRow="0" w:firstColumn="1" w:lastColumn="0" w:noHBand="0" w:noVBand="1"/>
      </w:tblPr>
      <w:tblGrid>
        <w:gridCol w:w="4246"/>
        <w:gridCol w:w="1701"/>
        <w:gridCol w:w="1559"/>
        <w:gridCol w:w="2127"/>
      </w:tblGrid>
      <w:tr w:rsidR="000C1C4E" w:rsidRPr="000C1C4E" w:rsidTr="00B237AB">
        <w:trPr>
          <w:trHeight w:val="915"/>
        </w:trPr>
        <w:tc>
          <w:tcPr>
            <w:tcW w:w="4246" w:type="dxa"/>
            <w:tcBorders>
              <w:top w:val="nil"/>
              <w:left w:val="nil"/>
              <w:bottom w:val="nil"/>
              <w:right w:val="nil"/>
            </w:tcBorders>
            <w:shd w:val="clear" w:color="000000" w:fill="808080"/>
            <w:vAlign w:val="center"/>
            <w:hideMark/>
          </w:tcPr>
          <w:p w:rsidR="000C1C4E" w:rsidRPr="000C1C4E" w:rsidRDefault="000C1C4E" w:rsidP="000C1C4E">
            <w:pPr>
              <w:spacing w:after="0" w:line="240" w:lineRule="auto"/>
              <w:ind w:firstLineChars="100" w:firstLine="241"/>
              <w:rPr>
                <w:rFonts w:eastAsia="Times New Roman" w:cstheme="minorHAnsi"/>
                <w:b/>
                <w:bCs/>
                <w:color w:val="FFFFFF"/>
                <w:sz w:val="24"/>
                <w:szCs w:val="24"/>
                <w:lang w:eastAsia="en-NZ"/>
              </w:rPr>
            </w:pPr>
            <w:r w:rsidRPr="000C1C4E">
              <w:rPr>
                <w:rFonts w:eastAsia="Times New Roman" w:cstheme="minorHAnsi"/>
                <w:b/>
                <w:bCs/>
                <w:color w:val="FFFFFF"/>
                <w:sz w:val="24"/>
                <w:szCs w:val="24"/>
                <w:lang w:eastAsia="en-NZ"/>
              </w:rPr>
              <w:t>Summary Balance Sheet ($b)</w:t>
            </w:r>
          </w:p>
        </w:tc>
        <w:tc>
          <w:tcPr>
            <w:tcW w:w="1701" w:type="dxa"/>
            <w:tcBorders>
              <w:top w:val="nil"/>
              <w:left w:val="nil"/>
              <w:bottom w:val="nil"/>
              <w:right w:val="nil"/>
            </w:tcBorders>
            <w:shd w:val="clear" w:color="000000" w:fill="808080"/>
            <w:vAlign w:val="center"/>
            <w:hideMark/>
          </w:tcPr>
          <w:p w:rsidR="000C1C4E" w:rsidRPr="000C1C4E" w:rsidRDefault="000C1C4E" w:rsidP="00B237AB">
            <w:pPr>
              <w:spacing w:after="0" w:line="240" w:lineRule="auto"/>
              <w:jc w:val="center"/>
              <w:rPr>
                <w:rFonts w:eastAsia="Times New Roman" w:cstheme="minorHAnsi"/>
                <w:b/>
                <w:bCs/>
                <w:color w:val="FFFFFF"/>
                <w:sz w:val="24"/>
                <w:szCs w:val="24"/>
                <w:lang w:eastAsia="en-NZ"/>
              </w:rPr>
            </w:pPr>
            <w:r w:rsidRPr="000C1C4E">
              <w:rPr>
                <w:rFonts w:eastAsia="Times New Roman" w:cstheme="minorHAnsi"/>
                <w:b/>
                <w:bCs/>
                <w:color w:val="FFFFFF"/>
                <w:sz w:val="24"/>
                <w:szCs w:val="24"/>
                <w:lang w:eastAsia="en-NZ"/>
              </w:rPr>
              <w:t>FY16</w:t>
            </w:r>
          </w:p>
        </w:tc>
        <w:tc>
          <w:tcPr>
            <w:tcW w:w="1559" w:type="dxa"/>
            <w:tcBorders>
              <w:top w:val="nil"/>
              <w:left w:val="nil"/>
              <w:bottom w:val="nil"/>
              <w:right w:val="nil"/>
            </w:tcBorders>
            <w:shd w:val="clear" w:color="000000" w:fill="808080"/>
            <w:vAlign w:val="center"/>
            <w:hideMark/>
          </w:tcPr>
          <w:p w:rsidR="000C1C4E" w:rsidRPr="000C1C4E" w:rsidRDefault="000C1C4E" w:rsidP="00B237AB">
            <w:pPr>
              <w:spacing w:after="0" w:line="240" w:lineRule="auto"/>
              <w:jc w:val="center"/>
              <w:rPr>
                <w:rFonts w:eastAsia="Times New Roman" w:cstheme="minorHAnsi"/>
                <w:b/>
                <w:bCs/>
                <w:color w:val="FFFFFF"/>
                <w:sz w:val="24"/>
                <w:szCs w:val="24"/>
                <w:lang w:eastAsia="en-NZ"/>
              </w:rPr>
            </w:pPr>
            <w:r w:rsidRPr="000C1C4E">
              <w:rPr>
                <w:rFonts w:eastAsia="Times New Roman" w:cstheme="minorHAnsi"/>
                <w:b/>
                <w:bCs/>
                <w:color w:val="FFFFFF"/>
                <w:sz w:val="24"/>
                <w:szCs w:val="24"/>
                <w:lang w:eastAsia="en-NZ"/>
              </w:rPr>
              <w:t xml:space="preserve">Change </w:t>
            </w:r>
            <w:r w:rsidRPr="000C1C4E">
              <w:rPr>
                <w:rFonts w:eastAsia="Times New Roman" w:cstheme="minorHAnsi"/>
                <w:b/>
                <w:bCs/>
                <w:color w:val="FFFFFF"/>
                <w:sz w:val="24"/>
                <w:szCs w:val="24"/>
                <w:lang w:eastAsia="en-NZ"/>
              </w:rPr>
              <w:br/>
              <w:t>FY16 - FY15</w:t>
            </w:r>
          </w:p>
        </w:tc>
        <w:tc>
          <w:tcPr>
            <w:tcW w:w="2127" w:type="dxa"/>
            <w:tcBorders>
              <w:top w:val="nil"/>
              <w:left w:val="nil"/>
              <w:bottom w:val="nil"/>
              <w:right w:val="nil"/>
            </w:tcBorders>
            <w:shd w:val="clear" w:color="000000" w:fill="808080"/>
            <w:vAlign w:val="center"/>
            <w:hideMark/>
          </w:tcPr>
          <w:p w:rsidR="000C1C4E" w:rsidRPr="000C1C4E" w:rsidRDefault="000C1C4E" w:rsidP="00B237AB">
            <w:pPr>
              <w:spacing w:after="0" w:line="240" w:lineRule="auto"/>
              <w:jc w:val="center"/>
              <w:rPr>
                <w:rFonts w:eastAsia="Times New Roman" w:cstheme="minorHAnsi"/>
                <w:b/>
                <w:bCs/>
                <w:color w:val="FFFFFF"/>
                <w:sz w:val="24"/>
                <w:szCs w:val="24"/>
                <w:lang w:eastAsia="en-NZ"/>
              </w:rPr>
            </w:pPr>
            <w:r w:rsidRPr="000C1C4E">
              <w:rPr>
                <w:rFonts w:eastAsia="Times New Roman" w:cstheme="minorHAnsi"/>
                <w:b/>
                <w:bCs/>
                <w:color w:val="FFFFFF"/>
                <w:sz w:val="24"/>
                <w:szCs w:val="24"/>
                <w:lang w:eastAsia="en-NZ"/>
              </w:rPr>
              <w:t xml:space="preserve">Change </w:t>
            </w:r>
            <w:r w:rsidRPr="000C1C4E">
              <w:rPr>
                <w:rFonts w:eastAsia="Times New Roman" w:cstheme="minorHAnsi"/>
                <w:b/>
                <w:bCs/>
                <w:color w:val="FFFFFF"/>
                <w:sz w:val="24"/>
                <w:szCs w:val="24"/>
                <w:lang w:eastAsia="en-NZ"/>
              </w:rPr>
              <w:br/>
              <w:t>2H16 - 1H16</w:t>
            </w:r>
          </w:p>
        </w:tc>
      </w:tr>
      <w:tr w:rsidR="000C1C4E" w:rsidRPr="000C1C4E" w:rsidTr="00B237AB">
        <w:trPr>
          <w:trHeight w:val="162"/>
        </w:trPr>
        <w:tc>
          <w:tcPr>
            <w:tcW w:w="4246" w:type="dxa"/>
            <w:tcBorders>
              <w:top w:val="nil"/>
              <w:left w:val="nil"/>
              <w:bottom w:val="nil"/>
              <w:right w:val="nil"/>
            </w:tcBorders>
            <w:shd w:val="clear" w:color="000000" w:fill="FFFFFF"/>
            <w:vAlign w:val="center"/>
            <w:hideMark/>
          </w:tcPr>
          <w:p w:rsidR="000C1C4E" w:rsidRPr="000C1C4E" w:rsidRDefault="000C1C4E" w:rsidP="000C1C4E">
            <w:pPr>
              <w:spacing w:after="0" w:line="240" w:lineRule="auto"/>
              <w:ind w:firstLineChars="100" w:firstLine="240"/>
              <w:rPr>
                <w:rFonts w:eastAsia="Times New Roman" w:cstheme="minorHAnsi"/>
                <w:color w:val="595959"/>
                <w:sz w:val="24"/>
                <w:szCs w:val="24"/>
                <w:lang w:eastAsia="en-NZ"/>
              </w:rPr>
            </w:pPr>
            <w:r w:rsidRPr="000C1C4E">
              <w:rPr>
                <w:rFonts w:eastAsia="Times New Roman" w:cstheme="minorHAnsi"/>
                <w:color w:val="595959"/>
                <w:sz w:val="24"/>
                <w:szCs w:val="24"/>
                <w:lang w:eastAsia="en-NZ"/>
              </w:rPr>
              <w:t> </w:t>
            </w:r>
          </w:p>
        </w:tc>
        <w:tc>
          <w:tcPr>
            <w:tcW w:w="1701" w:type="dxa"/>
            <w:tcBorders>
              <w:top w:val="nil"/>
              <w:left w:val="nil"/>
              <w:bottom w:val="nil"/>
              <w:right w:val="nil"/>
            </w:tcBorders>
            <w:shd w:val="clear" w:color="000000" w:fill="EEECE1"/>
            <w:vAlign w:val="center"/>
            <w:hideMark/>
          </w:tcPr>
          <w:p w:rsidR="000C1C4E" w:rsidRPr="000C1C4E" w:rsidRDefault="000C1C4E" w:rsidP="00B237AB">
            <w:pPr>
              <w:spacing w:after="0" w:line="240" w:lineRule="auto"/>
              <w:jc w:val="center"/>
              <w:rPr>
                <w:rFonts w:eastAsia="Times New Roman" w:cstheme="minorHAnsi"/>
                <w:color w:val="595959"/>
                <w:sz w:val="24"/>
                <w:szCs w:val="24"/>
                <w:lang w:eastAsia="en-NZ"/>
              </w:rPr>
            </w:pPr>
            <w:r w:rsidRPr="000C1C4E">
              <w:rPr>
                <w:rFonts w:eastAsia="Times New Roman" w:cstheme="minorHAnsi"/>
                <w:color w:val="595959"/>
                <w:sz w:val="24"/>
                <w:szCs w:val="24"/>
                <w:lang w:eastAsia="en-NZ"/>
              </w:rPr>
              <w:t> </w:t>
            </w:r>
          </w:p>
        </w:tc>
        <w:tc>
          <w:tcPr>
            <w:tcW w:w="1559" w:type="dxa"/>
            <w:tcBorders>
              <w:top w:val="nil"/>
              <w:left w:val="nil"/>
              <w:bottom w:val="nil"/>
              <w:right w:val="nil"/>
            </w:tcBorders>
            <w:shd w:val="clear" w:color="000000" w:fill="FFFFFF"/>
            <w:vAlign w:val="center"/>
            <w:hideMark/>
          </w:tcPr>
          <w:p w:rsidR="000C1C4E" w:rsidRPr="000C1C4E" w:rsidRDefault="000C1C4E" w:rsidP="00B237AB">
            <w:pPr>
              <w:spacing w:after="0" w:line="240" w:lineRule="auto"/>
              <w:jc w:val="center"/>
              <w:rPr>
                <w:rFonts w:eastAsia="Times New Roman" w:cstheme="minorHAnsi"/>
                <w:color w:val="595959"/>
                <w:sz w:val="24"/>
                <w:szCs w:val="24"/>
                <w:lang w:eastAsia="en-NZ"/>
              </w:rPr>
            </w:pPr>
            <w:r w:rsidRPr="000C1C4E">
              <w:rPr>
                <w:rFonts w:eastAsia="Times New Roman" w:cstheme="minorHAnsi"/>
                <w:color w:val="595959"/>
                <w:sz w:val="24"/>
                <w:szCs w:val="24"/>
                <w:lang w:eastAsia="en-NZ"/>
              </w:rPr>
              <w:t> </w:t>
            </w:r>
          </w:p>
        </w:tc>
        <w:tc>
          <w:tcPr>
            <w:tcW w:w="2127" w:type="dxa"/>
            <w:tcBorders>
              <w:top w:val="nil"/>
              <w:left w:val="nil"/>
              <w:bottom w:val="nil"/>
              <w:right w:val="nil"/>
            </w:tcBorders>
            <w:shd w:val="clear" w:color="000000" w:fill="FFFFFF"/>
            <w:vAlign w:val="center"/>
            <w:hideMark/>
          </w:tcPr>
          <w:p w:rsidR="000C1C4E" w:rsidRPr="000C1C4E" w:rsidRDefault="000C1C4E" w:rsidP="00B237AB">
            <w:pPr>
              <w:spacing w:after="0" w:line="240" w:lineRule="auto"/>
              <w:jc w:val="center"/>
              <w:rPr>
                <w:rFonts w:eastAsia="Times New Roman" w:cstheme="minorHAnsi"/>
                <w:color w:val="595959"/>
                <w:sz w:val="24"/>
                <w:szCs w:val="24"/>
                <w:lang w:eastAsia="en-NZ"/>
              </w:rPr>
            </w:pPr>
            <w:r w:rsidRPr="000C1C4E">
              <w:rPr>
                <w:rFonts w:eastAsia="Times New Roman" w:cstheme="minorHAnsi"/>
                <w:color w:val="595959"/>
                <w:sz w:val="24"/>
                <w:szCs w:val="24"/>
                <w:lang w:eastAsia="en-NZ"/>
              </w:rPr>
              <w:t> </w:t>
            </w:r>
          </w:p>
        </w:tc>
      </w:tr>
      <w:tr w:rsidR="000C1C4E" w:rsidRPr="000C1C4E" w:rsidTr="00B237AB">
        <w:trPr>
          <w:trHeight w:val="480"/>
        </w:trPr>
        <w:tc>
          <w:tcPr>
            <w:tcW w:w="4246" w:type="dxa"/>
            <w:tcBorders>
              <w:top w:val="nil"/>
              <w:left w:val="nil"/>
              <w:bottom w:val="nil"/>
              <w:right w:val="nil"/>
            </w:tcBorders>
            <w:shd w:val="clear" w:color="000000" w:fill="FFFFFF"/>
            <w:vAlign w:val="center"/>
            <w:hideMark/>
          </w:tcPr>
          <w:p w:rsidR="000C1C4E" w:rsidRPr="000C1C4E" w:rsidRDefault="000C1C4E" w:rsidP="000C1C4E">
            <w:pPr>
              <w:spacing w:after="0" w:line="240" w:lineRule="auto"/>
              <w:ind w:firstLineChars="100" w:firstLine="241"/>
              <w:rPr>
                <w:rFonts w:eastAsia="Times New Roman" w:cstheme="minorHAnsi"/>
                <w:b/>
                <w:bCs/>
                <w:color w:val="595959"/>
                <w:sz w:val="24"/>
                <w:szCs w:val="24"/>
                <w:lang w:eastAsia="en-NZ"/>
              </w:rPr>
            </w:pPr>
            <w:r w:rsidRPr="000C1C4E">
              <w:rPr>
                <w:rFonts w:eastAsia="Times New Roman" w:cstheme="minorHAnsi"/>
                <w:b/>
                <w:bCs/>
                <w:color w:val="595959"/>
                <w:sz w:val="24"/>
                <w:szCs w:val="24"/>
                <w:lang w:eastAsia="en-NZ"/>
              </w:rPr>
              <w:t>Total deposits</w:t>
            </w:r>
          </w:p>
        </w:tc>
        <w:tc>
          <w:tcPr>
            <w:tcW w:w="1701" w:type="dxa"/>
            <w:tcBorders>
              <w:top w:val="nil"/>
              <w:left w:val="nil"/>
              <w:bottom w:val="nil"/>
              <w:right w:val="nil"/>
            </w:tcBorders>
            <w:shd w:val="clear" w:color="000000" w:fill="EEECE1"/>
            <w:vAlign w:val="center"/>
            <w:hideMark/>
          </w:tcPr>
          <w:p w:rsidR="000C1C4E" w:rsidRPr="000C1C4E" w:rsidRDefault="000C1C4E" w:rsidP="00B237AB">
            <w:pPr>
              <w:spacing w:after="0" w:line="240" w:lineRule="auto"/>
              <w:jc w:val="center"/>
              <w:rPr>
                <w:rFonts w:eastAsia="Times New Roman" w:cstheme="minorHAnsi"/>
                <w:b/>
                <w:bCs/>
                <w:color w:val="595959"/>
                <w:sz w:val="24"/>
                <w:szCs w:val="24"/>
                <w:lang w:eastAsia="en-NZ"/>
              </w:rPr>
            </w:pPr>
            <w:r w:rsidRPr="000C1C4E">
              <w:rPr>
                <w:rFonts w:eastAsia="Times New Roman" w:cstheme="minorHAnsi"/>
                <w:b/>
                <w:bCs/>
                <w:color w:val="595959"/>
                <w:sz w:val="24"/>
                <w:szCs w:val="24"/>
                <w:lang w:eastAsia="en-NZ"/>
              </w:rPr>
              <w:t>57.5</w:t>
            </w:r>
          </w:p>
        </w:tc>
        <w:tc>
          <w:tcPr>
            <w:tcW w:w="1559" w:type="dxa"/>
            <w:tcBorders>
              <w:top w:val="nil"/>
              <w:left w:val="nil"/>
              <w:bottom w:val="nil"/>
              <w:right w:val="nil"/>
            </w:tcBorders>
            <w:shd w:val="clear" w:color="000000" w:fill="FFFFFF"/>
            <w:vAlign w:val="center"/>
            <w:hideMark/>
          </w:tcPr>
          <w:p w:rsidR="000C1C4E" w:rsidRPr="000C1C4E" w:rsidRDefault="000C1C4E" w:rsidP="00B237AB">
            <w:pPr>
              <w:spacing w:after="0" w:line="240" w:lineRule="auto"/>
              <w:jc w:val="center"/>
              <w:rPr>
                <w:rFonts w:eastAsia="Times New Roman" w:cstheme="minorHAnsi"/>
                <w:b/>
                <w:bCs/>
                <w:i/>
                <w:iCs/>
                <w:color w:val="00B050"/>
                <w:sz w:val="24"/>
                <w:szCs w:val="24"/>
                <w:lang w:eastAsia="en-NZ"/>
              </w:rPr>
            </w:pPr>
            <w:r w:rsidRPr="000C1C4E">
              <w:rPr>
                <w:rFonts w:eastAsia="Times New Roman" w:cstheme="minorHAnsi"/>
                <w:b/>
                <w:bCs/>
                <w:i/>
                <w:iCs/>
                <w:color w:val="00B050"/>
                <w:sz w:val="24"/>
                <w:szCs w:val="24"/>
                <w:lang w:eastAsia="en-NZ"/>
              </w:rPr>
              <w:t>11%</w:t>
            </w:r>
          </w:p>
        </w:tc>
        <w:tc>
          <w:tcPr>
            <w:tcW w:w="2127" w:type="dxa"/>
            <w:tcBorders>
              <w:top w:val="nil"/>
              <w:left w:val="nil"/>
              <w:bottom w:val="nil"/>
              <w:right w:val="nil"/>
            </w:tcBorders>
            <w:shd w:val="clear" w:color="000000" w:fill="FFFFFF"/>
            <w:vAlign w:val="center"/>
            <w:hideMark/>
          </w:tcPr>
          <w:p w:rsidR="000C1C4E" w:rsidRPr="000C1C4E" w:rsidRDefault="0013264B" w:rsidP="00B237AB">
            <w:pPr>
              <w:spacing w:after="0" w:line="240" w:lineRule="auto"/>
              <w:jc w:val="center"/>
              <w:rPr>
                <w:rFonts w:eastAsia="Times New Roman" w:cstheme="minorHAnsi"/>
                <w:b/>
                <w:bCs/>
                <w:i/>
                <w:iCs/>
                <w:color w:val="00B050"/>
                <w:sz w:val="24"/>
                <w:szCs w:val="24"/>
                <w:lang w:eastAsia="en-NZ"/>
              </w:rPr>
            </w:pPr>
            <w:r>
              <w:rPr>
                <w:rFonts w:eastAsia="Times New Roman" w:cstheme="minorHAnsi"/>
                <w:b/>
                <w:bCs/>
                <w:i/>
                <w:iCs/>
                <w:color w:val="00B050"/>
                <w:sz w:val="24"/>
                <w:szCs w:val="24"/>
                <w:lang w:eastAsia="en-NZ"/>
              </w:rPr>
              <w:t>5</w:t>
            </w:r>
            <w:r w:rsidR="000C1C4E" w:rsidRPr="000C1C4E">
              <w:rPr>
                <w:rFonts w:eastAsia="Times New Roman" w:cstheme="minorHAnsi"/>
                <w:b/>
                <w:bCs/>
                <w:i/>
                <w:iCs/>
                <w:color w:val="00B050"/>
                <w:sz w:val="24"/>
                <w:szCs w:val="24"/>
                <w:lang w:eastAsia="en-NZ"/>
              </w:rPr>
              <w:t>%</w:t>
            </w:r>
          </w:p>
        </w:tc>
      </w:tr>
      <w:tr w:rsidR="000C1C4E" w:rsidRPr="000C1C4E" w:rsidTr="00B237AB">
        <w:trPr>
          <w:trHeight w:val="225"/>
        </w:trPr>
        <w:tc>
          <w:tcPr>
            <w:tcW w:w="4246" w:type="dxa"/>
            <w:tcBorders>
              <w:top w:val="nil"/>
              <w:left w:val="nil"/>
              <w:bottom w:val="nil"/>
              <w:right w:val="nil"/>
            </w:tcBorders>
            <w:shd w:val="clear" w:color="000000" w:fill="FFFFFF"/>
            <w:vAlign w:val="center"/>
            <w:hideMark/>
          </w:tcPr>
          <w:p w:rsidR="000C1C4E" w:rsidRPr="000C1C4E" w:rsidRDefault="000C1C4E" w:rsidP="000C1C4E">
            <w:pPr>
              <w:spacing w:after="0" w:line="240" w:lineRule="auto"/>
              <w:ind w:firstLineChars="100" w:firstLine="240"/>
              <w:rPr>
                <w:rFonts w:eastAsia="Times New Roman" w:cstheme="minorHAnsi"/>
                <w:color w:val="595959"/>
                <w:sz w:val="24"/>
                <w:szCs w:val="24"/>
                <w:lang w:eastAsia="en-NZ"/>
              </w:rPr>
            </w:pPr>
            <w:r w:rsidRPr="000C1C4E">
              <w:rPr>
                <w:rFonts w:eastAsia="Times New Roman" w:cstheme="minorHAnsi"/>
                <w:color w:val="595959"/>
                <w:sz w:val="24"/>
                <w:szCs w:val="24"/>
                <w:lang w:eastAsia="en-NZ"/>
              </w:rPr>
              <w:t> </w:t>
            </w:r>
          </w:p>
        </w:tc>
        <w:tc>
          <w:tcPr>
            <w:tcW w:w="1701" w:type="dxa"/>
            <w:tcBorders>
              <w:top w:val="nil"/>
              <w:left w:val="nil"/>
              <w:bottom w:val="nil"/>
              <w:right w:val="nil"/>
            </w:tcBorders>
            <w:shd w:val="clear" w:color="000000" w:fill="EEECE1"/>
            <w:vAlign w:val="center"/>
            <w:hideMark/>
          </w:tcPr>
          <w:p w:rsidR="000C1C4E" w:rsidRPr="000C1C4E" w:rsidRDefault="000C1C4E" w:rsidP="00B237AB">
            <w:pPr>
              <w:spacing w:after="0" w:line="240" w:lineRule="auto"/>
              <w:jc w:val="center"/>
              <w:rPr>
                <w:rFonts w:eastAsia="Times New Roman" w:cstheme="minorHAnsi"/>
                <w:color w:val="595959"/>
                <w:sz w:val="24"/>
                <w:szCs w:val="24"/>
                <w:lang w:eastAsia="en-NZ"/>
              </w:rPr>
            </w:pPr>
            <w:r w:rsidRPr="000C1C4E">
              <w:rPr>
                <w:rFonts w:eastAsia="Times New Roman" w:cstheme="minorHAnsi"/>
                <w:color w:val="595959"/>
                <w:sz w:val="24"/>
                <w:szCs w:val="24"/>
                <w:lang w:eastAsia="en-NZ"/>
              </w:rPr>
              <w:t> </w:t>
            </w:r>
          </w:p>
        </w:tc>
        <w:tc>
          <w:tcPr>
            <w:tcW w:w="1559" w:type="dxa"/>
            <w:tcBorders>
              <w:top w:val="nil"/>
              <w:left w:val="nil"/>
              <w:bottom w:val="nil"/>
              <w:right w:val="nil"/>
            </w:tcBorders>
            <w:shd w:val="clear" w:color="000000" w:fill="FFFFFF"/>
            <w:vAlign w:val="center"/>
            <w:hideMark/>
          </w:tcPr>
          <w:p w:rsidR="000C1C4E" w:rsidRPr="000C1C4E" w:rsidRDefault="000C1C4E" w:rsidP="00B237AB">
            <w:pPr>
              <w:spacing w:after="0" w:line="240" w:lineRule="auto"/>
              <w:jc w:val="center"/>
              <w:rPr>
                <w:rFonts w:eastAsia="Times New Roman" w:cstheme="minorHAnsi"/>
                <w:color w:val="595959"/>
                <w:sz w:val="24"/>
                <w:szCs w:val="24"/>
                <w:lang w:eastAsia="en-NZ"/>
              </w:rPr>
            </w:pPr>
            <w:r w:rsidRPr="000C1C4E">
              <w:rPr>
                <w:rFonts w:eastAsia="Times New Roman" w:cstheme="minorHAnsi"/>
                <w:color w:val="595959"/>
                <w:sz w:val="24"/>
                <w:szCs w:val="24"/>
                <w:lang w:eastAsia="en-NZ"/>
              </w:rPr>
              <w:t> </w:t>
            </w:r>
          </w:p>
        </w:tc>
        <w:tc>
          <w:tcPr>
            <w:tcW w:w="2127" w:type="dxa"/>
            <w:tcBorders>
              <w:top w:val="nil"/>
              <w:left w:val="nil"/>
              <w:bottom w:val="nil"/>
              <w:right w:val="nil"/>
            </w:tcBorders>
            <w:shd w:val="clear" w:color="000000" w:fill="FFFFFF"/>
            <w:vAlign w:val="center"/>
            <w:hideMark/>
          </w:tcPr>
          <w:p w:rsidR="000C1C4E" w:rsidRPr="000C1C4E" w:rsidRDefault="000C1C4E" w:rsidP="00B237AB">
            <w:pPr>
              <w:spacing w:after="0" w:line="240" w:lineRule="auto"/>
              <w:jc w:val="center"/>
              <w:rPr>
                <w:rFonts w:eastAsia="Times New Roman" w:cstheme="minorHAnsi"/>
                <w:b/>
                <w:bCs/>
                <w:color w:val="00B050"/>
                <w:sz w:val="24"/>
                <w:szCs w:val="24"/>
                <w:lang w:eastAsia="en-NZ"/>
              </w:rPr>
            </w:pPr>
            <w:r w:rsidRPr="000C1C4E">
              <w:rPr>
                <w:rFonts w:eastAsia="Times New Roman" w:cstheme="minorHAnsi"/>
                <w:b/>
                <w:bCs/>
                <w:color w:val="00B050"/>
                <w:sz w:val="24"/>
                <w:szCs w:val="24"/>
                <w:lang w:eastAsia="en-NZ"/>
              </w:rPr>
              <w:t> </w:t>
            </w:r>
          </w:p>
        </w:tc>
      </w:tr>
      <w:tr w:rsidR="000C1C4E" w:rsidRPr="000C1C4E" w:rsidTr="00B237AB">
        <w:trPr>
          <w:trHeight w:val="480"/>
        </w:trPr>
        <w:tc>
          <w:tcPr>
            <w:tcW w:w="4246" w:type="dxa"/>
            <w:tcBorders>
              <w:top w:val="nil"/>
              <w:left w:val="nil"/>
              <w:bottom w:val="nil"/>
              <w:right w:val="nil"/>
            </w:tcBorders>
            <w:shd w:val="clear" w:color="000000" w:fill="FFFFFF"/>
            <w:vAlign w:val="center"/>
            <w:hideMark/>
          </w:tcPr>
          <w:p w:rsidR="000C1C4E" w:rsidRPr="000C1C4E" w:rsidRDefault="000C1C4E" w:rsidP="000C1C4E">
            <w:pPr>
              <w:spacing w:after="0" w:line="240" w:lineRule="auto"/>
              <w:ind w:firstLineChars="100" w:firstLine="241"/>
              <w:rPr>
                <w:rFonts w:eastAsia="Times New Roman" w:cstheme="minorHAnsi"/>
                <w:b/>
                <w:bCs/>
                <w:color w:val="595959"/>
                <w:sz w:val="24"/>
                <w:szCs w:val="24"/>
                <w:lang w:eastAsia="en-NZ"/>
              </w:rPr>
            </w:pPr>
            <w:r w:rsidRPr="000C1C4E">
              <w:rPr>
                <w:rFonts w:eastAsia="Times New Roman" w:cstheme="minorHAnsi"/>
                <w:b/>
                <w:bCs/>
                <w:color w:val="595959"/>
                <w:sz w:val="24"/>
                <w:szCs w:val="24"/>
                <w:lang w:eastAsia="en-NZ"/>
              </w:rPr>
              <w:t>Net loans</w:t>
            </w:r>
          </w:p>
        </w:tc>
        <w:tc>
          <w:tcPr>
            <w:tcW w:w="1701" w:type="dxa"/>
            <w:tcBorders>
              <w:top w:val="nil"/>
              <w:left w:val="nil"/>
              <w:bottom w:val="nil"/>
              <w:right w:val="nil"/>
            </w:tcBorders>
            <w:shd w:val="clear" w:color="000000" w:fill="EEECE1"/>
            <w:vAlign w:val="center"/>
            <w:hideMark/>
          </w:tcPr>
          <w:p w:rsidR="000C1C4E" w:rsidRPr="000C1C4E" w:rsidRDefault="000C1C4E" w:rsidP="00B237AB">
            <w:pPr>
              <w:spacing w:after="0" w:line="240" w:lineRule="auto"/>
              <w:jc w:val="center"/>
              <w:rPr>
                <w:rFonts w:eastAsia="Times New Roman" w:cstheme="minorHAnsi"/>
                <w:b/>
                <w:bCs/>
                <w:color w:val="595959"/>
                <w:sz w:val="24"/>
                <w:szCs w:val="24"/>
                <w:lang w:eastAsia="en-NZ"/>
              </w:rPr>
            </w:pPr>
            <w:r w:rsidRPr="000C1C4E">
              <w:rPr>
                <w:rFonts w:eastAsia="Times New Roman" w:cstheme="minorHAnsi"/>
                <w:b/>
                <w:bCs/>
                <w:color w:val="595959"/>
                <w:sz w:val="24"/>
                <w:szCs w:val="24"/>
                <w:lang w:eastAsia="en-NZ"/>
              </w:rPr>
              <w:t>75.1</w:t>
            </w:r>
          </w:p>
        </w:tc>
        <w:tc>
          <w:tcPr>
            <w:tcW w:w="1559" w:type="dxa"/>
            <w:tcBorders>
              <w:top w:val="nil"/>
              <w:left w:val="nil"/>
              <w:bottom w:val="nil"/>
              <w:right w:val="nil"/>
            </w:tcBorders>
            <w:shd w:val="clear" w:color="000000" w:fill="FFFFFF"/>
            <w:vAlign w:val="center"/>
            <w:hideMark/>
          </w:tcPr>
          <w:p w:rsidR="000C1C4E" w:rsidRPr="000C1C4E" w:rsidRDefault="000C1C4E" w:rsidP="00B237AB">
            <w:pPr>
              <w:spacing w:after="0" w:line="240" w:lineRule="auto"/>
              <w:jc w:val="center"/>
              <w:rPr>
                <w:rFonts w:eastAsia="Times New Roman" w:cstheme="minorHAnsi"/>
                <w:b/>
                <w:bCs/>
                <w:i/>
                <w:iCs/>
                <w:color w:val="00B050"/>
                <w:sz w:val="24"/>
                <w:szCs w:val="24"/>
                <w:lang w:eastAsia="en-NZ"/>
              </w:rPr>
            </w:pPr>
            <w:r w:rsidRPr="000C1C4E">
              <w:rPr>
                <w:rFonts w:eastAsia="Times New Roman" w:cstheme="minorHAnsi"/>
                <w:b/>
                <w:bCs/>
                <w:i/>
                <w:iCs/>
                <w:color w:val="00B050"/>
                <w:sz w:val="24"/>
                <w:szCs w:val="24"/>
                <w:lang w:eastAsia="en-NZ"/>
              </w:rPr>
              <w:t>9%</w:t>
            </w:r>
          </w:p>
        </w:tc>
        <w:tc>
          <w:tcPr>
            <w:tcW w:w="2127" w:type="dxa"/>
            <w:tcBorders>
              <w:top w:val="nil"/>
              <w:left w:val="nil"/>
              <w:bottom w:val="nil"/>
              <w:right w:val="nil"/>
            </w:tcBorders>
            <w:shd w:val="clear" w:color="000000" w:fill="FFFFFF"/>
            <w:vAlign w:val="center"/>
            <w:hideMark/>
          </w:tcPr>
          <w:p w:rsidR="000C1C4E" w:rsidRPr="000C1C4E" w:rsidRDefault="0013264B" w:rsidP="00B237AB">
            <w:pPr>
              <w:spacing w:after="0" w:line="240" w:lineRule="auto"/>
              <w:jc w:val="center"/>
              <w:rPr>
                <w:rFonts w:eastAsia="Times New Roman" w:cstheme="minorHAnsi"/>
                <w:b/>
                <w:bCs/>
                <w:i/>
                <w:iCs/>
                <w:color w:val="00B050"/>
                <w:sz w:val="24"/>
                <w:szCs w:val="24"/>
                <w:lang w:eastAsia="en-NZ"/>
              </w:rPr>
            </w:pPr>
            <w:r>
              <w:rPr>
                <w:rFonts w:eastAsia="Times New Roman" w:cstheme="minorHAnsi"/>
                <w:b/>
                <w:bCs/>
                <w:i/>
                <w:iCs/>
                <w:color w:val="00B050"/>
                <w:sz w:val="24"/>
                <w:szCs w:val="24"/>
                <w:lang w:eastAsia="en-NZ"/>
              </w:rPr>
              <w:t>5</w:t>
            </w:r>
            <w:r w:rsidR="000C1C4E" w:rsidRPr="000C1C4E">
              <w:rPr>
                <w:rFonts w:eastAsia="Times New Roman" w:cstheme="minorHAnsi"/>
                <w:b/>
                <w:bCs/>
                <w:i/>
                <w:iCs/>
                <w:color w:val="00B050"/>
                <w:sz w:val="24"/>
                <w:szCs w:val="24"/>
                <w:lang w:eastAsia="en-NZ"/>
              </w:rPr>
              <w:t>%</w:t>
            </w:r>
          </w:p>
        </w:tc>
      </w:tr>
      <w:tr w:rsidR="000C1C4E" w:rsidRPr="000C1C4E" w:rsidTr="00B237AB">
        <w:trPr>
          <w:trHeight w:val="480"/>
        </w:trPr>
        <w:tc>
          <w:tcPr>
            <w:tcW w:w="4246" w:type="dxa"/>
            <w:tcBorders>
              <w:top w:val="nil"/>
              <w:left w:val="nil"/>
              <w:bottom w:val="nil"/>
              <w:right w:val="nil"/>
            </w:tcBorders>
            <w:shd w:val="clear" w:color="000000" w:fill="FFFFFF"/>
            <w:vAlign w:val="center"/>
            <w:hideMark/>
          </w:tcPr>
          <w:p w:rsidR="000C1C4E" w:rsidRPr="000C1C4E" w:rsidRDefault="000C1C4E" w:rsidP="000C1C4E">
            <w:pPr>
              <w:spacing w:after="0" w:line="240" w:lineRule="auto"/>
              <w:ind w:firstLineChars="600" w:firstLine="1440"/>
              <w:rPr>
                <w:rFonts w:eastAsia="Times New Roman" w:cstheme="minorHAnsi"/>
                <w:color w:val="595959"/>
                <w:sz w:val="24"/>
                <w:szCs w:val="24"/>
                <w:lang w:eastAsia="en-NZ"/>
              </w:rPr>
            </w:pPr>
            <w:r w:rsidRPr="000C1C4E">
              <w:rPr>
                <w:rFonts w:eastAsia="Times New Roman" w:cstheme="minorHAnsi"/>
                <w:color w:val="595959"/>
                <w:sz w:val="24"/>
                <w:szCs w:val="24"/>
                <w:lang w:eastAsia="en-NZ"/>
              </w:rPr>
              <w:t>Mortgage</w:t>
            </w:r>
          </w:p>
        </w:tc>
        <w:tc>
          <w:tcPr>
            <w:tcW w:w="1701" w:type="dxa"/>
            <w:tcBorders>
              <w:top w:val="nil"/>
              <w:left w:val="nil"/>
              <w:bottom w:val="nil"/>
              <w:right w:val="nil"/>
            </w:tcBorders>
            <w:shd w:val="clear" w:color="000000" w:fill="EEECE1"/>
            <w:vAlign w:val="center"/>
            <w:hideMark/>
          </w:tcPr>
          <w:p w:rsidR="000C1C4E" w:rsidRPr="000C1C4E" w:rsidRDefault="000C1C4E" w:rsidP="00B237AB">
            <w:pPr>
              <w:spacing w:after="0" w:line="240" w:lineRule="auto"/>
              <w:jc w:val="center"/>
              <w:rPr>
                <w:rFonts w:eastAsia="Times New Roman" w:cstheme="minorHAnsi"/>
                <w:color w:val="595959"/>
                <w:sz w:val="24"/>
                <w:szCs w:val="24"/>
                <w:lang w:eastAsia="en-NZ"/>
              </w:rPr>
            </w:pPr>
            <w:r w:rsidRPr="000C1C4E">
              <w:rPr>
                <w:rFonts w:eastAsia="Times New Roman" w:cstheme="minorHAnsi"/>
                <w:color w:val="595959"/>
                <w:sz w:val="24"/>
                <w:szCs w:val="24"/>
                <w:lang w:eastAsia="en-NZ"/>
              </w:rPr>
              <w:t>45.1</w:t>
            </w:r>
          </w:p>
        </w:tc>
        <w:tc>
          <w:tcPr>
            <w:tcW w:w="1559" w:type="dxa"/>
            <w:tcBorders>
              <w:top w:val="nil"/>
              <w:left w:val="nil"/>
              <w:bottom w:val="nil"/>
              <w:right w:val="nil"/>
            </w:tcBorders>
            <w:shd w:val="clear" w:color="000000" w:fill="FFFFFF"/>
            <w:vAlign w:val="center"/>
            <w:hideMark/>
          </w:tcPr>
          <w:p w:rsidR="000C1C4E" w:rsidRPr="000C1C4E" w:rsidRDefault="000C1C4E" w:rsidP="00B237AB">
            <w:pPr>
              <w:spacing w:after="0" w:line="240" w:lineRule="auto"/>
              <w:jc w:val="center"/>
              <w:rPr>
                <w:rFonts w:eastAsia="Times New Roman" w:cstheme="minorHAnsi"/>
                <w:i/>
                <w:iCs/>
                <w:color w:val="00B050"/>
                <w:sz w:val="24"/>
                <w:szCs w:val="24"/>
                <w:lang w:eastAsia="en-NZ"/>
              </w:rPr>
            </w:pPr>
            <w:r w:rsidRPr="000C1C4E">
              <w:rPr>
                <w:rFonts w:eastAsia="Times New Roman" w:cstheme="minorHAnsi"/>
                <w:i/>
                <w:iCs/>
                <w:color w:val="00B050"/>
                <w:sz w:val="24"/>
                <w:szCs w:val="24"/>
                <w:lang w:eastAsia="en-NZ"/>
              </w:rPr>
              <w:t>7%</w:t>
            </w:r>
          </w:p>
        </w:tc>
        <w:tc>
          <w:tcPr>
            <w:tcW w:w="2127" w:type="dxa"/>
            <w:tcBorders>
              <w:top w:val="nil"/>
              <w:left w:val="nil"/>
              <w:bottom w:val="nil"/>
              <w:right w:val="nil"/>
            </w:tcBorders>
            <w:shd w:val="clear" w:color="000000" w:fill="FFFFFF"/>
            <w:vAlign w:val="center"/>
            <w:hideMark/>
          </w:tcPr>
          <w:p w:rsidR="000C1C4E" w:rsidRPr="000C1C4E" w:rsidRDefault="0013264B" w:rsidP="00B237AB">
            <w:pPr>
              <w:spacing w:after="0" w:line="240" w:lineRule="auto"/>
              <w:jc w:val="center"/>
              <w:rPr>
                <w:rFonts w:eastAsia="Times New Roman" w:cstheme="minorHAnsi"/>
                <w:i/>
                <w:iCs/>
                <w:color w:val="00B050"/>
                <w:sz w:val="24"/>
                <w:szCs w:val="24"/>
                <w:lang w:eastAsia="en-NZ"/>
              </w:rPr>
            </w:pPr>
            <w:r>
              <w:rPr>
                <w:rFonts w:eastAsia="Times New Roman" w:cstheme="minorHAnsi"/>
                <w:i/>
                <w:iCs/>
                <w:color w:val="00B050"/>
                <w:sz w:val="24"/>
                <w:szCs w:val="24"/>
                <w:lang w:eastAsia="en-NZ"/>
              </w:rPr>
              <w:t>4</w:t>
            </w:r>
            <w:r w:rsidR="000C1C4E" w:rsidRPr="000C1C4E">
              <w:rPr>
                <w:rFonts w:eastAsia="Times New Roman" w:cstheme="minorHAnsi"/>
                <w:i/>
                <w:iCs/>
                <w:color w:val="00B050"/>
                <w:sz w:val="24"/>
                <w:szCs w:val="24"/>
                <w:lang w:eastAsia="en-NZ"/>
              </w:rPr>
              <w:t>%</w:t>
            </w:r>
          </w:p>
        </w:tc>
      </w:tr>
      <w:tr w:rsidR="000C1C4E" w:rsidRPr="000C1C4E" w:rsidTr="00B237AB">
        <w:trPr>
          <w:trHeight w:val="480"/>
        </w:trPr>
        <w:tc>
          <w:tcPr>
            <w:tcW w:w="4246" w:type="dxa"/>
            <w:tcBorders>
              <w:top w:val="nil"/>
              <w:left w:val="nil"/>
              <w:bottom w:val="nil"/>
              <w:right w:val="nil"/>
            </w:tcBorders>
            <w:shd w:val="clear" w:color="000000" w:fill="FFFFFF"/>
            <w:vAlign w:val="center"/>
            <w:hideMark/>
          </w:tcPr>
          <w:p w:rsidR="000C1C4E" w:rsidRPr="000C1C4E" w:rsidRDefault="000C1C4E" w:rsidP="000C1C4E">
            <w:pPr>
              <w:spacing w:after="0" w:line="240" w:lineRule="auto"/>
              <w:ind w:firstLineChars="600" w:firstLine="1440"/>
              <w:rPr>
                <w:rFonts w:eastAsia="Times New Roman" w:cstheme="minorHAnsi"/>
                <w:color w:val="595959"/>
                <w:sz w:val="24"/>
                <w:szCs w:val="24"/>
                <w:lang w:eastAsia="en-NZ"/>
              </w:rPr>
            </w:pPr>
            <w:r w:rsidRPr="000C1C4E">
              <w:rPr>
                <w:rFonts w:eastAsia="Times New Roman" w:cstheme="minorHAnsi"/>
                <w:color w:val="595959"/>
                <w:sz w:val="24"/>
                <w:szCs w:val="24"/>
                <w:lang w:eastAsia="en-NZ"/>
              </w:rPr>
              <w:t>Non-housing</w:t>
            </w:r>
          </w:p>
        </w:tc>
        <w:tc>
          <w:tcPr>
            <w:tcW w:w="1701" w:type="dxa"/>
            <w:tcBorders>
              <w:top w:val="nil"/>
              <w:left w:val="nil"/>
              <w:bottom w:val="nil"/>
              <w:right w:val="nil"/>
            </w:tcBorders>
            <w:shd w:val="clear" w:color="000000" w:fill="EEECE1"/>
            <w:vAlign w:val="center"/>
            <w:hideMark/>
          </w:tcPr>
          <w:p w:rsidR="000C1C4E" w:rsidRPr="000C1C4E" w:rsidRDefault="000C1C4E" w:rsidP="00B237AB">
            <w:pPr>
              <w:spacing w:after="0" w:line="240" w:lineRule="auto"/>
              <w:jc w:val="center"/>
              <w:rPr>
                <w:rFonts w:eastAsia="Times New Roman" w:cstheme="minorHAnsi"/>
                <w:color w:val="595959"/>
                <w:sz w:val="24"/>
                <w:szCs w:val="24"/>
                <w:lang w:eastAsia="en-NZ"/>
              </w:rPr>
            </w:pPr>
            <w:r w:rsidRPr="000C1C4E">
              <w:rPr>
                <w:rFonts w:eastAsia="Times New Roman" w:cstheme="minorHAnsi"/>
                <w:color w:val="595959"/>
                <w:sz w:val="24"/>
                <w:szCs w:val="24"/>
                <w:lang w:eastAsia="en-NZ"/>
              </w:rPr>
              <w:t>30.0</w:t>
            </w:r>
          </w:p>
        </w:tc>
        <w:tc>
          <w:tcPr>
            <w:tcW w:w="1559" w:type="dxa"/>
            <w:tcBorders>
              <w:top w:val="nil"/>
              <w:left w:val="nil"/>
              <w:bottom w:val="nil"/>
              <w:right w:val="nil"/>
            </w:tcBorders>
            <w:shd w:val="clear" w:color="000000" w:fill="FFFFFF"/>
            <w:vAlign w:val="center"/>
            <w:hideMark/>
          </w:tcPr>
          <w:p w:rsidR="000C1C4E" w:rsidRPr="000C1C4E" w:rsidRDefault="000C1C4E" w:rsidP="00B237AB">
            <w:pPr>
              <w:spacing w:after="0" w:line="240" w:lineRule="auto"/>
              <w:jc w:val="center"/>
              <w:rPr>
                <w:rFonts w:eastAsia="Times New Roman" w:cstheme="minorHAnsi"/>
                <w:i/>
                <w:iCs/>
                <w:color w:val="00B050"/>
                <w:sz w:val="24"/>
                <w:szCs w:val="24"/>
                <w:lang w:eastAsia="en-NZ"/>
              </w:rPr>
            </w:pPr>
            <w:r w:rsidRPr="000C1C4E">
              <w:rPr>
                <w:rFonts w:eastAsia="Times New Roman" w:cstheme="minorHAnsi"/>
                <w:i/>
                <w:iCs/>
                <w:color w:val="00B050"/>
                <w:sz w:val="24"/>
                <w:szCs w:val="24"/>
                <w:lang w:eastAsia="en-NZ"/>
              </w:rPr>
              <w:t>11%</w:t>
            </w:r>
          </w:p>
        </w:tc>
        <w:tc>
          <w:tcPr>
            <w:tcW w:w="2127" w:type="dxa"/>
            <w:tcBorders>
              <w:top w:val="nil"/>
              <w:left w:val="nil"/>
              <w:bottom w:val="nil"/>
              <w:right w:val="nil"/>
            </w:tcBorders>
            <w:shd w:val="clear" w:color="000000" w:fill="FFFFFF"/>
            <w:vAlign w:val="center"/>
            <w:hideMark/>
          </w:tcPr>
          <w:p w:rsidR="000C1C4E" w:rsidRPr="000C1C4E" w:rsidRDefault="0013264B" w:rsidP="00B237AB">
            <w:pPr>
              <w:spacing w:after="0" w:line="240" w:lineRule="auto"/>
              <w:jc w:val="center"/>
              <w:rPr>
                <w:rFonts w:eastAsia="Times New Roman" w:cstheme="minorHAnsi"/>
                <w:i/>
                <w:iCs/>
                <w:color w:val="00B050"/>
                <w:sz w:val="24"/>
                <w:szCs w:val="24"/>
                <w:lang w:eastAsia="en-NZ"/>
              </w:rPr>
            </w:pPr>
            <w:r>
              <w:rPr>
                <w:rFonts w:eastAsia="Times New Roman" w:cstheme="minorHAnsi"/>
                <w:i/>
                <w:iCs/>
                <w:color w:val="00B050"/>
                <w:sz w:val="24"/>
                <w:szCs w:val="24"/>
                <w:lang w:eastAsia="en-NZ"/>
              </w:rPr>
              <w:t>6</w:t>
            </w:r>
            <w:r w:rsidR="000C1C4E" w:rsidRPr="000C1C4E">
              <w:rPr>
                <w:rFonts w:eastAsia="Times New Roman" w:cstheme="minorHAnsi"/>
                <w:i/>
                <w:iCs/>
                <w:color w:val="00B050"/>
                <w:sz w:val="24"/>
                <w:szCs w:val="24"/>
                <w:lang w:eastAsia="en-NZ"/>
              </w:rPr>
              <w:t>%</w:t>
            </w:r>
          </w:p>
        </w:tc>
      </w:tr>
      <w:tr w:rsidR="000C1C4E" w:rsidRPr="000C1C4E" w:rsidTr="00B237AB">
        <w:trPr>
          <w:trHeight w:val="225"/>
        </w:trPr>
        <w:tc>
          <w:tcPr>
            <w:tcW w:w="4246" w:type="dxa"/>
            <w:tcBorders>
              <w:top w:val="nil"/>
              <w:left w:val="nil"/>
              <w:bottom w:val="nil"/>
              <w:right w:val="nil"/>
            </w:tcBorders>
            <w:shd w:val="clear" w:color="000000" w:fill="FFFFFF"/>
            <w:noWrap/>
            <w:vAlign w:val="bottom"/>
            <w:hideMark/>
          </w:tcPr>
          <w:p w:rsidR="000C1C4E" w:rsidRPr="000C1C4E" w:rsidRDefault="000C1C4E" w:rsidP="00B237AB">
            <w:pPr>
              <w:spacing w:after="0" w:line="240" w:lineRule="auto"/>
              <w:rPr>
                <w:rFonts w:eastAsia="Times New Roman" w:cstheme="minorHAnsi"/>
                <w:color w:val="000000"/>
                <w:sz w:val="24"/>
                <w:szCs w:val="24"/>
                <w:lang w:eastAsia="en-NZ"/>
              </w:rPr>
            </w:pPr>
            <w:r w:rsidRPr="000C1C4E">
              <w:rPr>
                <w:rFonts w:eastAsia="Times New Roman" w:cstheme="minorHAnsi"/>
                <w:color w:val="000000"/>
                <w:sz w:val="24"/>
                <w:szCs w:val="24"/>
                <w:lang w:eastAsia="en-NZ"/>
              </w:rPr>
              <w:t> </w:t>
            </w:r>
          </w:p>
        </w:tc>
        <w:tc>
          <w:tcPr>
            <w:tcW w:w="1701" w:type="dxa"/>
            <w:tcBorders>
              <w:top w:val="nil"/>
              <w:left w:val="nil"/>
              <w:bottom w:val="nil"/>
              <w:right w:val="nil"/>
            </w:tcBorders>
            <w:shd w:val="clear" w:color="000000" w:fill="EEECE1"/>
            <w:noWrap/>
            <w:vAlign w:val="bottom"/>
            <w:hideMark/>
          </w:tcPr>
          <w:p w:rsidR="000C1C4E" w:rsidRPr="000C1C4E" w:rsidRDefault="000C1C4E" w:rsidP="00B237AB">
            <w:pPr>
              <w:spacing w:after="0" w:line="240" w:lineRule="auto"/>
              <w:rPr>
                <w:rFonts w:eastAsia="Times New Roman" w:cstheme="minorHAnsi"/>
                <w:color w:val="000000"/>
                <w:sz w:val="24"/>
                <w:szCs w:val="24"/>
                <w:lang w:eastAsia="en-NZ"/>
              </w:rPr>
            </w:pPr>
            <w:r w:rsidRPr="000C1C4E">
              <w:rPr>
                <w:rFonts w:eastAsia="Times New Roman" w:cstheme="minorHAnsi"/>
                <w:color w:val="000000"/>
                <w:sz w:val="24"/>
                <w:szCs w:val="24"/>
                <w:lang w:eastAsia="en-NZ"/>
              </w:rPr>
              <w:t> </w:t>
            </w:r>
          </w:p>
        </w:tc>
        <w:tc>
          <w:tcPr>
            <w:tcW w:w="1559" w:type="dxa"/>
            <w:tcBorders>
              <w:top w:val="nil"/>
              <w:left w:val="nil"/>
              <w:bottom w:val="nil"/>
              <w:right w:val="nil"/>
            </w:tcBorders>
            <w:shd w:val="clear" w:color="000000" w:fill="FFFFFF"/>
            <w:noWrap/>
            <w:vAlign w:val="bottom"/>
            <w:hideMark/>
          </w:tcPr>
          <w:p w:rsidR="000C1C4E" w:rsidRPr="000C1C4E" w:rsidRDefault="000C1C4E" w:rsidP="00B237AB">
            <w:pPr>
              <w:spacing w:after="0" w:line="240" w:lineRule="auto"/>
              <w:rPr>
                <w:rFonts w:eastAsia="Times New Roman" w:cstheme="minorHAnsi"/>
                <w:color w:val="000000"/>
                <w:sz w:val="24"/>
                <w:szCs w:val="24"/>
                <w:lang w:eastAsia="en-NZ"/>
              </w:rPr>
            </w:pPr>
            <w:r w:rsidRPr="000C1C4E">
              <w:rPr>
                <w:rFonts w:eastAsia="Times New Roman" w:cstheme="minorHAnsi"/>
                <w:color w:val="000000"/>
                <w:sz w:val="24"/>
                <w:szCs w:val="24"/>
                <w:lang w:eastAsia="en-NZ"/>
              </w:rPr>
              <w:t> </w:t>
            </w:r>
          </w:p>
        </w:tc>
        <w:tc>
          <w:tcPr>
            <w:tcW w:w="2127" w:type="dxa"/>
            <w:tcBorders>
              <w:top w:val="nil"/>
              <w:left w:val="nil"/>
              <w:bottom w:val="nil"/>
              <w:right w:val="nil"/>
            </w:tcBorders>
            <w:shd w:val="clear" w:color="000000" w:fill="FFFFFF"/>
            <w:noWrap/>
            <w:vAlign w:val="bottom"/>
            <w:hideMark/>
          </w:tcPr>
          <w:p w:rsidR="000C1C4E" w:rsidRPr="000C1C4E" w:rsidRDefault="000C1C4E" w:rsidP="00B237AB">
            <w:pPr>
              <w:spacing w:after="0" w:line="240" w:lineRule="auto"/>
              <w:rPr>
                <w:rFonts w:eastAsia="Times New Roman" w:cstheme="minorHAnsi"/>
                <w:color w:val="000000"/>
                <w:sz w:val="24"/>
                <w:szCs w:val="24"/>
                <w:lang w:eastAsia="en-NZ"/>
              </w:rPr>
            </w:pPr>
            <w:r w:rsidRPr="000C1C4E">
              <w:rPr>
                <w:rFonts w:eastAsia="Times New Roman" w:cstheme="minorHAnsi"/>
                <w:color w:val="000000"/>
                <w:sz w:val="24"/>
                <w:szCs w:val="24"/>
                <w:lang w:eastAsia="en-NZ"/>
              </w:rPr>
              <w:t> </w:t>
            </w:r>
          </w:p>
        </w:tc>
      </w:tr>
      <w:tr w:rsidR="000C1C4E" w:rsidRPr="000C1C4E" w:rsidTr="00B237AB">
        <w:trPr>
          <w:trHeight w:val="480"/>
        </w:trPr>
        <w:tc>
          <w:tcPr>
            <w:tcW w:w="4246" w:type="dxa"/>
            <w:tcBorders>
              <w:top w:val="nil"/>
              <w:left w:val="nil"/>
              <w:bottom w:val="nil"/>
              <w:right w:val="nil"/>
            </w:tcBorders>
            <w:shd w:val="clear" w:color="000000" w:fill="FFFFFF"/>
            <w:vAlign w:val="center"/>
            <w:hideMark/>
          </w:tcPr>
          <w:p w:rsidR="000C1C4E" w:rsidRPr="000C1C4E" w:rsidRDefault="000C1C4E" w:rsidP="000C1C4E">
            <w:pPr>
              <w:spacing w:after="0" w:line="240" w:lineRule="auto"/>
              <w:ind w:firstLineChars="100" w:firstLine="241"/>
              <w:rPr>
                <w:rFonts w:eastAsia="Times New Roman" w:cstheme="minorHAnsi"/>
                <w:b/>
                <w:bCs/>
                <w:color w:val="595959"/>
                <w:sz w:val="24"/>
                <w:szCs w:val="24"/>
                <w:lang w:eastAsia="en-NZ"/>
              </w:rPr>
            </w:pPr>
            <w:r w:rsidRPr="000C1C4E">
              <w:rPr>
                <w:rFonts w:eastAsia="Times New Roman" w:cstheme="minorHAnsi"/>
                <w:b/>
                <w:bCs/>
                <w:color w:val="595959"/>
                <w:sz w:val="24"/>
                <w:szCs w:val="24"/>
                <w:lang w:eastAsia="en-NZ"/>
              </w:rPr>
              <w:t>Deposit to loan ratio</w:t>
            </w:r>
          </w:p>
        </w:tc>
        <w:tc>
          <w:tcPr>
            <w:tcW w:w="1701" w:type="dxa"/>
            <w:tcBorders>
              <w:top w:val="nil"/>
              <w:left w:val="nil"/>
              <w:bottom w:val="nil"/>
              <w:right w:val="nil"/>
            </w:tcBorders>
            <w:shd w:val="clear" w:color="000000" w:fill="EEECE1"/>
            <w:vAlign w:val="center"/>
            <w:hideMark/>
          </w:tcPr>
          <w:p w:rsidR="000C1C4E" w:rsidRPr="000C1C4E" w:rsidRDefault="000C1C4E" w:rsidP="00B237AB">
            <w:pPr>
              <w:spacing w:after="0" w:line="240" w:lineRule="auto"/>
              <w:jc w:val="center"/>
              <w:rPr>
                <w:rFonts w:eastAsia="Times New Roman" w:cstheme="minorHAnsi"/>
                <w:b/>
                <w:bCs/>
                <w:color w:val="595959"/>
                <w:sz w:val="24"/>
                <w:szCs w:val="24"/>
                <w:lang w:eastAsia="en-NZ"/>
              </w:rPr>
            </w:pPr>
            <w:r w:rsidRPr="000C1C4E">
              <w:rPr>
                <w:rFonts w:eastAsia="Times New Roman" w:cstheme="minorHAnsi"/>
                <w:b/>
                <w:bCs/>
                <w:color w:val="595959"/>
                <w:sz w:val="24"/>
                <w:szCs w:val="24"/>
                <w:lang w:eastAsia="en-NZ"/>
              </w:rPr>
              <w:t>76.6%</w:t>
            </w:r>
          </w:p>
        </w:tc>
        <w:tc>
          <w:tcPr>
            <w:tcW w:w="1559" w:type="dxa"/>
            <w:tcBorders>
              <w:top w:val="nil"/>
              <w:left w:val="nil"/>
              <w:bottom w:val="nil"/>
              <w:right w:val="nil"/>
            </w:tcBorders>
            <w:shd w:val="clear" w:color="000000" w:fill="FFFFFF"/>
            <w:noWrap/>
            <w:vAlign w:val="center"/>
            <w:hideMark/>
          </w:tcPr>
          <w:p w:rsidR="000C1C4E" w:rsidRPr="000C1C4E" w:rsidRDefault="000C1C4E" w:rsidP="00B237AB">
            <w:pPr>
              <w:spacing w:after="0" w:line="240" w:lineRule="auto"/>
              <w:jc w:val="center"/>
              <w:rPr>
                <w:rFonts w:eastAsia="Times New Roman" w:cstheme="minorHAnsi"/>
                <w:b/>
                <w:bCs/>
                <w:i/>
                <w:iCs/>
                <w:color w:val="00B050"/>
                <w:sz w:val="24"/>
                <w:szCs w:val="24"/>
                <w:lang w:eastAsia="en-NZ"/>
              </w:rPr>
            </w:pPr>
            <w:r w:rsidRPr="000C1C4E">
              <w:rPr>
                <w:rFonts w:eastAsia="Times New Roman" w:cstheme="minorHAnsi"/>
                <w:b/>
                <w:bCs/>
                <w:i/>
                <w:iCs/>
                <w:color w:val="00B050"/>
                <w:sz w:val="24"/>
                <w:szCs w:val="24"/>
                <w:lang w:eastAsia="en-NZ"/>
              </w:rPr>
              <w:t>134bps</w:t>
            </w:r>
          </w:p>
        </w:tc>
        <w:tc>
          <w:tcPr>
            <w:tcW w:w="2127" w:type="dxa"/>
            <w:tcBorders>
              <w:top w:val="nil"/>
              <w:left w:val="nil"/>
              <w:bottom w:val="nil"/>
              <w:right w:val="nil"/>
            </w:tcBorders>
            <w:shd w:val="clear" w:color="000000" w:fill="FFFFFF"/>
            <w:noWrap/>
            <w:vAlign w:val="center"/>
            <w:hideMark/>
          </w:tcPr>
          <w:p w:rsidR="000C1C4E" w:rsidRPr="000C1C4E" w:rsidRDefault="000C1C4E" w:rsidP="00B237AB">
            <w:pPr>
              <w:spacing w:after="0" w:line="240" w:lineRule="auto"/>
              <w:jc w:val="center"/>
              <w:rPr>
                <w:rFonts w:eastAsia="Times New Roman" w:cstheme="minorHAnsi"/>
                <w:b/>
                <w:bCs/>
                <w:i/>
                <w:iCs/>
                <w:color w:val="FF0000"/>
                <w:sz w:val="24"/>
                <w:szCs w:val="24"/>
                <w:lang w:eastAsia="en-NZ"/>
              </w:rPr>
            </w:pPr>
            <w:r w:rsidRPr="000C1C4E">
              <w:rPr>
                <w:rFonts w:eastAsia="Times New Roman" w:cstheme="minorHAnsi"/>
                <w:b/>
                <w:bCs/>
                <w:i/>
                <w:iCs/>
                <w:color w:val="FF0000"/>
                <w:sz w:val="24"/>
                <w:szCs w:val="24"/>
                <w:lang w:eastAsia="en-NZ"/>
              </w:rPr>
              <w:t>(1bps)</w:t>
            </w:r>
          </w:p>
        </w:tc>
      </w:tr>
    </w:tbl>
    <w:p w:rsidR="000C1C4E" w:rsidRPr="000C1C4E" w:rsidRDefault="000C1C4E" w:rsidP="000C1C4E">
      <w:pPr>
        <w:pStyle w:val="NoSpacing"/>
        <w:rPr>
          <w:rFonts w:cstheme="minorHAnsi"/>
          <w:b/>
          <w:bCs/>
          <w:sz w:val="24"/>
          <w:szCs w:val="24"/>
        </w:rPr>
      </w:pPr>
    </w:p>
    <w:p w:rsidR="000C1C4E" w:rsidRPr="000C1C4E" w:rsidRDefault="000C1C4E" w:rsidP="000C1C4E">
      <w:pPr>
        <w:pStyle w:val="NoSpacing"/>
        <w:rPr>
          <w:rFonts w:cstheme="minorHAnsi"/>
          <w:b/>
          <w:bCs/>
          <w:sz w:val="24"/>
          <w:szCs w:val="24"/>
        </w:rPr>
      </w:pPr>
    </w:p>
    <w:p w:rsidR="000C1C4E" w:rsidRPr="000C1C4E" w:rsidRDefault="000C1C4E" w:rsidP="009948E0">
      <w:pPr>
        <w:autoSpaceDE w:val="0"/>
        <w:autoSpaceDN w:val="0"/>
        <w:adjustRightInd w:val="0"/>
        <w:spacing w:after="0" w:line="240" w:lineRule="auto"/>
        <w:rPr>
          <w:rFonts w:cstheme="minorHAnsi"/>
          <w:b/>
          <w:bCs/>
          <w:sz w:val="24"/>
          <w:szCs w:val="24"/>
        </w:rPr>
      </w:pPr>
    </w:p>
    <w:p w:rsidR="000C1C4E" w:rsidRDefault="000C1C4E" w:rsidP="009948E0">
      <w:pPr>
        <w:autoSpaceDE w:val="0"/>
        <w:autoSpaceDN w:val="0"/>
        <w:adjustRightInd w:val="0"/>
        <w:spacing w:after="0" w:line="240" w:lineRule="auto"/>
        <w:rPr>
          <w:rFonts w:ascii="Calibri-Bold" w:hAnsi="Calibri-Bold" w:cs="Calibri-Bold"/>
          <w:b/>
          <w:bCs/>
          <w:sz w:val="20"/>
          <w:szCs w:val="20"/>
        </w:rPr>
      </w:pPr>
    </w:p>
    <w:p w:rsidR="000C1C4E" w:rsidRDefault="000C1C4E" w:rsidP="009948E0">
      <w:pPr>
        <w:autoSpaceDE w:val="0"/>
        <w:autoSpaceDN w:val="0"/>
        <w:adjustRightInd w:val="0"/>
        <w:spacing w:after="0" w:line="240" w:lineRule="auto"/>
        <w:rPr>
          <w:rFonts w:ascii="Calibri-Bold" w:hAnsi="Calibri-Bold" w:cs="Calibri-Bold"/>
          <w:b/>
          <w:bCs/>
          <w:sz w:val="20"/>
          <w:szCs w:val="20"/>
        </w:rPr>
      </w:pPr>
    </w:p>
    <w:p w:rsidR="000C1C4E" w:rsidRDefault="000C1C4E" w:rsidP="009948E0">
      <w:pPr>
        <w:autoSpaceDE w:val="0"/>
        <w:autoSpaceDN w:val="0"/>
        <w:adjustRightInd w:val="0"/>
        <w:spacing w:after="0" w:line="240" w:lineRule="auto"/>
        <w:rPr>
          <w:rFonts w:ascii="Calibri-Bold" w:hAnsi="Calibri-Bold" w:cs="Calibri-Bold"/>
          <w:b/>
          <w:bCs/>
          <w:sz w:val="20"/>
          <w:szCs w:val="20"/>
        </w:rPr>
      </w:pPr>
    </w:p>
    <w:p w:rsidR="000C1C4E" w:rsidRDefault="000C1C4E" w:rsidP="009948E0">
      <w:pPr>
        <w:autoSpaceDE w:val="0"/>
        <w:autoSpaceDN w:val="0"/>
        <w:adjustRightInd w:val="0"/>
        <w:spacing w:after="0" w:line="240" w:lineRule="auto"/>
        <w:rPr>
          <w:rFonts w:ascii="Calibri-Bold" w:hAnsi="Calibri-Bold" w:cs="Calibri-Bold"/>
          <w:b/>
          <w:bCs/>
          <w:sz w:val="20"/>
          <w:szCs w:val="20"/>
        </w:rPr>
      </w:pPr>
    </w:p>
    <w:p w:rsidR="000C1C4E" w:rsidRDefault="000C1C4E" w:rsidP="009948E0">
      <w:pPr>
        <w:autoSpaceDE w:val="0"/>
        <w:autoSpaceDN w:val="0"/>
        <w:adjustRightInd w:val="0"/>
        <w:spacing w:after="0" w:line="240" w:lineRule="auto"/>
        <w:rPr>
          <w:rFonts w:ascii="Calibri-Bold" w:hAnsi="Calibri-Bold" w:cs="Calibri-Bold"/>
          <w:b/>
          <w:bCs/>
          <w:sz w:val="20"/>
          <w:szCs w:val="20"/>
        </w:rPr>
      </w:pPr>
    </w:p>
    <w:p w:rsidR="000C1C4E" w:rsidRDefault="000C1C4E" w:rsidP="009948E0">
      <w:pPr>
        <w:autoSpaceDE w:val="0"/>
        <w:autoSpaceDN w:val="0"/>
        <w:adjustRightInd w:val="0"/>
        <w:spacing w:after="0" w:line="240" w:lineRule="auto"/>
        <w:rPr>
          <w:rFonts w:ascii="Calibri-Bold" w:hAnsi="Calibri-Bold" w:cs="Calibri-Bold"/>
          <w:b/>
          <w:bCs/>
          <w:sz w:val="20"/>
          <w:szCs w:val="20"/>
        </w:rPr>
      </w:pPr>
    </w:p>
    <w:p w:rsidR="000C1C4E" w:rsidRDefault="000C1C4E" w:rsidP="009948E0">
      <w:pPr>
        <w:autoSpaceDE w:val="0"/>
        <w:autoSpaceDN w:val="0"/>
        <w:adjustRightInd w:val="0"/>
        <w:spacing w:after="0" w:line="240" w:lineRule="auto"/>
        <w:rPr>
          <w:rFonts w:ascii="Calibri-Bold" w:hAnsi="Calibri-Bold" w:cs="Calibri-Bold"/>
          <w:b/>
          <w:bCs/>
          <w:sz w:val="20"/>
          <w:szCs w:val="20"/>
        </w:rPr>
      </w:pPr>
    </w:p>
    <w:p w:rsidR="000C1C4E" w:rsidRDefault="000C1C4E" w:rsidP="009948E0">
      <w:pPr>
        <w:autoSpaceDE w:val="0"/>
        <w:autoSpaceDN w:val="0"/>
        <w:adjustRightInd w:val="0"/>
        <w:spacing w:after="0" w:line="240" w:lineRule="auto"/>
        <w:rPr>
          <w:rFonts w:ascii="Calibri-Bold" w:hAnsi="Calibri-Bold" w:cs="Calibri-Bold"/>
          <w:b/>
          <w:bCs/>
          <w:sz w:val="20"/>
          <w:szCs w:val="20"/>
        </w:rPr>
      </w:pPr>
    </w:p>
    <w:p w:rsidR="000C1C4E" w:rsidRDefault="000C1C4E" w:rsidP="009948E0">
      <w:pPr>
        <w:autoSpaceDE w:val="0"/>
        <w:autoSpaceDN w:val="0"/>
        <w:adjustRightInd w:val="0"/>
        <w:spacing w:after="0" w:line="240" w:lineRule="auto"/>
        <w:rPr>
          <w:rFonts w:ascii="Calibri-Bold" w:hAnsi="Calibri-Bold" w:cs="Calibri-Bold"/>
          <w:b/>
          <w:bCs/>
          <w:sz w:val="20"/>
          <w:szCs w:val="20"/>
        </w:rPr>
      </w:pPr>
    </w:p>
    <w:p w:rsidR="000C1C4E" w:rsidRDefault="000C1C4E" w:rsidP="009948E0">
      <w:pPr>
        <w:autoSpaceDE w:val="0"/>
        <w:autoSpaceDN w:val="0"/>
        <w:adjustRightInd w:val="0"/>
        <w:spacing w:after="0" w:line="240" w:lineRule="auto"/>
        <w:rPr>
          <w:rFonts w:ascii="Calibri-Bold" w:hAnsi="Calibri-Bold" w:cs="Calibri-Bold"/>
          <w:b/>
          <w:bCs/>
          <w:sz w:val="20"/>
          <w:szCs w:val="20"/>
        </w:rPr>
      </w:pPr>
    </w:p>
    <w:p w:rsidR="000C1C4E" w:rsidRDefault="000C1C4E" w:rsidP="009948E0">
      <w:pPr>
        <w:autoSpaceDE w:val="0"/>
        <w:autoSpaceDN w:val="0"/>
        <w:adjustRightInd w:val="0"/>
        <w:spacing w:after="0" w:line="240" w:lineRule="auto"/>
        <w:rPr>
          <w:rFonts w:ascii="Calibri-Bold" w:hAnsi="Calibri-Bold" w:cs="Calibri-Bold"/>
          <w:b/>
          <w:bCs/>
          <w:sz w:val="20"/>
          <w:szCs w:val="20"/>
        </w:rPr>
      </w:pPr>
    </w:p>
    <w:p w:rsidR="009948E0" w:rsidRDefault="009948E0" w:rsidP="009948E0">
      <w:pPr>
        <w:autoSpaceDE w:val="0"/>
        <w:autoSpaceDN w:val="0"/>
        <w:adjustRightInd w:val="0"/>
        <w:spacing w:after="0" w:line="240" w:lineRule="auto"/>
        <w:rPr>
          <w:rFonts w:ascii="Calibri" w:hAnsi="Calibri" w:cs="Calibri"/>
          <w:sz w:val="20"/>
          <w:szCs w:val="20"/>
        </w:rPr>
      </w:pPr>
      <w:r>
        <w:rPr>
          <w:rFonts w:ascii="Calibri-Bold" w:hAnsi="Calibri-Bold" w:cs="Calibri-Bold"/>
          <w:b/>
          <w:bCs/>
          <w:sz w:val="20"/>
          <w:szCs w:val="20"/>
        </w:rPr>
        <w:lastRenderedPageBreak/>
        <w:t xml:space="preserve">1 </w:t>
      </w:r>
      <w:r>
        <w:rPr>
          <w:rFonts w:ascii="Calibri" w:hAnsi="Calibri" w:cs="Calibri"/>
          <w:sz w:val="20"/>
          <w:szCs w:val="20"/>
        </w:rPr>
        <w:t>Westpac New Zealand is a management divisional view only, and is not the same as Westpac New Zealand</w:t>
      </w:r>
    </w:p>
    <w:p w:rsidR="009948E0" w:rsidRDefault="009948E0" w:rsidP="009948E0">
      <w:pPr>
        <w:autoSpaceDE w:val="0"/>
        <w:autoSpaceDN w:val="0"/>
        <w:adjustRightInd w:val="0"/>
        <w:spacing w:after="0" w:line="240" w:lineRule="auto"/>
        <w:rPr>
          <w:rFonts w:ascii="Calibri" w:hAnsi="Calibri" w:cs="Calibri"/>
          <w:sz w:val="20"/>
          <w:szCs w:val="20"/>
        </w:rPr>
      </w:pPr>
      <w:r>
        <w:rPr>
          <w:rFonts w:ascii="Calibri" w:hAnsi="Calibri" w:cs="Calibri"/>
          <w:sz w:val="20"/>
          <w:szCs w:val="20"/>
        </w:rPr>
        <w:t>Limited. The financial results of Westpac New Zealand Limited will be available in the Disclosure Statement</w:t>
      </w:r>
    </w:p>
    <w:p w:rsidR="009948E0" w:rsidRDefault="009948E0" w:rsidP="009948E0">
      <w:pPr>
        <w:autoSpaceDE w:val="0"/>
        <w:autoSpaceDN w:val="0"/>
        <w:adjustRightInd w:val="0"/>
        <w:spacing w:after="0" w:line="240" w:lineRule="auto"/>
        <w:rPr>
          <w:rFonts w:ascii="Calibri" w:hAnsi="Calibri" w:cs="Calibri"/>
          <w:sz w:val="20"/>
          <w:szCs w:val="20"/>
        </w:rPr>
      </w:pPr>
      <w:proofErr w:type="gramStart"/>
      <w:r>
        <w:rPr>
          <w:rFonts w:ascii="Calibri" w:hAnsi="Calibri" w:cs="Calibri"/>
          <w:sz w:val="20"/>
          <w:szCs w:val="20"/>
        </w:rPr>
        <w:t>and</w:t>
      </w:r>
      <w:proofErr w:type="gramEnd"/>
      <w:r>
        <w:rPr>
          <w:rFonts w:ascii="Calibri" w:hAnsi="Calibri" w:cs="Calibri"/>
          <w:sz w:val="20"/>
          <w:szCs w:val="20"/>
        </w:rPr>
        <w:t xml:space="preserve"> a reconciliation between the two results is provided in conjunction with the publishing of the Disclosure</w:t>
      </w:r>
    </w:p>
    <w:p w:rsidR="009948E0" w:rsidRDefault="009948E0" w:rsidP="009948E0">
      <w:pPr>
        <w:autoSpaceDE w:val="0"/>
        <w:autoSpaceDN w:val="0"/>
        <w:adjustRightInd w:val="0"/>
        <w:spacing w:after="0" w:line="240" w:lineRule="auto"/>
        <w:rPr>
          <w:rFonts w:ascii="Calibri" w:hAnsi="Calibri" w:cs="Calibri"/>
          <w:sz w:val="20"/>
          <w:szCs w:val="20"/>
        </w:rPr>
      </w:pPr>
      <w:r>
        <w:rPr>
          <w:rFonts w:ascii="Calibri" w:hAnsi="Calibri" w:cs="Calibri"/>
          <w:sz w:val="20"/>
          <w:szCs w:val="20"/>
        </w:rPr>
        <w:t>Statement.</w:t>
      </w:r>
    </w:p>
    <w:p w:rsidR="009948E0" w:rsidRDefault="009948E0" w:rsidP="009948E0">
      <w:pPr>
        <w:autoSpaceDE w:val="0"/>
        <w:autoSpaceDN w:val="0"/>
        <w:adjustRightInd w:val="0"/>
        <w:spacing w:after="0" w:line="240" w:lineRule="auto"/>
        <w:rPr>
          <w:rFonts w:ascii="Calibri" w:hAnsi="Calibri" w:cs="Calibri"/>
          <w:sz w:val="20"/>
          <w:szCs w:val="20"/>
        </w:rPr>
      </w:pPr>
      <w:r>
        <w:rPr>
          <w:rFonts w:ascii="Calibri-Bold" w:hAnsi="Calibri-Bold" w:cs="Calibri-Bold"/>
          <w:b/>
          <w:bCs/>
          <w:sz w:val="20"/>
          <w:szCs w:val="20"/>
        </w:rPr>
        <w:t xml:space="preserve">2 </w:t>
      </w:r>
      <w:r>
        <w:rPr>
          <w:rFonts w:ascii="Calibri" w:hAnsi="Calibri" w:cs="Calibri"/>
          <w:sz w:val="20"/>
          <w:szCs w:val="20"/>
        </w:rPr>
        <w:t>Cash earnings are a measure of performance used by the Westpac Group which adjusts statutory profit for</w:t>
      </w:r>
    </w:p>
    <w:p w:rsidR="009948E0" w:rsidRDefault="009948E0" w:rsidP="009948E0">
      <w:pPr>
        <w:autoSpaceDE w:val="0"/>
        <w:autoSpaceDN w:val="0"/>
        <w:adjustRightInd w:val="0"/>
        <w:spacing w:after="0" w:line="240" w:lineRule="auto"/>
        <w:rPr>
          <w:rFonts w:ascii="Calibri" w:hAnsi="Calibri" w:cs="Calibri"/>
          <w:sz w:val="20"/>
          <w:szCs w:val="20"/>
        </w:rPr>
      </w:pPr>
      <w:proofErr w:type="gramStart"/>
      <w:r>
        <w:rPr>
          <w:rFonts w:ascii="Calibri" w:hAnsi="Calibri" w:cs="Calibri"/>
          <w:sz w:val="20"/>
          <w:szCs w:val="20"/>
        </w:rPr>
        <w:t>any</w:t>
      </w:r>
      <w:proofErr w:type="gramEnd"/>
      <w:r>
        <w:rPr>
          <w:rFonts w:ascii="Calibri" w:hAnsi="Calibri" w:cs="Calibri"/>
          <w:sz w:val="20"/>
          <w:szCs w:val="20"/>
        </w:rPr>
        <w:t xml:space="preserve"> material items that do not reflect ongoing operations, items that are not considered when dividends are</w:t>
      </w:r>
    </w:p>
    <w:p w:rsidR="009948E0" w:rsidRDefault="009948E0" w:rsidP="009948E0">
      <w:pPr>
        <w:autoSpaceDE w:val="0"/>
        <w:autoSpaceDN w:val="0"/>
        <w:adjustRightInd w:val="0"/>
        <w:spacing w:after="0" w:line="240" w:lineRule="auto"/>
        <w:rPr>
          <w:rFonts w:ascii="Calibri" w:hAnsi="Calibri" w:cs="Calibri"/>
          <w:sz w:val="20"/>
          <w:szCs w:val="20"/>
        </w:rPr>
      </w:pPr>
      <w:proofErr w:type="gramStart"/>
      <w:r>
        <w:rPr>
          <w:rFonts w:ascii="Calibri" w:hAnsi="Calibri" w:cs="Calibri"/>
          <w:sz w:val="20"/>
          <w:szCs w:val="20"/>
        </w:rPr>
        <w:t>recommended</w:t>
      </w:r>
      <w:proofErr w:type="gramEnd"/>
      <w:r>
        <w:rPr>
          <w:rFonts w:ascii="Calibri" w:hAnsi="Calibri" w:cs="Calibri"/>
          <w:sz w:val="20"/>
          <w:szCs w:val="20"/>
        </w:rPr>
        <w:t xml:space="preserve"> and accounting reclassifications between line items that do not impact reported results. Cash</w:t>
      </w:r>
    </w:p>
    <w:p w:rsidR="009948E0" w:rsidRDefault="009948E0" w:rsidP="009948E0">
      <w:pPr>
        <w:autoSpaceDE w:val="0"/>
        <w:autoSpaceDN w:val="0"/>
        <w:adjustRightInd w:val="0"/>
        <w:spacing w:after="0" w:line="240" w:lineRule="auto"/>
        <w:rPr>
          <w:rFonts w:ascii="Calibri" w:hAnsi="Calibri" w:cs="Calibri"/>
          <w:sz w:val="20"/>
          <w:szCs w:val="20"/>
        </w:rPr>
      </w:pPr>
      <w:r>
        <w:rPr>
          <w:rFonts w:ascii="Calibri" w:hAnsi="Calibri" w:cs="Calibri"/>
          <w:sz w:val="20"/>
          <w:szCs w:val="20"/>
        </w:rPr>
        <w:t>earnings is not a measure of cash flow or net profit determined on a cash accounting basis, as it includes noncash items reflected in statutory profit determined in accordance with IFRS. Westpac New Zealand's cash</w:t>
      </w:r>
    </w:p>
    <w:p w:rsidR="009948E0" w:rsidRDefault="009948E0" w:rsidP="009948E0">
      <w:pPr>
        <w:autoSpaceDE w:val="0"/>
        <w:autoSpaceDN w:val="0"/>
        <w:adjustRightInd w:val="0"/>
        <w:spacing w:after="0" w:line="240" w:lineRule="auto"/>
        <w:rPr>
          <w:rFonts w:ascii="Calibri" w:hAnsi="Calibri" w:cs="Calibri"/>
          <w:sz w:val="20"/>
          <w:szCs w:val="20"/>
        </w:rPr>
      </w:pPr>
      <w:proofErr w:type="gramStart"/>
      <w:r>
        <w:rPr>
          <w:rFonts w:ascii="Calibri" w:hAnsi="Calibri" w:cs="Calibri"/>
          <w:sz w:val="20"/>
          <w:szCs w:val="20"/>
        </w:rPr>
        <w:t>earnings</w:t>
      </w:r>
      <w:proofErr w:type="gramEnd"/>
      <w:r>
        <w:rPr>
          <w:rFonts w:ascii="Calibri" w:hAnsi="Calibri" w:cs="Calibri"/>
          <w:sz w:val="20"/>
          <w:szCs w:val="20"/>
        </w:rPr>
        <w:t xml:space="preserve"> resu</w:t>
      </w:r>
      <w:r w:rsidR="00A0223F">
        <w:rPr>
          <w:rFonts w:ascii="Calibri" w:hAnsi="Calibri" w:cs="Calibri"/>
          <w:sz w:val="20"/>
          <w:szCs w:val="20"/>
        </w:rPr>
        <w:t xml:space="preserve">lt for the full </w:t>
      </w:r>
      <w:r>
        <w:rPr>
          <w:rFonts w:ascii="Calibri" w:hAnsi="Calibri" w:cs="Calibri"/>
          <w:sz w:val="20"/>
          <w:szCs w:val="20"/>
        </w:rPr>
        <w:t xml:space="preserve">year ended </w:t>
      </w:r>
      <w:r w:rsidR="00A0223F">
        <w:rPr>
          <w:rFonts w:ascii="Calibri" w:hAnsi="Calibri" w:cs="Calibri"/>
          <w:sz w:val="20"/>
          <w:szCs w:val="20"/>
        </w:rPr>
        <w:t>30 September 2016</w:t>
      </w:r>
      <w:r>
        <w:rPr>
          <w:rFonts w:ascii="Calibri" w:hAnsi="Calibri" w:cs="Calibri"/>
          <w:sz w:val="20"/>
          <w:szCs w:val="20"/>
        </w:rPr>
        <w:t xml:space="preserve">, as reflected in the Westpac </w:t>
      </w:r>
      <w:r w:rsidR="00A0223F">
        <w:rPr>
          <w:rFonts w:ascii="Calibri" w:hAnsi="Calibri" w:cs="Calibri"/>
          <w:sz w:val="20"/>
          <w:szCs w:val="20"/>
        </w:rPr>
        <w:t>Group Full Year</w:t>
      </w:r>
      <w:r>
        <w:rPr>
          <w:rFonts w:ascii="Calibri" w:hAnsi="Calibri" w:cs="Calibri"/>
          <w:sz w:val="20"/>
          <w:szCs w:val="20"/>
        </w:rPr>
        <w:t xml:space="preserve"> Results</w:t>
      </w:r>
    </w:p>
    <w:p w:rsidR="009948E0" w:rsidRDefault="009948E0" w:rsidP="009948E0">
      <w:pPr>
        <w:autoSpaceDE w:val="0"/>
        <w:autoSpaceDN w:val="0"/>
        <w:adjustRightInd w:val="0"/>
        <w:spacing w:after="0" w:line="240" w:lineRule="auto"/>
        <w:rPr>
          <w:rFonts w:ascii="Calibri" w:hAnsi="Calibri" w:cs="Calibri"/>
          <w:sz w:val="20"/>
          <w:szCs w:val="20"/>
        </w:rPr>
      </w:pPr>
      <w:r>
        <w:rPr>
          <w:rFonts w:ascii="Calibri" w:hAnsi="Calibri" w:cs="Calibri"/>
          <w:sz w:val="20"/>
          <w:szCs w:val="20"/>
        </w:rPr>
        <w:t>Announcement, is equal to statutory profit as none of these cash earnings adjustments impact on Westpac</w:t>
      </w:r>
    </w:p>
    <w:p w:rsidR="009948E0" w:rsidRDefault="009948E0" w:rsidP="009948E0">
      <w:pPr>
        <w:autoSpaceDE w:val="0"/>
        <w:autoSpaceDN w:val="0"/>
        <w:adjustRightInd w:val="0"/>
        <w:spacing w:after="0" w:line="240" w:lineRule="auto"/>
        <w:rPr>
          <w:rFonts w:ascii="Calibri" w:hAnsi="Calibri" w:cs="Calibri"/>
          <w:sz w:val="20"/>
          <w:szCs w:val="20"/>
        </w:rPr>
      </w:pPr>
      <w:r>
        <w:rPr>
          <w:rFonts w:ascii="Calibri" w:hAnsi="Calibri" w:cs="Calibri"/>
          <w:sz w:val="20"/>
          <w:szCs w:val="20"/>
        </w:rPr>
        <w:t>New Zealand's reported results. A reconciliation between Westpac New Zealand’s cash earnings result and</w:t>
      </w:r>
    </w:p>
    <w:p w:rsidR="009948E0" w:rsidRDefault="009948E0" w:rsidP="009948E0">
      <w:pPr>
        <w:autoSpaceDE w:val="0"/>
        <w:autoSpaceDN w:val="0"/>
        <w:adjustRightInd w:val="0"/>
        <w:spacing w:after="0" w:line="240" w:lineRule="auto"/>
        <w:rPr>
          <w:rFonts w:ascii="Calibri" w:hAnsi="Calibri" w:cs="Calibri"/>
          <w:sz w:val="20"/>
          <w:szCs w:val="20"/>
        </w:rPr>
      </w:pPr>
      <w:r>
        <w:rPr>
          <w:rFonts w:ascii="Calibri" w:hAnsi="Calibri" w:cs="Calibri"/>
          <w:sz w:val="20"/>
          <w:szCs w:val="20"/>
        </w:rPr>
        <w:t>Westpac New Zealand Limited’s statutory profit result is provided in conjunction with the publishing of the</w:t>
      </w:r>
    </w:p>
    <w:p w:rsidR="009948E0" w:rsidRDefault="009948E0" w:rsidP="009948E0">
      <w:pPr>
        <w:autoSpaceDE w:val="0"/>
        <w:autoSpaceDN w:val="0"/>
        <w:adjustRightInd w:val="0"/>
        <w:spacing w:after="0" w:line="240" w:lineRule="auto"/>
        <w:rPr>
          <w:rFonts w:ascii="Calibri" w:hAnsi="Calibri" w:cs="Calibri"/>
          <w:sz w:val="20"/>
          <w:szCs w:val="20"/>
        </w:rPr>
      </w:pPr>
      <w:r>
        <w:rPr>
          <w:rFonts w:ascii="Calibri" w:hAnsi="Calibri" w:cs="Calibri"/>
          <w:sz w:val="20"/>
          <w:szCs w:val="20"/>
        </w:rPr>
        <w:t>Westpac New Zealand Limited Disclosure Statement.</w:t>
      </w:r>
    </w:p>
    <w:p w:rsidR="009948E0" w:rsidRDefault="009948E0" w:rsidP="009948E0">
      <w:pPr>
        <w:autoSpaceDE w:val="0"/>
        <w:autoSpaceDN w:val="0"/>
        <w:adjustRightInd w:val="0"/>
        <w:spacing w:after="0" w:line="240" w:lineRule="auto"/>
        <w:rPr>
          <w:rFonts w:ascii="Calibri" w:hAnsi="Calibri" w:cs="Calibri"/>
          <w:sz w:val="20"/>
          <w:szCs w:val="20"/>
        </w:rPr>
      </w:pPr>
      <w:r>
        <w:rPr>
          <w:rFonts w:ascii="Calibri-Bold" w:hAnsi="Calibri-Bold" w:cs="Calibri-Bold"/>
          <w:b/>
          <w:bCs/>
          <w:sz w:val="20"/>
          <w:szCs w:val="20"/>
        </w:rPr>
        <w:t xml:space="preserve">3 </w:t>
      </w:r>
      <w:r>
        <w:rPr>
          <w:rFonts w:ascii="Calibri" w:hAnsi="Calibri" w:cs="Calibri"/>
          <w:sz w:val="20"/>
          <w:szCs w:val="20"/>
        </w:rPr>
        <w:t>Deposits are equal to deposits at amortised cost as disclosed in the Westpac New Zealand Limited Disclosure</w:t>
      </w:r>
    </w:p>
    <w:p w:rsidR="009948E0" w:rsidRDefault="009948E0" w:rsidP="009948E0">
      <w:pPr>
        <w:autoSpaceDE w:val="0"/>
        <w:autoSpaceDN w:val="0"/>
        <w:adjustRightInd w:val="0"/>
        <w:spacing w:after="0" w:line="240" w:lineRule="auto"/>
        <w:rPr>
          <w:rFonts w:ascii="Calibri" w:hAnsi="Calibri" w:cs="Calibri"/>
          <w:sz w:val="20"/>
          <w:szCs w:val="20"/>
        </w:rPr>
      </w:pPr>
      <w:r>
        <w:rPr>
          <w:rFonts w:ascii="Calibri" w:hAnsi="Calibri" w:cs="Calibri"/>
          <w:sz w:val="20"/>
          <w:szCs w:val="20"/>
        </w:rPr>
        <w:t>Statement.</w:t>
      </w:r>
    </w:p>
    <w:p w:rsidR="009948E0" w:rsidRDefault="009948E0" w:rsidP="009948E0">
      <w:pPr>
        <w:autoSpaceDE w:val="0"/>
        <w:autoSpaceDN w:val="0"/>
        <w:adjustRightInd w:val="0"/>
        <w:spacing w:after="0" w:line="240" w:lineRule="auto"/>
        <w:rPr>
          <w:rFonts w:ascii="Calibri" w:hAnsi="Calibri" w:cs="Calibri"/>
          <w:sz w:val="20"/>
          <w:szCs w:val="20"/>
        </w:rPr>
      </w:pPr>
      <w:r>
        <w:rPr>
          <w:rFonts w:ascii="Calibri-Bold" w:hAnsi="Calibri-Bold" w:cs="Calibri-Bold"/>
          <w:b/>
          <w:bCs/>
          <w:sz w:val="20"/>
          <w:szCs w:val="20"/>
        </w:rPr>
        <w:t xml:space="preserve">4 </w:t>
      </w:r>
      <w:r>
        <w:rPr>
          <w:rFonts w:ascii="Calibri" w:hAnsi="Calibri" w:cs="Calibri"/>
          <w:sz w:val="20"/>
          <w:szCs w:val="20"/>
        </w:rPr>
        <w:t>Core earnings are a measure of performance used by the Westpac Group which is operating income less</w:t>
      </w:r>
    </w:p>
    <w:p w:rsidR="009948E0" w:rsidRDefault="009948E0" w:rsidP="009948E0">
      <w:pPr>
        <w:autoSpaceDE w:val="0"/>
        <w:autoSpaceDN w:val="0"/>
        <w:adjustRightInd w:val="0"/>
        <w:spacing w:after="0" w:line="240" w:lineRule="auto"/>
        <w:rPr>
          <w:rFonts w:ascii="Calibri" w:hAnsi="Calibri" w:cs="Calibri"/>
          <w:sz w:val="20"/>
          <w:szCs w:val="20"/>
        </w:rPr>
      </w:pPr>
      <w:proofErr w:type="gramStart"/>
      <w:r>
        <w:rPr>
          <w:rFonts w:ascii="Calibri" w:hAnsi="Calibri" w:cs="Calibri"/>
          <w:sz w:val="20"/>
          <w:szCs w:val="20"/>
        </w:rPr>
        <w:t>operating</w:t>
      </w:r>
      <w:proofErr w:type="gramEnd"/>
      <w:r>
        <w:rPr>
          <w:rFonts w:ascii="Calibri" w:hAnsi="Calibri" w:cs="Calibri"/>
          <w:sz w:val="20"/>
          <w:szCs w:val="20"/>
        </w:rPr>
        <w:t xml:space="preserve"> expenses.</w:t>
      </w:r>
    </w:p>
    <w:p w:rsidR="009948E0" w:rsidRDefault="009948E0" w:rsidP="009948E0">
      <w:pPr>
        <w:pStyle w:val="NoSpacing"/>
        <w:rPr>
          <w:rFonts w:cstheme="minorHAnsi"/>
          <w:sz w:val="20"/>
          <w:szCs w:val="20"/>
        </w:rPr>
      </w:pPr>
      <w:r>
        <w:rPr>
          <w:rFonts w:ascii="Calibri-Bold" w:hAnsi="Calibri-Bold" w:cs="Calibri-Bold"/>
          <w:b/>
          <w:bCs/>
          <w:sz w:val="20"/>
          <w:szCs w:val="20"/>
        </w:rPr>
        <w:t xml:space="preserve">5 </w:t>
      </w:r>
      <w:r>
        <w:rPr>
          <w:rFonts w:cstheme="minorHAnsi"/>
          <w:sz w:val="20"/>
          <w:szCs w:val="20"/>
        </w:rPr>
        <w:t xml:space="preserve">BT Funds Management (NZ) Limited is the scheme provider and Westpac New Zealand Limited is the distributor of the Westpac </w:t>
      </w:r>
      <w:proofErr w:type="spellStart"/>
      <w:r>
        <w:rPr>
          <w:rFonts w:cstheme="minorHAnsi"/>
          <w:sz w:val="20"/>
          <w:szCs w:val="20"/>
        </w:rPr>
        <w:t>KiwiSaver</w:t>
      </w:r>
      <w:proofErr w:type="spellEnd"/>
      <w:r>
        <w:rPr>
          <w:rFonts w:cstheme="minorHAnsi"/>
          <w:sz w:val="20"/>
          <w:szCs w:val="20"/>
        </w:rPr>
        <w:t xml:space="preserve"> Scheme. A copy of the Product Disclosure Statement for the Westpac </w:t>
      </w:r>
      <w:proofErr w:type="spellStart"/>
      <w:r>
        <w:rPr>
          <w:rFonts w:cstheme="minorHAnsi"/>
          <w:sz w:val="20"/>
          <w:szCs w:val="20"/>
        </w:rPr>
        <w:t>KiwiSaver</w:t>
      </w:r>
      <w:proofErr w:type="spellEnd"/>
      <w:r>
        <w:rPr>
          <w:rFonts w:cstheme="minorHAnsi"/>
          <w:sz w:val="20"/>
          <w:szCs w:val="20"/>
        </w:rPr>
        <w:t xml:space="preserve"> Scheme is available from any Westpac branch in New Zealand or by visiting www.westpac.co.nz. </w:t>
      </w:r>
    </w:p>
    <w:p w:rsidR="009948E0" w:rsidRDefault="009948E0" w:rsidP="009948E0">
      <w:pPr>
        <w:autoSpaceDE w:val="0"/>
        <w:autoSpaceDN w:val="0"/>
        <w:adjustRightInd w:val="0"/>
        <w:spacing w:after="0" w:line="240" w:lineRule="auto"/>
        <w:rPr>
          <w:rFonts w:ascii="Calibri-Bold" w:hAnsi="Calibri-Bold" w:cs="Calibri-Bold"/>
          <w:b/>
          <w:bCs/>
        </w:rPr>
      </w:pPr>
    </w:p>
    <w:p w:rsidR="009948E0" w:rsidRDefault="009948E0" w:rsidP="009948E0">
      <w:pPr>
        <w:autoSpaceDE w:val="0"/>
        <w:autoSpaceDN w:val="0"/>
        <w:adjustRightInd w:val="0"/>
        <w:spacing w:after="0" w:line="240" w:lineRule="auto"/>
        <w:rPr>
          <w:rFonts w:ascii="Calibri-Bold" w:hAnsi="Calibri-Bold" w:cs="Calibri-Bold"/>
          <w:b/>
          <w:bCs/>
        </w:rPr>
      </w:pPr>
    </w:p>
    <w:p w:rsidR="009948E0" w:rsidRPr="00721EC2" w:rsidRDefault="009948E0" w:rsidP="009948E0">
      <w:pPr>
        <w:autoSpaceDE w:val="0"/>
        <w:autoSpaceDN w:val="0"/>
        <w:adjustRightInd w:val="0"/>
        <w:spacing w:after="0" w:line="240" w:lineRule="auto"/>
        <w:rPr>
          <w:rFonts w:ascii="Calibri-Bold" w:hAnsi="Calibri-Bold" w:cs="Calibri-Bold"/>
          <w:b/>
          <w:bCs/>
          <w:sz w:val="24"/>
          <w:szCs w:val="24"/>
        </w:rPr>
      </w:pPr>
      <w:r w:rsidRPr="00721EC2">
        <w:rPr>
          <w:rFonts w:ascii="Calibri-Bold" w:hAnsi="Calibri-Bold" w:cs="Calibri-Bold"/>
          <w:b/>
          <w:bCs/>
          <w:sz w:val="24"/>
          <w:szCs w:val="24"/>
        </w:rPr>
        <w:t>For further questions please contact:</w:t>
      </w:r>
    </w:p>
    <w:p w:rsidR="009948E0" w:rsidRPr="00721EC2" w:rsidRDefault="009948E0" w:rsidP="009948E0">
      <w:pPr>
        <w:autoSpaceDE w:val="0"/>
        <w:autoSpaceDN w:val="0"/>
        <w:adjustRightInd w:val="0"/>
        <w:spacing w:after="0" w:line="240" w:lineRule="auto"/>
        <w:rPr>
          <w:rFonts w:ascii="Calibri" w:hAnsi="Calibri" w:cs="Calibri"/>
          <w:sz w:val="24"/>
          <w:szCs w:val="24"/>
        </w:rPr>
      </w:pPr>
      <w:r w:rsidRPr="00721EC2">
        <w:rPr>
          <w:rFonts w:ascii="Calibri" w:hAnsi="Calibri" w:cs="Calibri"/>
          <w:sz w:val="24"/>
          <w:szCs w:val="24"/>
        </w:rPr>
        <w:t>Chris Mirams Tel: +64 9 336 9666</w:t>
      </w:r>
    </w:p>
    <w:p w:rsidR="009948E0" w:rsidRPr="00721EC2" w:rsidRDefault="009948E0" w:rsidP="009948E0">
      <w:pPr>
        <w:autoSpaceDE w:val="0"/>
        <w:autoSpaceDN w:val="0"/>
        <w:adjustRightInd w:val="0"/>
        <w:spacing w:after="0" w:line="240" w:lineRule="auto"/>
        <w:rPr>
          <w:rFonts w:ascii="Calibri" w:hAnsi="Calibri" w:cs="Calibri"/>
          <w:sz w:val="24"/>
          <w:szCs w:val="24"/>
        </w:rPr>
      </w:pPr>
      <w:r w:rsidRPr="00721EC2">
        <w:rPr>
          <w:rFonts w:ascii="Calibri" w:hAnsi="Calibri" w:cs="Calibri"/>
          <w:sz w:val="24"/>
          <w:szCs w:val="24"/>
        </w:rPr>
        <w:t>External Relations Manager Mob: +64 27 237 1453</w:t>
      </w:r>
    </w:p>
    <w:p w:rsidR="000D6BE8" w:rsidRDefault="009948E0" w:rsidP="00721EC2">
      <w:r w:rsidRPr="00721EC2">
        <w:rPr>
          <w:rFonts w:ascii="Calibri" w:hAnsi="Calibri" w:cs="Calibri"/>
          <w:sz w:val="24"/>
          <w:szCs w:val="24"/>
        </w:rPr>
        <w:t>Westpac New Zealand Email: chris_mirams@westpac.co.nz</w:t>
      </w:r>
    </w:p>
    <w:p w:rsidR="00180422" w:rsidRDefault="00180422"/>
    <w:sectPr w:rsidR="00180422" w:rsidSect="002C3FC8">
      <w:headerReference w:type="even" r:id="rId8"/>
      <w:headerReference w:type="default" r:id="rId9"/>
      <w:footerReference w:type="even" r:id="rId10"/>
      <w:footerReference w:type="default" r:id="rId11"/>
      <w:headerReference w:type="first" r:id="rId12"/>
      <w:footerReference w:type="first" r:id="rId13"/>
      <w:pgSz w:w="11906" w:h="16838"/>
      <w:pgMar w:top="1134" w:right="992"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B7B" w:rsidRDefault="00692B7B">
      <w:pPr>
        <w:spacing w:after="0" w:line="240" w:lineRule="auto"/>
      </w:pPr>
      <w:r>
        <w:separator/>
      </w:r>
    </w:p>
  </w:endnote>
  <w:endnote w:type="continuationSeparator" w:id="0">
    <w:p w:rsidR="00692B7B" w:rsidRDefault="00692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07C" w:rsidRDefault="008060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07C" w:rsidRDefault="008060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07C" w:rsidRDefault="008060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B7B" w:rsidRDefault="00692B7B">
      <w:pPr>
        <w:spacing w:after="0" w:line="240" w:lineRule="auto"/>
      </w:pPr>
      <w:r>
        <w:separator/>
      </w:r>
    </w:p>
  </w:footnote>
  <w:footnote w:type="continuationSeparator" w:id="0">
    <w:p w:rsidR="00692B7B" w:rsidRDefault="00692B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07C" w:rsidRDefault="008060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07C" w:rsidRDefault="008060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07C" w:rsidRDefault="008060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9374CB"/>
    <w:multiLevelType w:val="hybridMultilevel"/>
    <w:tmpl w:val="CDAAA2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726C6860"/>
    <w:multiLevelType w:val="hybridMultilevel"/>
    <w:tmpl w:val="096E0B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1B7"/>
    <w:rsid w:val="000C1C4E"/>
    <w:rsid w:val="000D6BE8"/>
    <w:rsid w:val="0013264B"/>
    <w:rsid w:val="00180422"/>
    <w:rsid w:val="001A3E2F"/>
    <w:rsid w:val="001A71AB"/>
    <w:rsid w:val="00203F67"/>
    <w:rsid w:val="002376C8"/>
    <w:rsid w:val="002C3FC8"/>
    <w:rsid w:val="002D3C15"/>
    <w:rsid w:val="0033711E"/>
    <w:rsid w:val="003D4943"/>
    <w:rsid w:val="003E4215"/>
    <w:rsid w:val="00450156"/>
    <w:rsid w:val="004F6922"/>
    <w:rsid w:val="00616210"/>
    <w:rsid w:val="00625511"/>
    <w:rsid w:val="00692B7B"/>
    <w:rsid w:val="006E564B"/>
    <w:rsid w:val="00703894"/>
    <w:rsid w:val="00721EC2"/>
    <w:rsid w:val="00732782"/>
    <w:rsid w:val="007C0EE8"/>
    <w:rsid w:val="0080607C"/>
    <w:rsid w:val="00832722"/>
    <w:rsid w:val="008C6A5A"/>
    <w:rsid w:val="008F2124"/>
    <w:rsid w:val="008F4E9A"/>
    <w:rsid w:val="00930F3A"/>
    <w:rsid w:val="0095090B"/>
    <w:rsid w:val="0096304E"/>
    <w:rsid w:val="009948E0"/>
    <w:rsid w:val="00A0223F"/>
    <w:rsid w:val="00A3330F"/>
    <w:rsid w:val="00A5526B"/>
    <w:rsid w:val="00A863FD"/>
    <w:rsid w:val="00AD7681"/>
    <w:rsid w:val="00AE382B"/>
    <w:rsid w:val="00B32357"/>
    <w:rsid w:val="00B93EA8"/>
    <w:rsid w:val="00C51BFF"/>
    <w:rsid w:val="00CE11FB"/>
    <w:rsid w:val="00E21706"/>
    <w:rsid w:val="00E70F14"/>
    <w:rsid w:val="00EA0376"/>
    <w:rsid w:val="00EC6E1A"/>
    <w:rsid w:val="00F94BA6"/>
    <w:rsid w:val="00FA15C2"/>
    <w:rsid w:val="00FC21B7"/>
    <w:rsid w:val="00FC25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54CC97-3DAA-4124-B720-A1EF54A1D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21B7"/>
    <w:pPr>
      <w:spacing w:after="0" w:line="240" w:lineRule="auto"/>
    </w:pPr>
  </w:style>
  <w:style w:type="paragraph" w:styleId="Header">
    <w:name w:val="header"/>
    <w:basedOn w:val="Normal"/>
    <w:link w:val="HeaderChar"/>
    <w:uiPriority w:val="99"/>
    <w:unhideWhenUsed/>
    <w:rsid w:val="00FC2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21B7"/>
  </w:style>
  <w:style w:type="paragraph" w:styleId="Footer">
    <w:name w:val="footer"/>
    <w:basedOn w:val="Normal"/>
    <w:link w:val="FooterChar"/>
    <w:uiPriority w:val="99"/>
    <w:unhideWhenUsed/>
    <w:rsid w:val="00FC2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21B7"/>
  </w:style>
  <w:style w:type="paragraph" w:styleId="BalloonText">
    <w:name w:val="Balloon Text"/>
    <w:basedOn w:val="Normal"/>
    <w:link w:val="BalloonTextChar"/>
    <w:uiPriority w:val="99"/>
    <w:semiHidden/>
    <w:unhideWhenUsed/>
    <w:rsid w:val="003E4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2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291889">
      <w:bodyDiv w:val="1"/>
      <w:marLeft w:val="0"/>
      <w:marRight w:val="0"/>
      <w:marTop w:val="0"/>
      <w:marBottom w:val="0"/>
      <w:divBdr>
        <w:top w:val="none" w:sz="0" w:space="0" w:color="auto"/>
        <w:left w:val="none" w:sz="0" w:space="0" w:color="auto"/>
        <w:bottom w:val="none" w:sz="0" w:space="0" w:color="auto"/>
        <w:right w:val="none" w:sz="0" w:space="0" w:color="auto"/>
      </w:divBdr>
    </w:div>
    <w:div w:id="182461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3CC4A-497A-4F94-B649-0D7FAE758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1329</Words>
  <Characters>7578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Westpac New Zealand Limited</Company>
  <LinksUpToDate>false</LinksUpToDate>
  <CharactersWithSpaces>8890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Mirams</dc:creator>
  <cp:lastModifiedBy>User</cp:lastModifiedBy>
  <cp:revision>2</cp:revision>
  <cp:lastPrinted>2016-11-06T20:45:00Z</cp:lastPrinted>
  <dcterms:created xsi:type="dcterms:W3CDTF">2016-11-06T21:31:00Z</dcterms:created>
  <dcterms:modified xsi:type="dcterms:W3CDTF">2016-11-06T21:31:00Z</dcterms:modified>
</cp:coreProperties>
</file>