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6F" w:rsidRDefault="00511B6F" w:rsidP="00DA577C">
      <w:pPr>
        <w:pStyle w:val="NoSpacing"/>
        <w:rPr>
          <w:rFonts w:cstheme="minorHAnsi"/>
          <w:sz w:val="24"/>
          <w:szCs w:val="24"/>
        </w:rPr>
      </w:pPr>
      <w:bookmarkStart w:id="0" w:name="_GoBack"/>
      <w:bookmarkEnd w:id="0"/>
      <w:r>
        <w:rPr>
          <w:rFonts w:cstheme="minorHAnsi"/>
          <w:noProof/>
          <w:sz w:val="24"/>
          <w:szCs w:val="24"/>
          <w:lang w:eastAsia="en-NZ"/>
        </w:rPr>
        <w:drawing>
          <wp:anchor distT="0" distB="0" distL="114300" distR="114300" simplePos="0" relativeHeight="251658240" behindDoc="0" locked="0" layoutInCell="1" allowOverlap="1" wp14:anchorId="0F6DFECC" wp14:editId="09D49B79">
            <wp:simplePos x="0" y="0"/>
            <wp:positionH relativeFrom="column">
              <wp:align>left</wp:align>
            </wp:positionH>
            <wp:positionV relativeFrom="paragraph">
              <wp:align>top</wp:align>
            </wp:positionV>
            <wp:extent cx="1108710" cy="559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710" cy="559435"/>
                    </a:xfrm>
                    <a:prstGeom prst="rect">
                      <a:avLst/>
                    </a:prstGeom>
                  </pic:spPr>
                </pic:pic>
              </a:graphicData>
            </a:graphic>
          </wp:anchor>
        </w:drawing>
      </w:r>
      <w:r w:rsidR="00AF183E">
        <w:rPr>
          <w:rFonts w:cstheme="minorHAnsi"/>
          <w:sz w:val="24"/>
          <w:szCs w:val="24"/>
        </w:rPr>
        <w:br w:type="textWrapping" w:clear="all"/>
      </w:r>
    </w:p>
    <w:p w:rsidR="000D6BE8" w:rsidRPr="00664E4A" w:rsidRDefault="00DA577C" w:rsidP="00DA577C">
      <w:pPr>
        <w:pStyle w:val="NoSpacing"/>
        <w:rPr>
          <w:rFonts w:cstheme="minorHAnsi"/>
          <w:b/>
          <w:u w:val="single"/>
        </w:rPr>
      </w:pPr>
      <w:r w:rsidRPr="00664E4A">
        <w:rPr>
          <w:rFonts w:cstheme="minorHAnsi"/>
        </w:rPr>
        <w:t>Media Release</w:t>
      </w:r>
      <w:r w:rsidR="00ED7295" w:rsidRPr="00664E4A">
        <w:rPr>
          <w:rFonts w:cstheme="minorHAnsi"/>
        </w:rPr>
        <w:tab/>
      </w:r>
      <w:r w:rsidR="00ED7295" w:rsidRPr="00664E4A">
        <w:rPr>
          <w:rFonts w:cstheme="minorHAnsi"/>
        </w:rPr>
        <w:tab/>
      </w:r>
      <w:r w:rsidR="00ED7295" w:rsidRPr="00664E4A">
        <w:rPr>
          <w:rFonts w:cstheme="minorHAnsi"/>
        </w:rPr>
        <w:tab/>
      </w:r>
    </w:p>
    <w:p w:rsidR="00EC42DC" w:rsidRPr="00664E4A" w:rsidRDefault="00417B6C" w:rsidP="00DA577C">
      <w:pPr>
        <w:pStyle w:val="NoSpacing"/>
        <w:rPr>
          <w:rFonts w:cstheme="minorHAnsi"/>
          <w:b/>
          <w:color w:val="FF0000"/>
        </w:rPr>
      </w:pPr>
      <w:r w:rsidRPr="00664E4A">
        <w:rPr>
          <w:rFonts w:cstheme="minorHAnsi"/>
        </w:rPr>
        <w:t>8 May 2017</w:t>
      </w:r>
      <w:r w:rsidR="00106540" w:rsidRPr="00664E4A">
        <w:rPr>
          <w:rFonts w:cstheme="minorHAnsi"/>
        </w:rPr>
        <w:t xml:space="preserve">   </w:t>
      </w:r>
    </w:p>
    <w:p w:rsidR="00EC42DC" w:rsidRPr="00664E4A" w:rsidRDefault="00EC42DC" w:rsidP="00DA577C">
      <w:pPr>
        <w:pStyle w:val="NoSpacing"/>
        <w:rPr>
          <w:rFonts w:cstheme="minorHAnsi"/>
        </w:rPr>
      </w:pPr>
    </w:p>
    <w:p w:rsidR="00DA577C" w:rsidRPr="00664E4A" w:rsidRDefault="00DA577C" w:rsidP="00DA577C">
      <w:pPr>
        <w:pStyle w:val="NoSpacing"/>
        <w:rPr>
          <w:rFonts w:cstheme="minorHAnsi"/>
          <w:b/>
        </w:rPr>
      </w:pPr>
      <w:r w:rsidRPr="00664E4A">
        <w:rPr>
          <w:rFonts w:cstheme="minorHAnsi"/>
        </w:rPr>
        <w:tab/>
      </w:r>
      <w:r w:rsidRPr="00664E4A">
        <w:rPr>
          <w:rFonts w:cstheme="minorHAnsi"/>
        </w:rPr>
        <w:tab/>
      </w:r>
      <w:r w:rsidR="00A1485F" w:rsidRPr="00664E4A">
        <w:rPr>
          <w:rFonts w:cstheme="minorHAnsi"/>
          <w:b/>
        </w:rPr>
        <w:t>Westpac New Zealand</w:t>
      </w:r>
      <w:r w:rsidRPr="00664E4A">
        <w:rPr>
          <w:rFonts w:cstheme="minorHAnsi"/>
          <w:b/>
        </w:rPr>
        <w:t xml:space="preserve">: </w:t>
      </w:r>
      <w:r w:rsidR="00D001BB" w:rsidRPr="00664E4A">
        <w:rPr>
          <w:rFonts w:cstheme="minorHAnsi"/>
          <w:b/>
        </w:rPr>
        <w:t>so</w:t>
      </w:r>
      <w:r w:rsidR="00EC42DC" w:rsidRPr="00664E4A">
        <w:rPr>
          <w:rFonts w:cstheme="minorHAnsi"/>
          <w:b/>
        </w:rPr>
        <w:t>lid</w:t>
      </w:r>
      <w:r w:rsidR="00D001BB" w:rsidRPr="00664E4A">
        <w:rPr>
          <w:rFonts w:cstheme="minorHAnsi"/>
          <w:b/>
        </w:rPr>
        <w:t xml:space="preserve"> </w:t>
      </w:r>
      <w:r w:rsidR="00EC42DC" w:rsidRPr="00664E4A">
        <w:rPr>
          <w:rFonts w:cstheme="minorHAnsi"/>
          <w:b/>
        </w:rPr>
        <w:t>performance, continued</w:t>
      </w:r>
      <w:r w:rsidRPr="00664E4A">
        <w:rPr>
          <w:rFonts w:cstheme="minorHAnsi"/>
          <w:b/>
        </w:rPr>
        <w:t xml:space="preserve"> investment </w:t>
      </w:r>
    </w:p>
    <w:p w:rsidR="007231D7" w:rsidRPr="00664E4A" w:rsidRDefault="007231D7" w:rsidP="00DA577C">
      <w:pPr>
        <w:pStyle w:val="NoSpacing"/>
        <w:rPr>
          <w:rFonts w:cstheme="minorHAnsi"/>
          <w:b/>
        </w:rPr>
      </w:pPr>
    </w:p>
    <w:p w:rsidR="00004EBF" w:rsidRPr="00664E4A" w:rsidRDefault="00DA577C" w:rsidP="00BC59D0">
      <w:pPr>
        <w:pStyle w:val="NoSpacing"/>
      </w:pPr>
      <w:r w:rsidRPr="00664E4A">
        <w:t>Westpac N</w:t>
      </w:r>
      <w:r w:rsidR="006B14BF" w:rsidRPr="00664E4A">
        <w:t xml:space="preserve">ew </w:t>
      </w:r>
      <w:r w:rsidRPr="00664E4A">
        <w:t>Z</w:t>
      </w:r>
      <w:r w:rsidR="006B14BF" w:rsidRPr="00664E4A">
        <w:t>ealand</w:t>
      </w:r>
      <w:r w:rsidR="00502772" w:rsidRPr="00664E4A">
        <w:rPr>
          <w:vertAlign w:val="superscript"/>
        </w:rPr>
        <w:t>1</w:t>
      </w:r>
      <w:r w:rsidR="006B14BF" w:rsidRPr="00664E4A">
        <w:t xml:space="preserve"> </w:t>
      </w:r>
      <w:r w:rsidR="00A1485F" w:rsidRPr="00664E4A">
        <w:t xml:space="preserve">has delivered </w:t>
      </w:r>
      <w:r w:rsidR="00F17603" w:rsidRPr="00664E4A">
        <w:t xml:space="preserve">cash </w:t>
      </w:r>
      <w:r w:rsidRPr="00664E4A">
        <w:t>earnings</w:t>
      </w:r>
      <w:r w:rsidR="00502772" w:rsidRPr="00664E4A">
        <w:rPr>
          <w:vertAlign w:val="superscript"/>
        </w:rPr>
        <w:t>2</w:t>
      </w:r>
      <w:r w:rsidR="00AB2A7C" w:rsidRPr="00664E4A">
        <w:t xml:space="preserve"> </w:t>
      </w:r>
      <w:r w:rsidRPr="00664E4A">
        <w:t>of $</w:t>
      </w:r>
      <w:r w:rsidR="00C213FB" w:rsidRPr="00664E4A">
        <w:t xml:space="preserve">462 </w:t>
      </w:r>
      <w:r w:rsidRPr="00664E4A">
        <w:t>million</w:t>
      </w:r>
      <w:r w:rsidR="001866F8" w:rsidRPr="00664E4A">
        <w:t xml:space="preserve"> </w:t>
      </w:r>
      <w:r w:rsidR="00BC4E05" w:rsidRPr="00664E4A">
        <w:t xml:space="preserve">for the six months ended </w:t>
      </w:r>
      <w:r w:rsidR="001866F8" w:rsidRPr="00664E4A">
        <w:t>31 March 201</w:t>
      </w:r>
      <w:r w:rsidR="00AB2A7C" w:rsidRPr="00664E4A">
        <w:t>7</w:t>
      </w:r>
      <w:r w:rsidRPr="00664E4A">
        <w:t>,</w:t>
      </w:r>
      <w:r w:rsidR="00004EBF" w:rsidRPr="00664E4A">
        <w:t xml:space="preserve"> </w:t>
      </w:r>
      <w:r w:rsidR="008835E2" w:rsidRPr="00664E4A">
        <w:t xml:space="preserve">a </w:t>
      </w:r>
      <w:r w:rsidR="00A9565F" w:rsidRPr="00664E4A">
        <w:t xml:space="preserve">2% </w:t>
      </w:r>
      <w:r w:rsidR="0080170F" w:rsidRPr="00664E4A">
        <w:t xml:space="preserve">increase </w:t>
      </w:r>
      <w:r w:rsidRPr="00664E4A">
        <w:t>on the same period last year</w:t>
      </w:r>
      <w:r w:rsidR="00004EBF" w:rsidRPr="00664E4A">
        <w:t xml:space="preserve">. </w:t>
      </w:r>
      <w:r w:rsidR="004A1C39" w:rsidRPr="00664E4A">
        <w:t xml:space="preserve">The bank has </w:t>
      </w:r>
      <w:r w:rsidR="00AB2A7C" w:rsidRPr="00664E4A">
        <w:t>continued with its strategy to enhance</w:t>
      </w:r>
      <w:r w:rsidR="00004EBF" w:rsidRPr="00664E4A">
        <w:t xml:space="preserve"> customer </w:t>
      </w:r>
      <w:r w:rsidR="00B70220" w:rsidRPr="00664E4A">
        <w:t xml:space="preserve">service </w:t>
      </w:r>
      <w:r w:rsidR="00AB2A7C" w:rsidRPr="00664E4A">
        <w:t>and grow in target</w:t>
      </w:r>
      <w:r w:rsidR="002B2BD5" w:rsidRPr="00664E4A">
        <w:t>ed areas</w:t>
      </w:r>
      <w:r w:rsidR="00AB2A7C" w:rsidRPr="00664E4A">
        <w:t>.</w:t>
      </w:r>
    </w:p>
    <w:p w:rsidR="00303EB7" w:rsidRPr="00664E4A" w:rsidRDefault="00303EB7" w:rsidP="00BC59D0">
      <w:pPr>
        <w:pStyle w:val="NoSpacing"/>
      </w:pPr>
    </w:p>
    <w:p w:rsidR="00314E4F" w:rsidRPr="00664E4A" w:rsidRDefault="00314E4F" w:rsidP="00314E4F">
      <w:pPr>
        <w:rPr>
          <w:rFonts w:asciiTheme="minorHAnsi" w:hAnsiTheme="minorHAnsi" w:cstheme="minorHAnsi"/>
          <w:sz w:val="22"/>
          <w:szCs w:val="22"/>
        </w:rPr>
      </w:pPr>
      <w:r w:rsidRPr="00664E4A">
        <w:rPr>
          <w:rFonts w:asciiTheme="minorHAnsi" w:hAnsiTheme="minorHAnsi" w:cstheme="minorHAnsi"/>
          <w:sz w:val="22"/>
          <w:szCs w:val="22"/>
        </w:rPr>
        <w:t>An improving dairy sector and continued underlying economic growth contributed to a strong asset portfolio with impairments $45m improved on the same period last year.</w:t>
      </w:r>
    </w:p>
    <w:p w:rsidR="0080170F" w:rsidRPr="00664E4A" w:rsidRDefault="0080170F" w:rsidP="00C55BF4">
      <w:pPr>
        <w:pStyle w:val="NoSpacing"/>
        <w:rPr>
          <w:rFonts w:cstheme="minorHAnsi"/>
        </w:rPr>
      </w:pPr>
    </w:p>
    <w:p w:rsidR="0009005F" w:rsidRPr="00664E4A" w:rsidRDefault="0009005F" w:rsidP="00FB3B1B">
      <w:pPr>
        <w:rPr>
          <w:rFonts w:asciiTheme="minorHAnsi" w:hAnsiTheme="minorHAnsi" w:cstheme="minorHAnsi"/>
          <w:sz w:val="22"/>
          <w:szCs w:val="22"/>
        </w:rPr>
      </w:pPr>
      <w:r w:rsidRPr="00664E4A">
        <w:rPr>
          <w:rFonts w:asciiTheme="minorHAnsi" w:hAnsiTheme="minorHAnsi" w:cstheme="minorHAnsi"/>
          <w:sz w:val="22"/>
          <w:szCs w:val="22"/>
        </w:rPr>
        <w:t>Lending growth of 7%, including home lending growth of 6% and business lending growth of 8%, were supported by Term Deposit growth of 11% with overall deposit</w:t>
      </w:r>
      <w:r w:rsidR="00F06544" w:rsidRPr="00664E4A">
        <w:rPr>
          <w:rFonts w:asciiTheme="minorHAnsi" w:hAnsiTheme="minorHAnsi" w:cstheme="minorHAnsi"/>
          <w:sz w:val="22"/>
          <w:szCs w:val="22"/>
          <w:vertAlign w:val="superscript"/>
        </w:rPr>
        <w:t>3</w:t>
      </w:r>
      <w:r w:rsidRPr="00664E4A">
        <w:rPr>
          <w:rFonts w:asciiTheme="minorHAnsi" w:hAnsiTheme="minorHAnsi" w:cstheme="minorHAnsi"/>
          <w:sz w:val="22"/>
          <w:szCs w:val="22"/>
        </w:rPr>
        <w:t xml:space="preserve"> growth of 3%. </w:t>
      </w:r>
    </w:p>
    <w:p w:rsidR="00D33530" w:rsidRPr="00664E4A" w:rsidRDefault="00D33530" w:rsidP="00C55BF4">
      <w:pPr>
        <w:pStyle w:val="NoSpacing"/>
        <w:rPr>
          <w:rFonts w:cstheme="minorHAnsi"/>
        </w:rPr>
      </w:pPr>
    </w:p>
    <w:p w:rsidR="008F733B" w:rsidRPr="00664E4A" w:rsidRDefault="00C719A9" w:rsidP="00DA577C">
      <w:pPr>
        <w:pStyle w:val="NoSpacing"/>
        <w:rPr>
          <w:rFonts w:cstheme="minorHAnsi"/>
        </w:rPr>
      </w:pPr>
      <w:r w:rsidRPr="00664E4A">
        <w:rPr>
          <w:rFonts w:cstheme="minorHAnsi"/>
        </w:rPr>
        <w:t>Westpac N</w:t>
      </w:r>
      <w:r w:rsidR="001E0FB9" w:rsidRPr="00664E4A">
        <w:rPr>
          <w:rFonts w:cstheme="minorHAnsi"/>
        </w:rPr>
        <w:t>ew Zealand</w:t>
      </w:r>
      <w:r w:rsidRPr="00664E4A">
        <w:rPr>
          <w:rFonts w:cstheme="minorHAnsi"/>
        </w:rPr>
        <w:t xml:space="preserve"> Chief Executive David McLean said</w:t>
      </w:r>
      <w:r w:rsidR="00C55BF4" w:rsidRPr="00664E4A">
        <w:rPr>
          <w:rFonts w:cstheme="minorHAnsi"/>
        </w:rPr>
        <w:t xml:space="preserve"> the bank </w:t>
      </w:r>
      <w:r w:rsidR="00A9565F" w:rsidRPr="00664E4A">
        <w:rPr>
          <w:rFonts w:cstheme="minorHAnsi"/>
        </w:rPr>
        <w:t xml:space="preserve">is maintaining its focus </w:t>
      </w:r>
      <w:r w:rsidR="00862659" w:rsidRPr="00664E4A">
        <w:rPr>
          <w:rFonts w:cstheme="minorHAnsi"/>
        </w:rPr>
        <w:t xml:space="preserve">on quality lending and targeted growth </w:t>
      </w:r>
      <w:r w:rsidR="00A9565F" w:rsidRPr="00664E4A">
        <w:rPr>
          <w:rFonts w:cstheme="minorHAnsi"/>
        </w:rPr>
        <w:t xml:space="preserve">in </w:t>
      </w:r>
      <w:r w:rsidR="00C55BF4" w:rsidRPr="00664E4A">
        <w:rPr>
          <w:rFonts w:cstheme="minorHAnsi"/>
        </w:rPr>
        <w:t xml:space="preserve">a challenging environment with increased pressure </w:t>
      </w:r>
      <w:r w:rsidR="0080170F" w:rsidRPr="00664E4A">
        <w:rPr>
          <w:rFonts w:cstheme="minorHAnsi"/>
        </w:rPr>
        <w:t xml:space="preserve">on </w:t>
      </w:r>
      <w:r w:rsidR="003D1110" w:rsidRPr="00664E4A">
        <w:rPr>
          <w:rFonts w:cstheme="minorHAnsi"/>
        </w:rPr>
        <w:t>deposit and wholesale fun</w:t>
      </w:r>
      <w:r w:rsidR="00233FEF" w:rsidRPr="00664E4A">
        <w:rPr>
          <w:rFonts w:cstheme="minorHAnsi"/>
        </w:rPr>
        <w:t>ding</w:t>
      </w:r>
      <w:r w:rsidR="003D1110" w:rsidRPr="00664E4A">
        <w:rPr>
          <w:rFonts w:cstheme="minorHAnsi"/>
        </w:rPr>
        <w:t xml:space="preserve"> margins</w:t>
      </w:r>
      <w:r w:rsidR="00A9565F" w:rsidRPr="00664E4A">
        <w:rPr>
          <w:rFonts w:cstheme="minorHAnsi"/>
        </w:rPr>
        <w:t>.</w:t>
      </w:r>
      <w:r w:rsidR="008F733B" w:rsidRPr="00664E4A">
        <w:rPr>
          <w:rFonts w:cstheme="minorHAnsi"/>
        </w:rPr>
        <w:t xml:space="preserve"> </w:t>
      </w:r>
    </w:p>
    <w:p w:rsidR="006E760C" w:rsidRPr="00664E4A" w:rsidRDefault="006E760C" w:rsidP="00DA577C">
      <w:pPr>
        <w:pStyle w:val="NoSpacing"/>
        <w:rPr>
          <w:rFonts w:cstheme="minorHAnsi"/>
        </w:rPr>
      </w:pPr>
    </w:p>
    <w:p w:rsidR="00893DB9" w:rsidRPr="00664E4A" w:rsidRDefault="000065EA" w:rsidP="00D163A5">
      <w:pPr>
        <w:rPr>
          <w:rFonts w:asciiTheme="minorHAnsi" w:hAnsiTheme="minorHAnsi" w:cstheme="minorHAnsi"/>
          <w:sz w:val="22"/>
          <w:szCs w:val="22"/>
        </w:rPr>
      </w:pPr>
      <w:r w:rsidRPr="00664E4A">
        <w:rPr>
          <w:rFonts w:asciiTheme="minorHAnsi" w:hAnsiTheme="minorHAnsi" w:cstheme="minorHAnsi"/>
          <w:sz w:val="22"/>
          <w:szCs w:val="22"/>
        </w:rPr>
        <w:t>“</w:t>
      </w:r>
      <w:r w:rsidR="0080170F" w:rsidRPr="00664E4A">
        <w:rPr>
          <w:rFonts w:asciiTheme="minorHAnsi" w:hAnsiTheme="minorHAnsi" w:cstheme="minorHAnsi"/>
          <w:sz w:val="22"/>
          <w:szCs w:val="22"/>
        </w:rPr>
        <w:t>We</w:t>
      </w:r>
      <w:r w:rsidR="00A9565F" w:rsidRPr="00664E4A">
        <w:rPr>
          <w:rFonts w:asciiTheme="minorHAnsi" w:hAnsiTheme="minorHAnsi" w:cstheme="minorHAnsi"/>
          <w:sz w:val="22"/>
          <w:szCs w:val="22"/>
        </w:rPr>
        <w:t xml:space="preserve"> are seeing growth in </w:t>
      </w:r>
      <w:r w:rsidR="00597CCA" w:rsidRPr="00664E4A">
        <w:rPr>
          <w:rFonts w:asciiTheme="minorHAnsi" w:hAnsiTheme="minorHAnsi" w:cstheme="minorHAnsi"/>
          <w:sz w:val="22"/>
          <w:szCs w:val="22"/>
        </w:rPr>
        <w:t xml:space="preserve">positive </w:t>
      </w:r>
      <w:r w:rsidR="00A9565F" w:rsidRPr="00664E4A">
        <w:rPr>
          <w:rFonts w:asciiTheme="minorHAnsi" w:hAnsiTheme="minorHAnsi" w:cstheme="minorHAnsi"/>
          <w:sz w:val="22"/>
          <w:szCs w:val="22"/>
        </w:rPr>
        <w:t>sentiment and market share</w:t>
      </w:r>
      <w:r w:rsidR="008835E2" w:rsidRPr="00664E4A">
        <w:rPr>
          <w:rFonts w:asciiTheme="minorHAnsi" w:hAnsiTheme="minorHAnsi" w:cstheme="minorHAnsi"/>
          <w:sz w:val="22"/>
          <w:szCs w:val="22"/>
        </w:rPr>
        <w:t xml:space="preserve"> in </w:t>
      </w:r>
      <w:r w:rsidR="0080170F" w:rsidRPr="00664E4A">
        <w:rPr>
          <w:rFonts w:asciiTheme="minorHAnsi" w:hAnsiTheme="minorHAnsi" w:cstheme="minorHAnsi"/>
          <w:sz w:val="22"/>
          <w:szCs w:val="22"/>
        </w:rPr>
        <w:t>key segments</w:t>
      </w:r>
      <w:r w:rsidR="00A9565F" w:rsidRPr="00664E4A">
        <w:rPr>
          <w:rFonts w:asciiTheme="minorHAnsi" w:hAnsiTheme="minorHAnsi" w:cstheme="minorHAnsi"/>
          <w:sz w:val="22"/>
          <w:szCs w:val="22"/>
        </w:rPr>
        <w:t xml:space="preserve">. </w:t>
      </w:r>
      <w:r w:rsidR="00487AE6" w:rsidRPr="00664E4A">
        <w:rPr>
          <w:rFonts w:asciiTheme="minorHAnsi" w:hAnsiTheme="minorHAnsi" w:cstheme="minorHAnsi"/>
          <w:sz w:val="22"/>
          <w:szCs w:val="22"/>
        </w:rPr>
        <w:t>Westpac N</w:t>
      </w:r>
      <w:r w:rsidR="00502772" w:rsidRPr="00664E4A">
        <w:rPr>
          <w:rFonts w:asciiTheme="minorHAnsi" w:hAnsiTheme="minorHAnsi" w:cstheme="minorHAnsi"/>
          <w:sz w:val="22"/>
          <w:szCs w:val="22"/>
        </w:rPr>
        <w:t xml:space="preserve">ew </w:t>
      </w:r>
      <w:r w:rsidR="00487AE6" w:rsidRPr="00664E4A">
        <w:rPr>
          <w:rFonts w:asciiTheme="minorHAnsi" w:hAnsiTheme="minorHAnsi" w:cstheme="minorHAnsi"/>
          <w:sz w:val="22"/>
          <w:szCs w:val="22"/>
        </w:rPr>
        <w:t>Z</w:t>
      </w:r>
      <w:r w:rsidR="00502772" w:rsidRPr="00664E4A">
        <w:rPr>
          <w:rFonts w:asciiTheme="minorHAnsi" w:hAnsiTheme="minorHAnsi" w:cstheme="minorHAnsi"/>
          <w:sz w:val="22"/>
          <w:szCs w:val="22"/>
        </w:rPr>
        <w:t>ealand</w:t>
      </w:r>
      <w:r w:rsidR="00487AE6" w:rsidRPr="00664E4A">
        <w:rPr>
          <w:rFonts w:asciiTheme="minorHAnsi" w:hAnsiTheme="minorHAnsi" w:cstheme="minorHAnsi"/>
          <w:sz w:val="22"/>
          <w:szCs w:val="22"/>
        </w:rPr>
        <w:t>’s campaign</w:t>
      </w:r>
      <w:r w:rsidR="00A9565F" w:rsidRPr="00664E4A">
        <w:rPr>
          <w:rFonts w:asciiTheme="minorHAnsi" w:hAnsiTheme="minorHAnsi" w:cstheme="minorHAnsi"/>
          <w:sz w:val="22"/>
          <w:szCs w:val="22"/>
        </w:rPr>
        <w:t xml:space="preserve"> to support</w:t>
      </w:r>
      <w:r w:rsidR="00E6137B" w:rsidRPr="00664E4A">
        <w:rPr>
          <w:rFonts w:asciiTheme="minorHAnsi" w:hAnsiTheme="minorHAnsi" w:cstheme="minorHAnsi"/>
          <w:sz w:val="22"/>
          <w:szCs w:val="22"/>
        </w:rPr>
        <w:t xml:space="preserve"> first home buyers</w:t>
      </w:r>
      <w:r w:rsidR="00487AE6" w:rsidRPr="00664E4A">
        <w:rPr>
          <w:rFonts w:asciiTheme="minorHAnsi" w:hAnsiTheme="minorHAnsi" w:cstheme="minorHAnsi"/>
          <w:sz w:val="22"/>
          <w:szCs w:val="22"/>
        </w:rPr>
        <w:t xml:space="preserve"> through the re</w:t>
      </w:r>
      <w:r w:rsidR="0080170F" w:rsidRPr="00664E4A">
        <w:rPr>
          <w:rFonts w:asciiTheme="minorHAnsi" w:hAnsiTheme="minorHAnsi" w:cstheme="minorHAnsi"/>
          <w:sz w:val="22"/>
          <w:szCs w:val="22"/>
        </w:rPr>
        <w:t>-</w:t>
      </w:r>
      <w:r w:rsidR="00487AE6" w:rsidRPr="00664E4A">
        <w:rPr>
          <w:rFonts w:asciiTheme="minorHAnsi" w:hAnsiTheme="minorHAnsi" w:cstheme="minorHAnsi"/>
          <w:sz w:val="22"/>
          <w:szCs w:val="22"/>
        </w:rPr>
        <w:t xml:space="preserve">launch of our HomeSaver </w:t>
      </w:r>
      <w:r w:rsidR="005962B3" w:rsidRPr="00664E4A">
        <w:rPr>
          <w:rFonts w:asciiTheme="minorHAnsi" w:hAnsiTheme="minorHAnsi" w:cstheme="minorHAnsi"/>
          <w:sz w:val="22"/>
          <w:szCs w:val="22"/>
        </w:rPr>
        <w:t>offering</w:t>
      </w:r>
      <w:r w:rsidR="00E6137B" w:rsidRPr="00664E4A">
        <w:rPr>
          <w:rFonts w:asciiTheme="minorHAnsi" w:hAnsiTheme="minorHAnsi" w:cstheme="minorHAnsi"/>
          <w:sz w:val="22"/>
          <w:szCs w:val="22"/>
        </w:rPr>
        <w:t xml:space="preserve"> </w:t>
      </w:r>
      <w:r w:rsidR="00487AE6" w:rsidRPr="00664E4A">
        <w:rPr>
          <w:rFonts w:asciiTheme="minorHAnsi" w:hAnsiTheme="minorHAnsi" w:cstheme="minorHAnsi"/>
          <w:sz w:val="22"/>
          <w:szCs w:val="22"/>
        </w:rPr>
        <w:t xml:space="preserve">aligns with </w:t>
      </w:r>
      <w:r w:rsidR="004C330B" w:rsidRPr="00664E4A">
        <w:rPr>
          <w:rFonts w:asciiTheme="minorHAnsi" w:hAnsiTheme="minorHAnsi" w:cstheme="minorHAnsi"/>
          <w:sz w:val="22"/>
          <w:szCs w:val="22"/>
        </w:rPr>
        <w:t>a steady increase</w:t>
      </w:r>
      <w:r w:rsidR="00E6137B" w:rsidRPr="00664E4A">
        <w:rPr>
          <w:rFonts w:asciiTheme="minorHAnsi" w:hAnsiTheme="minorHAnsi" w:cstheme="minorHAnsi"/>
          <w:sz w:val="22"/>
          <w:szCs w:val="22"/>
        </w:rPr>
        <w:t xml:space="preserve"> i</w:t>
      </w:r>
      <w:r w:rsidR="00817BCF" w:rsidRPr="00664E4A">
        <w:rPr>
          <w:rFonts w:asciiTheme="minorHAnsi" w:hAnsiTheme="minorHAnsi" w:cstheme="minorHAnsi"/>
          <w:sz w:val="22"/>
          <w:szCs w:val="22"/>
        </w:rPr>
        <w:t xml:space="preserve">n </w:t>
      </w:r>
      <w:r w:rsidR="00487AE6" w:rsidRPr="00664E4A">
        <w:rPr>
          <w:rFonts w:asciiTheme="minorHAnsi" w:hAnsiTheme="minorHAnsi" w:cstheme="minorHAnsi"/>
          <w:sz w:val="22"/>
          <w:szCs w:val="22"/>
        </w:rPr>
        <w:t xml:space="preserve">withdrawals </w:t>
      </w:r>
      <w:r w:rsidR="001528DA" w:rsidRPr="00664E4A">
        <w:rPr>
          <w:rFonts w:asciiTheme="minorHAnsi" w:hAnsiTheme="minorHAnsi" w:cstheme="minorHAnsi"/>
          <w:sz w:val="22"/>
          <w:szCs w:val="22"/>
        </w:rPr>
        <w:t xml:space="preserve">from the Westpac KiwiSaver </w:t>
      </w:r>
      <w:r w:rsidR="00FB3B1B" w:rsidRPr="00664E4A">
        <w:rPr>
          <w:rFonts w:asciiTheme="minorHAnsi" w:hAnsiTheme="minorHAnsi" w:cstheme="minorHAnsi"/>
          <w:sz w:val="22"/>
          <w:szCs w:val="22"/>
        </w:rPr>
        <w:t>Scheme</w:t>
      </w:r>
      <w:r w:rsidR="00FB3B1B" w:rsidRPr="00664E4A">
        <w:rPr>
          <w:rFonts w:asciiTheme="minorHAnsi" w:hAnsiTheme="minorHAnsi" w:cstheme="minorHAnsi"/>
          <w:sz w:val="22"/>
          <w:szCs w:val="22"/>
          <w:vertAlign w:val="superscript"/>
        </w:rPr>
        <w:t xml:space="preserve">4 </w:t>
      </w:r>
      <w:r w:rsidR="00FB3B1B" w:rsidRPr="00664E4A">
        <w:rPr>
          <w:rFonts w:asciiTheme="minorHAnsi" w:hAnsiTheme="minorHAnsi" w:cstheme="minorHAnsi"/>
          <w:sz w:val="22"/>
          <w:szCs w:val="22"/>
        </w:rPr>
        <w:t xml:space="preserve">by </w:t>
      </w:r>
      <w:r w:rsidR="00B92FBB" w:rsidRPr="00664E4A">
        <w:rPr>
          <w:rFonts w:asciiTheme="minorHAnsi" w:hAnsiTheme="minorHAnsi" w:cstheme="minorHAnsi"/>
          <w:sz w:val="22"/>
          <w:szCs w:val="22"/>
        </w:rPr>
        <w:t>first home buyers</w:t>
      </w:r>
      <w:r w:rsidR="004C330B" w:rsidRPr="00664E4A">
        <w:rPr>
          <w:rFonts w:asciiTheme="minorHAnsi" w:hAnsiTheme="minorHAnsi" w:cstheme="minorHAnsi"/>
          <w:sz w:val="22"/>
          <w:szCs w:val="22"/>
        </w:rPr>
        <w:t xml:space="preserve">. </w:t>
      </w:r>
    </w:p>
    <w:p w:rsidR="00893DB9" w:rsidRPr="00664E4A" w:rsidRDefault="00893DB9" w:rsidP="00D163A5">
      <w:pPr>
        <w:rPr>
          <w:rFonts w:asciiTheme="minorHAnsi" w:hAnsiTheme="minorHAnsi" w:cstheme="minorHAnsi"/>
          <w:sz w:val="22"/>
          <w:szCs w:val="22"/>
        </w:rPr>
      </w:pPr>
    </w:p>
    <w:p w:rsidR="00862659" w:rsidRPr="00664E4A" w:rsidRDefault="00893DB9" w:rsidP="00D163A5">
      <w:pPr>
        <w:rPr>
          <w:rFonts w:asciiTheme="minorHAnsi" w:hAnsiTheme="minorHAnsi" w:cstheme="minorHAnsi"/>
          <w:sz w:val="22"/>
          <w:szCs w:val="22"/>
        </w:rPr>
      </w:pPr>
      <w:r w:rsidRPr="00664E4A">
        <w:rPr>
          <w:rFonts w:asciiTheme="minorHAnsi" w:hAnsiTheme="minorHAnsi" w:cstheme="minorHAnsi"/>
          <w:sz w:val="22"/>
          <w:szCs w:val="22"/>
        </w:rPr>
        <w:t xml:space="preserve">“At the same time funds in the Westpac KiwiSaver scheme have increased </w:t>
      </w:r>
      <w:r w:rsidR="00E63C78" w:rsidRPr="00664E4A">
        <w:rPr>
          <w:rFonts w:asciiTheme="minorHAnsi" w:hAnsiTheme="minorHAnsi" w:cstheme="minorHAnsi"/>
          <w:sz w:val="22"/>
          <w:szCs w:val="22"/>
        </w:rPr>
        <w:t>20</w:t>
      </w:r>
      <w:r w:rsidRPr="00664E4A">
        <w:rPr>
          <w:rFonts w:asciiTheme="minorHAnsi" w:hAnsiTheme="minorHAnsi" w:cstheme="minorHAnsi"/>
          <w:sz w:val="22"/>
          <w:szCs w:val="22"/>
        </w:rPr>
        <w:t xml:space="preserve">% in the past year with the </w:t>
      </w:r>
      <w:r w:rsidR="004C330B" w:rsidRPr="00664E4A">
        <w:rPr>
          <w:rFonts w:asciiTheme="minorHAnsi" w:hAnsiTheme="minorHAnsi" w:cstheme="minorHAnsi"/>
          <w:sz w:val="22"/>
          <w:szCs w:val="22"/>
        </w:rPr>
        <w:t>average balance increas</w:t>
      </w:r>
      <w:r w:rsidRPr="00664E4A">
        <w:rPr>
          <w:rFonts w:asciiTheme="minorHAnsi" w:hAnsiTheme="minorHAnsi" w:cstheme="minorHAnsi"/>
          <w:sz w:val="22"/>
          <w:szCs w:val="22"/>
        </w:rPr>
        <w:t>ing</w:t>
      </w:r>
      <w:r w:rsidR="004C330B" w:rsidRPr="00664E4A">
        <w:rPr>
          <w:rFonts w:asciiTheme="minorHAnsi" w:hAnsiTheme="minorHAnsi" w:cstheme="minorHAnsi"/>
          <w:sz w:val="22"/>
          <w:szCs w:val="22"/>
        </w:rPr>
        <w:t xml:space="preserve"> from $5</w:t>
      </w:r>
      <w:r w:rsidR="00106540" w:rsidRPr="00664E4A">
        <w:rPr>
          <w:rFonts w:asciiTheme="minorHAnsi" w:hAnsiTheme="minorHAnsi" w:cstheme="minorHAnsi"/>
          <w:sz w:val="22"/>
          <w:szCs w:val="22"/>
        </w:rPr>
        <w:t>,</w:t>
      </w:r>
      <w:r w:rsidR="004C330B" w:rsidRPr="00664E4A">
        <w:rPr>
          <w:rFonts w:asciiTheme="minorHAnsi" w:hAnsiTheme="minorHAnsi" w:cstheme="minorHAnsi"/>
          <w:sz w:val="22"/>
          <w:szCs w:val="22"/>
        </w:rPr>
        <w:t>800 in December 2012 to $11</w:t>
      </w:r>
      <w:r w:rsidR="00106540" w:rsidRPr="00664E4A">
        <w:rPr>
          <w:rFonts w:asciiTheme="minorHAnsi" w:hAnsiTheme="minorHAnsi" w:cstheme="minorHAnsi"/>
          <w:sz w:val="22"/>
          <w:szCs w:val="22"/>
        </w:rPr>
        <w:t>,</w:t>
      </w:r>
      <w:r w:rsidR="004C330B" w:rsidRPr="00664E4A">
        <w:rPr>
          <w:rFonts w:asciiTheme="minorHAnsi" w:hAnsiTheme="minorHAnsi" w:cstheme="minorHAnsi"/>
          <w:sz w:val="22"/>
          <w:szCs w:val="22"/>
        </w:rPr>
        <w:t>400 in December 2016.</w:t>
      </w:r>
    </w:p>
    <w:p w:rsidR="00862659" w:rsidRPr="00664E4A" w:rsidRDefault="00862659" w:rsidP="00D163A5">
      <w:pPr>
        <w:rPr>
          <w:rFonts w:cstheme="minorHAnsi"/>
          <w:sz w:val="22"/>
          <w:szCs w:val="22"/>
        </w:rPr>
      </w:pPr>
    </w:p>
    <w:p w:rsidR="00EC3CC6" w:rsidRPr="00664E4A" w:rsidRDefault="00EC3CC6" w:rsidP="00EC3CC6">
      <w:pPr>
        <w:pStyle w:val="NoSpacing"/>
        <w:rPr>
          <w:rFonts w:cstheme="minorHAnsi"/>
        </w:rPr>
      </w:pPr>
      <w:r w:rsidRPr="00664E4A">
        <w:rPr>
          <w:rFonts w:cstheme="minorHAnsi"/>
        </w:rPr>
        <w:t>“Our customer-centric strategy is coming to life with reduced banking fees</w:t>
      </w:r>
      <w:r w:rsidR="00CF3F48" w:rsidRPr="00664E4A">
        <w:rPr>
          <w:rFonts w:cstheme="minorHAnsi"/>
        </w:rPr>
        <w:t>,</w:t>
      </w:r>
      <w:r w:rsidRPr="00664E4A">
        <w:rPr>
          <w:rFonts w:cstheme="minorHAnsi"/>
        </w:rPr>
        <w:t xml:space="preserve"> one of several changes that have contributed to a</w:t>
      </w:r>
      <w:r w:rsidR="00DE6734">
        <w:rPr>
          <w:rFonts w:cstheme="minorHAnsi"/>
        </w:rPr>
        <w:t>n</w:t>
      </w:r>
      <w:r w:rsidRPr="00664E4A">
        <w:rPr>
          <w:rFonts w:cstheme="minorHAnsi"/>
        </w:rPr>
        <w:t xml:space="preserve"> </w:t>
      </w:r>
      <w:r w:rsidR="006A3168" w:rsidRPr="00664E4A">
        <w:rPr>
          <w:rFonts w:cstheme="minorHAnsi"/>
        </w:rPr>
        <w:t>18</w:t>
      </w:r>
      <w:r w:rsidRPr="00664E4A">
        <w:rPr>
          <w:rFonts w:cstheme="minorHAnsi"/>
        </w:rPr>
        <w:t xml:space="preserve">% drop in customer complaints compared to the same period last year.” </w:t>
      </w:r>
    </w:p>
    <w:p w:rsidR="00EC3CC6" w:rsidRPr="00664E4A" w:rsidRDefault="00EC3CC6" w:rsidP="00D163A5">
      <w:pPr>
        <w:rPr>
          <w:rFonts w:cstheme="minorHAnsi"/>
          <w:sz w:val="22"/>
          <w:szCs w:val="22"/>
        </w:rPr>
      </w:pPr>
    </w:p>
    <w:p w:rsidR="00BC1EB6" w:rsidRPr="00664E4A" w:rsidRDefault="00BC1EB6" w:rsidP="00BC1EB6">
      <w:pPr>
        <w:pStyle w:val="NoSpacing"/>
        <w:shd w:val="clear" w:color="auto" w:fill="EEECE1" w:themeFill="background2"/>
        <w:rPr>
          <w:rFonts w:cstheme="minorHAnsi"/>
          <w:b/>
        </w:rPr>
      </w:pPr>
      <w:r w:rsidRPr="00664E4A">
        <w:rPr>
          <w:rFonts w:cstheme="minorHAnsi"/>
          <w:b/>
        </w:rPr>
        <w:t>Key financials</w:t>
      </w:r>
    </w:p>
    <w:p w:rsidR="00BC1EB6" w:rsidRPr="00664E4A" w:rsidRDefault="00BC1EB6" w:rsidP="00BC1EB6">
      <w:pPr>
        <w:pStyle w:val="NoSpacing"/>
        <w:shd w:val="clear" w:color="auto" w:fill="EEECE1" w:themeFill="background2"/>
        <w:rPr>
          <w:rFonts w:cstheme="minorHAnsi"/>
          <w:i/>
        </w:rPr>
      </w:pPr>
      <w:r w:rsidRPr="00664E4A">
        <w:rPr>
          <w:rFonts w:cstheme="minorHAnsi"/>
          <w:i/>
        </w:rPr>
        <w:t xml:space="preserve">(All comparisons are with the six month period ended 31 March </w:t>
      </w:r>
      <w:r w:rsidR="0048705B" w:rsidRPr="00664E4A">
        <w:rPr>
          <w:rFonts w:cstheme="minorHAnsi"/>
          <w:i/>
        </w:rPr>
        <w:t xml:space="preserve">2017 </w:t>
      </w:r>
      <w:r w:rsidR="00CF3F48" w:rsidRPr="00664E4A">
        <w:rPr>
          <w:rFonts w:cstheme="minorHAnsi"/>
          <w:i/>
        </w:rPr>
        <w:t>versus the same period last year</w:t>
      </w:r>
      <w:r w:rsidRPr="00664E4A">
        <w:rPr>
          <w:rFonts w:cstheme="minorHAnsi"/>
          <w:i/>
        </w:rPr>
        <w:t>)</w:t>
      </w:r>
    </w:p>
    <w:p w:rsidR="00BC1EB6" w:rsidRPr="00664E4A" w:rsidRDefault="00BC1EB6" w:rsidP="00BC1EB6">
      <w:pPr>
        <w:pStyle w:val="NoSpacing"/>
        <w:numPr>
          <w:ilvl w:val="0"/>
          <w:numId w:val="10"/>
        </w:numPr>
        <w:shd w:val="clear" w:color="auto" w:fill="EEECE1" w:themeFill="background2"/>
        <w:rPr>
          <w:rFonts w:cstheme="minorHAnsi"/>
        </w:rPr>
      </w:pPr>
      <w:r w:rsidRPr="00664E4A">
        <w:rPr>
          <w:rFonts w:cstheme="minorHAnsi"/>
        </w:rPr>
        <w:t>Cash Earnings of $462</w:t>
      </w:r>
      <w:r w:rsidR="00CF3F48" w:rsidRPr="00664E4A">
        <w:rPr>
          <w:rFonts w:cstheme="minorHAnsi"/>
        </w:rPr>
        <w:t>m</w:t>
      </w:r>
      <w:r w:rsidRPr="00664E4A">
        <w:rPr>
          <w:rFonts w:cstheme="minorHAnsi"/>
        </w:rPr>
        <w:t xml:space="preserve">, up 2% </w:t>
      </w:r>
    </w:p>
    <w:p w:rsidR="00BC1EB6" w:rsidRPr="00664E4A" w:rsidRDefault="00B66845" w:rsidP="00BC1EB6">
      <w:pPr>
        <w:pStyle w:val="NoSpacing"/>
        <w:numPr>
          <w:ilvl w:val="0"/>
          <w:numId w:val="10"/>
        </w:numPr>
        <w:shd w:val="clear" w:color="auto" w:fill="EEECE1" w:themeFill="background2"/>
        <w:rPr>
          <w:rFonts w:cstheme="minorHAnsi"/>
        </w:rPr>
      </w:pPr>
      <w:r w:rsidRPr="00664E4A">
        <w:rPr>
          <w:rFonts w:cstheme="minorHAnsi"/>
        </w:rPr>
        <w:t xml:space="preserve">Net </w:t>
      </w:r>
      <w:r w:rsidR="00BC1EB6" w:rsidRPr="00664E4A">
        <w:rPr>
          <w:rFonts w:cstheme="minorHAnsi"/>
        </w:rPr>
        <w:t xml:space="preserve">Operating Income </w:t>
      </w:r>
      <w:r w:rsidR="00FF624C" w:rsidRPr="00664E4A">
        <w:rPr>
          <w:rFonts w:cstheme="minorHAnsi"/>
        </w:rPr>
        <w:t xml:space="preserve">of </w:t>
      </w:r>
      <w:r w:rsidR="00BC1EB6" w:rsidRPr="00664E4A">
        <w:rPr>
          <w:rFonts w:cstheme="minorHAnsi"/>
        </w:rPr>
        <w:t xml:space="preserve">$1,078m, down 1% driven by </w:t>
      </w:r>
      <w:r w:rsidR="0048705B" w:rsidRPr="00664E4A">
        <w:rPr>
          <w:rFonts w:cstheme="minorHAnsi"/>
        </w:rPr>
        <w:t>increasing pricing competition for deposits, impact from reduction in amortisation period for deferred acquisition costs and lower mortgage break fees</w:t>
      </w:r>
    </w:p>
    <w:p w:rsidR="00BC1EB6" w:rsidRPr="00664E4A" w:rsidRDefault="00BC1EB6" w:rsidP="00314E4F">
      <w:pPr>
        <w:pStyle w:val="NoSpacing"/>
        <w:numPr>
          <w:ilvl w:val="0"/>
          <w:numId w:val="10"/>
        </w:numPr>
        <w:shd w:val="clear" w:color="auto" w:fill="EEECE1" w:themeFill="background2"/>
        <w:ind w:left="714" w:hanging="357"/>
        <w:rPr>
          <w:rFonts w:cstheme="minorHAnsi"/>
        </w:rPr>
      </w:pPr>
      <w:r w:rsidRPr="00664E4A">
        <w:rPr>
          <w:rFonts w:cstheme="minorHAnsi"/>
        </w:rPr>
        <w:t xml:space="preserve">Operating expenses of $468m, a 2% increase with continuing investment in </w:t>
      </w:r>
      <w:r w:rsidR="00EC3CC6" w:rsidRPr="00664E4A">
        <w:rPr>
          <w:rFonts w:cstheme="minorHAnsi"/>
        </w:rPr>
        <w:t xml:space="preserve">our </w:t>
      </w:r>
      <w:r w:rsidRPr="00664E4A">
        <w:rPr>
          <w:rFonts w:cstheme="minorHAnsi"/>
        </w:rPr>
        <w:t xml:space="preserve">customer </w:t>
      </w:r>
      <w:r w:rsidR="00EC3CC6" w:rsidRPr="00664E4A">
        <w:rPr>
          <w:rFonts w:cstheme="minorHAnsi"/>
        </w:rPr>
        <w:t xml:space="preserve">service </w:t>
      </w:r>
      <w:r w:rsidRPr="00664E4A">
        <w:rPr>
          <w:rFonts w:cstheme="minorHAnsi"/>
        </w:rPr>
        <w:t xml:space="preserve">transformation </w:t>
      </w:r>
      <w:r w:rsidR="0048705B" w:rsidRPr="00664E4A">
        <w:rPr>
          <w:rFonts w:cstheme="minorHAnsi"/>
        </w:rPr>
        <w:t>programme</w:t>
      </w:r>
    </w:p>
    <w:p w:rsidR="00314E4F" w:rsidRPr="00664E4A" w:rsidRDefault="00314E4F" w:rsidP="00314E4F">
      <w:pPr>
        <w:pStyle w:val="ListParagraph"/>
        <w:numPr>
          <w:ilvl w:val="0"/>
          <w:numId w:val="10"/>
        </w:numPr>
        <w:shd w:val="clear" w:color="auto" w:fill="EEECE1" w:themeFill="background2"/>
        <w:spacing w:after="0" w:line="240" w:lineRule="auto"/>
        <w:ind w:left="714" w:hanging="357"/>
      </w:pPr>
      <w:r w:rsidRPr="00664E4A">
        <w:t xml:space="preserve">Net benefit from impairments of </w:t>
      </w:r>
      <w:r w:rsidR="000D1B4B">
        <w:t xml:space="preserve">$36m, compared with impairment charges </w:t>
      </w:r>
      <w:r w:rsidRPr="00664E4A">
        <w:t>of $9m</w:t>
      </w:r>
    </w:p>
    <w:p w:rsidR="00301B68" w:rsidRPr="00664E4A" w:rsidRDefault="00301B68" w:rsidP="00301B68">
      <w:pPr>
        <w:pStyle w:val="NoSpacing"/>
        <w:numPr>
          <w:ilvl w:val="0"/>
          <w:numId w:val="10"/>
        </w:numPr>
        <w:shd w:val="clear" w:color="auto" w:fill="EEECE1" w:themeFill="background2"/>
        <w:ind w:left="714" w:hanging="357"/>
        <w:rPr>
          <w:rFonts w:cstheme="minorHAnsi"/>
        </w:rPr>
      </w:pPr>
      <w:r w:rsidRPr="00664E4A">
        <w:rPr>
          <w:rFonts w:cstheme="minorHAnsi"/>
        </w:rPr>
        <w:t xml:space="preserve">Total net </w:t>
      </w:r>
      <w:r w:rsidR="009654C3" w:rsidRPr="00664E4A">
        <w:rPr>
          <w:rFonts w:cstheme="minorHAnsi"/>
        </w:rPr>
        <w:t>l</w:t>
      </w:r>
      <w:r w:rsidR="00BC1EB6" w:rsidRPr="00664E4A">
        <w:rPr>
          <w:rFonts w:cstheme="minorHAnsi"/>
        </w:rPr>
        <w:t xml:space="preserve">ending up </w:t>
      </w:r>
      <w:r w:rsidR="00B66845" w:rsidRPr="00664E4A">
        <w:rPr>
          <w:rFonts w:cstheme="minorHAnsi"/>
        </w:rPr>
        <w:t>7</w:t>
      </w:r>
      <w:r w:rsidR="00BC1EB6" w:rsidRPr="00664E4A">
        <w:rPr>
          <w:rFonts w:cstheme="minorHAnsi"/>
        </w:rPr>
        <w:t>%</w:t>
      </w:r>
      <w:r w:rsidR="009654C3" w:rsidRPr="00664E4A">
        <w:rPr>
          <w:rFonts w:cstheme="minorHAnsi"/>
        </w:rPr>
        <w:t xml:space="preserve">, </w:t>
      </w:r>
      <w:r w:rsidRPr="00664E4A">
        <w:rPr>
          <w:rFonts w:cstheme="minorHAnsi"/>
        </w:rPr>
        <w:t xml:space="preserve">with </w:t>
      </w:r>
      <w:r w:rsidR="006A3168" w:rsidRPr="00664E4A">
        <w:rPr>
          <w:rFonts w:cstheme="minorHAnsi"/>
        </w:rPr>
        <w:t xml:space="preserve">a </w:t>
      </w:r>
      <w:r w:rsidRPr="00664E4A">
        <w:rPr>
          <w:rFonts w:cstheme="minorHAnsi"/>
        </w:rPr>
        <w:t>6</w:t>
      </w:r>
      <w:r w:rsidR="009654C3" w:rsidRPr="00664E4A">
        <w:rPr>
          <w:rFonts w:cstheme="minorHAnsi"/>
        </w:rPr>
        <w:t>%</w:t>
      </w:r>
      <w:r w:rsidR="006A3168" w:rsidRPr="00664E4A">
        <w:rPr>
          <w:rFonts w:cstheme="minorHAnsi"/>
        </w:rPr>
        <w:t xml:space="preserve"> </w:t>
      </w:r>
      <w:r w:rsidR="009654C3" w:rsidRPr="00664E4A">
        <w:rPr>
          <w:rFonts w:cstheme="minorHAnsi"/>
        </w:rPr>
        <w:t>increase in</w:t>
      </w:r>
      <w:r w:rsidR="00BC1EB6" w:rsidRPr="00664E4A">
        <w:rPr>
          <w:rFonts w:cstheme="minorHAnsi"/>
        </w:rPr>
        <w:t xml:space="preserve"> home loan lending </w:t>
      </w:r>
      <w:r w:rsidRPr="00664E4A">
        <w:rPr>
          <w:rFonts w:cstheme="minorHAnsi"/>
        </w:rPr>
        <w:t>and business lending growth of 8%</w:t>
      </w:r>
    </w:p>
    <w:p w:rsidR="00BC1EB6" w:rsidRPr="00664E4A" w:rsidRDefault="00BC1EB6" w:rsidP="00BC1EB6">
      <w:pPr>
        <w:pStyle w:val="NoSpacing"/>
        <w:numPr>
          <w:ilvl w:val="0"/>
          <w:numId w:val="10"/>
        </w:numPr>
        <w:shd w:val="clear" w:color="auto" w:fill="EEECE1" w:themeFill="background2"/>
        <w:rPr>
          <w:rFonts w:cstheme="minorHAnsi"/>
        </w:rPr>
      </w:pPr>
      <w:r w:rsidRPr="00664E4A">
        <w:rPr>
          <w:rFonts w:cstheme="minorHAnsi"/>
        </w:rPr>
        <w:t>Overall deposits</w:t>
      </w:r>
      <w:r w:rsidR="00301B68" w:rsidRPr="00664E4A">
        <w:rPr>
          <w:rFonts w:cstheme="minorHAnsi"/>
          <w:vertAlign w:val="superscript"/>
        </w:rPr>
        <w:t>3</w:t>
      </w:r>
      <w:r w:rsidRPr="00664E4A">
        <w:rPr>
          <w:rFonts w:cstheme="minorHAnsi"/>
        </w:rPr>
        <w:t xml:space="preserve"> </w:t>
      </w:r>
      <w:r w:rsidR="0009005F" w:rsidRPr="00664E4A">
        <w:rPr>
          <w:rFonts w:cstheme="minorHAnsi"/>
        </w:rPr>
        <w:t>up 3%</w:t>
      </w:r>
      <w:r w:rsidRPr="00664E4A">
        <w:rPr>
          <w:rFonts w:cstheme="minorHAnsi"/>
        </w:rPr>
        <w:t xml:space="preserve"> </w:t>
      </w:r>
      <w:r w:rsidR="0009005F" w:rsidRPr="00664E4A">
        <w:rPr>
          <w:rFonts w:cstheme="minorHAnsi"/>
        </w:rPr>
        <w:t xml:space="preserve"> and </w:t>
      </w:r>
      <w:r w:rsidRPr="00664E4A">
        <w:rPr>
          <w:rFonts w:cstheme="minorHAnsi"/>
        </w:rPr>
        <w:t xml:space="preserve">term deposits up </w:t>
      </w:r>
      <w:r w:rsidR="0009005F" w:rsidRPr="00664E4A">
        <w:rPr>
          <w:rFonts w:cstheme="minorHAnsi"/>
        </w:rPr>
        <w:t>11%</w:t>
      </w:r>
    </w:p>
    <w:p w:rsidR="00893DB9" w:rsidRPr="00664E4A" w:rsidRDefault="00FB3B1B" w:rsidP="00BC1EB6">
      <w:pPr>
        <w:pStyle w:val="NoSpacing"/>
        <w:numPr>
          <w:ilvl w:val="0"/>
          <w:numId w:val="10"/>
        </w:numPr>
        <w:shd w:val="clear" w:color="auto" w:fill="EEECE1" w:themeFill="background2"/>
        <w:rPr>
          <w:rFonts w:cstheme="minorHAnsi"/>
        </w:rPr>
      </w:pPr>
      <w:r w:rsidRPr="00664E4A">
        <w:rPr>
          <w:rFonts w:cstheme="minorHAnsi"/>
        </w:rPr>
        <w:t>Funds in Westpac KiwiSaver</w:t>
      </w:r>
      <w:r w:rsidR="00B47833" w:rsidRPr="00B47833">
        <w:rPr>
          <w:rFonts w:cstheme="minorHAnsi"/>
          <w:vertAlign w:val="superscript"/>
        </w:rPr>
        <w:t>4</w:t>
      </w:r>
      <w:r w:rsidRPr="00664E4A">
        <w:rPr>
          <w:rFonts w:cstheme="minorHAnsi"/>
        </w:rPr>
        <w:t xml:space="preserve"> increased </w:t>
      </w:r>
      <w:r w:rsidR="0023397E" w:rsidRPr="00664E4A">
        <w:rPr>
          <w:rFonts w:cstheme="minorHAnsi"/>
        </w:rPr>
        <w:t>20</w:t>
      </w:r>
      <w:r w:rsidRPr="00664E4A">
        <w:rPr>
          <w:rFonts w:cstheme="minorHAnsi"/>
        </w:rPr>
        <w:t>% to $4.7b</w:t>
      </w:r>
      <w:r w:rsidR="006A3168" w:rsidRPr="00664E4A">
        <w:rPr>
          <w:rFonts w:cstheme="minorHAnsi"/>
        </w:rPr>
        <w:t xml:space="preserve"> </w:t>
      </w:r>
    </w:p>
    <w:p w:rsidR="00BC1EB6" w:rsidRPr="00664E4A" w:rsidRDefault="00BC1EB6" w:rsidP="00BC1EB6">
      <w:pPr>
        <w:pStyle w:val="NoSpacing"/>
        <w:numPr>
          <w:ilvl w:val="0"/>
          <w:numId w:val="10"/>
        </w:numPr>
        <w:shd w:val="clear" w:color="auto" w:fill="EEECE1" w:themeFill="background2"/>
        <w:rPr>
          <w:rFonts w:cstheme="minorHAnsi"/>
        </w:rPr>
      </w:pPr>
      <w:r w:rsidRPr="00664E4A">
        <w:rPr>
          <w:rFonts w:cstheme="minorHAnsi"/>
        </w:rPr>
        <w:t>N</w:t>
      </w:r>
      <w:r w:rsidR="00556ED6" w:rsidRPr="00664E4A">
        <w:rPr>
          <w:rFonts w:cstheme="minorHAnsi"/>
        </w:rPr>
        <w:t xml:space="preserve">et </w:t>
      </w:r>
      <w:r w:rsidR="00CF3F48" w:rsidRPr="00664E4A">
        <w:rPr>
          <w:rFonts w:cstheme="minorHAnsi"/>
        </w:rPr>
        <w:t>i</w:t>
      </w:r>
      <w:r w:rsidR="00556ED6" w:rsidRPr="00664E4A">
        <w:rPr>
          <w:rFonts w:cstheme="minorHAnsi"/>
        </w:rPr>
        <w:t xml:space="preserve">nterest </w:t>
      </w:r>
      <w:r w:rsidR="00CF3F48" w:rsidRPr="00664E4A">
        <w:rPr>
          <w:rFonts w:cstheme="minorHAnsi"/>
        </w:rPr>
        <w:t>m</w:t>
      </w:r>
      <w:r w:rsidR="00556ED6" w:rsidRPr="00664E4A">
        <w:rPr>
          <w:rFonts w:cstheme="minorHAnsi"/>
        </w:rPr>
        <w:t>argin 1.96%, down 22 basis points</w:t>
      </w:r>
    </w:p>
    <w:p w:rsidR="00BC1EB6" w:rsidRPr="00664E4A" w:rsidRDefault="00BC1EB6" w:rsidP="00D163A5">
      <w:pPr>
        <w:rPr>
          <w:rFonts w:cstheme="minorHAnsi"/>
          <w:sz w:val="22"/>
          <w:szCs w:val="22"/>
        </w:rPr>
      </w:pPr>
    </w:p>
    <w:p w:rsidR="00BC1EB6" w:rsidRPr="00664E4A" w:rsidRDefault="00862659" w:rsidP="00D163A5">
      <w:pPr>
        <w:rPr>
          <w:rFonts w:cstheme="minorHAnsi"/>
          <w:sz w:val="22"/>
          <w:szCs w:val="22"/>
        </w:rPr>
      </w:pPr>
      <w:r w:rsidRPr="00664E4A">
        <w:rPr>
          <w:rFonts w:asciiTheme="minorHAnsi" w:hAnsiTheme="minorHAnsi" w:cstheme="minorHAnsi"/>
          <w:sz w:val="22"/>
          <w:szCs w:val="22"/>
        </w:rPr>
        <w:lastRenderedPageBreak/>
        <w:t xml:space="preserve">“We saw growth in </w:t>
      </w:r>
      <w:r w:rsidR="00B92FBB" w:rsidRPr="00664E4A">
        <w:rPr>
          <w:rFonts w:asciiTheme="minorHAnsi" w:hAnsiTheme="minorHAnsi" w:cstheme="minorHAnsi"/>
          <w:sz w:val="22"/>
          <w:szCs w:val="22"/>
        </w:rPr>
        <w:t xml:space="preserve">targeted </w:t>
      </w:r>
      <w:r w:rsidRPr="00664E4A">
        <w:rPr>
          <w:rFonts w:asciiTheme="minorHAnsi" w:hAnsiTheme="minorHAnsi" w:cstheme="minorHAnsi"/>
          <w:sz w:val="22"/>
          <w:szCs w:val="22"/>
        </w:rPr>
        <w:t>mark</w:t>
      </w:r>
      <w:r w:rsidR="00BC1EB6" w:rsidRPr="00664E4A">
        <w:rPr>
          <w:rFonts w:asciiTheme="minorHAnsi" w:hAnsiTheme="minorHAnsi" w:cstheme="minorHAnsi"/>
          <w:sz w:val="22"/>
          <w:szCs w:val="22"/>
        </w:rPr>
        <w:t xml:space="preserve">et sectors, including Auckland and </w:t>
      </w:r>
      <w:r w:rsidR="00B06482" w:rsidRPr="00664E4A">
        <w:rPr>
          <w:rFonts w:asciiTheme="minorHAnsi" w:hAnsiTheme="minorHAnsi" w:cstheme="minorHAnsi"/>
          <w:sz w:val="22"/>
          <w:szCs w:val="22"/>
        </w:rPr>
        <w:t>millennials</w:t>
      </w:r>
      <w:r w:rsidR="00395045" w:rsidRPr="00664E4A">
        <w:rPr>
          <w:rFonts w:asciiTheme="minorHAnsi" w:hAnsiTheme="minorHAnsi" w:cstheme="minorHAnsi"/>
          <w:sz w:val="22"/>
          <w:szCs w:val="22"/>
        </w:rPr>
        <w:t>,</w:t>
      </w:r>
      <w:r w:rsidRPr="00664E4A">
        <w:rPr>
          <w:rFonts w:asciiTheme="minorHAnsi" w:hAnsiTheme="minorHAnsi" w:cstheme="minorHAnsi"/>
          <w:sz w:val="22"/>
          <w:szCs w:val="22"/>
        </w:rPr>
        <w:t xml:space="preserve"> and </w:t>
      </w:r>
      <w:r w:rsidR="00BC1EB6" w:rsidRPr="00664E4A">
        <w:rPr>
          <w:rFonts w:asciiTheme="minorHAnsi" w:hAnsiTheme="minorHAnsi" w:cstheme="minorHAnsi"/>
          <w:sz w:val="22"/>
          <w:szCs w:val="22"/>
        </w:rPr>
        <w:t xml:space="preserve">it is good </w:t>
      </w:r>
      <w:r w:rsidR="006E55EC" w:rsidRPr="00664E4A">
        <w:rPr>
          <w:rFonts w:asciiTheme="minorHAnsi" w:hAnsiTheme="minorHAnsi" w:cstheme="minorHAnsi"/>
          <w:sz w:val="22"/>
          <w:szCs w:val="22"/>
        </w:rPr>
        <w:t>to see a continuing recovery for</w:t>
      </w:r>
      <w:r w:rsidR="00EC3CC6" w:rsidRPr="00664E4A">
        <w:rPr>
          <w:rFonts w:asciiTheme="minorHAnsi" w:hAnsiTheme="minorHAnsi" w:cstheme="minorHAnsi"/>
          <w:sz w:val="22"/>
          <w:szCs w:val="22"/>
        </w:rPr>
        <w:t xml:space="preserve"> many of our</w:t>
      </w:r>
      <w:r w:rsidR="00B06482" w:rsidRPr="00664E4A">
        <w:rPr>
          <w:rFonts w:asciiTheme="minorHAnsi" w:hAnsiTheme="minorHAnsi" w:cstheme="minorHAnsi"/>
          <w:sz w:val="22"/>
          <w:szCs w:val="22"/>
        </w:rPr>
        <w:t xml:space="preserve"> dairy</w:t>
      </w:r>
      <w:r w:rsidR="00EC3CC6" w:rsidRPr="00664E4A">
        <w:rPr>
          <w:rFonts w:asciiTheme="minorHAnsi" w:hAnsiTheme="minorHAnsi" w:cstheme="minorHAnsi"/>
          <w:sz w:val="22"/>
          <w:szCs w:val="22"/>
        </w:rPr>
        <w:t xml:space="preserve"> </w:t>
      </w:r>
      <w:r w:rsidR="006E55EC" w:rsidRPr="00664E4A">
        <w:rPr>
          <w:rFonts w:asciiTheme="minorHAnsi" w:hAnsiTheme="minorHAnsi" w:cstheme="minorHAnsi"/>
          <w:sz w:val="22"/>
          <w:szCs w:val="22"/>
        </w:rPr>
        <w:t>farming customers</w:t>
      </w:r>
      <w:r w:rsidR="00BC1EB6" w:rsidRPr="00664E4A">
        <w:rPr>
          <w:rFonts w:asciiTheme="minorHAnsi" w:hAnsiTheme="minorHAnsi" w:cstheme="minorHAnsi"/>
          <w:sz w:val="22"/>
          <w:szCs w:val="22"/>
        </w:rPr>
        <w:t>,</w:t>
      </w:r>
      <w:r w:rsidR="006E55EC" w:rsidRPr="00664E4A">
        <w:rPr>
          <w:rFonts w:asciiTheme="minorHAnsi" w:hAnsiTheme="minorHAnsi" w:cstheme="minorHAnsi"/>
          <w:sz w:val="22"/>
          <w:szCs w:val="22"/>
        </w:rPr>
        <w:t xml:space="preserve"> which is</w:t>
      </w:r>
      <w:r w:rsidR="00D653B0" w:rsidRPr="00664E4A">
        <w:rPr>
          <w:rFonts w:asciiTheme="minorHAnsi" w:hAnsiTheme="minorHAnsi" w:cstheme="minorHAnsi"/>
          <w:sz w:val="22"/>
          <w:szCs w:val="22"/>
        </w:rPr>
        <w:t xml:space="preserve"> </w:t>
      </w:r>
      <w:r w:rsidRPr="00664E4A">
        <w:rPr>
          <w:rFonts w:asciiTheme="minorHAnsi" w:hAnsiTheme="minorHAnsi" w:cstheme="minorHAnsi"/>
          <w:sz w:val="22"/>
          <w:szCs w:val="22"/>
        </w:rPr>
        <w:t xml:space="preserve">reflected in our </w:t>
      </w:r>
      <w:r w:rsidR="00395045" w:rsidRPr="00664E4A">
        <w:rPr>
          <w:rFonts w:asciiTheme="minorHAnsi" w:hAnsiTheme="minorHAnsi" w:cstheme="minorHAnsi"/>
          <w:sz w:val="22"/>
          <w:szCs w:val="22"/>
        </w:rPr>
        <w:t>significantly improved</w:t>
      </w:r>
      <w:r w:rsidRPr="00664E4A">
        <w:rPr>
          <w:rFonts w:asciiTheme="minorHAnsi" w:hAnsiTheme="minorHAnsi" w:cstheme="minorHAnsi"/>
          <w:sz w:val="22"/>
          <w:szCs w:val="22"/>
        </w:rPr>
        <w:t xml:space="preserve"> impairment</w:t>
      </w:r>
      <w:r w:rsidR="00556ED6" w:rsidRPr="00664E4A">
        <w:rPr>
          <w:rFonts w:asciiTheme="minorHAnsi" w:hAnsiTheme="minorHAnsi" w:cstheme="minorHAnsi"/>
          <w:sz w:val="22"/>
          <w:szCs w:val="22"/>
        </w:rPr>
        <w:t xml:space="preserve"> position</w:t>
      </w:r>
      <w:r w:rsidR="00BC1EB6" w:rsidRPr="00664E4A">
        <w:rPr>
          <w:rFonts w:asciiTheme="minorHAnsi" w:hAnsiTheme="minorHAnsi" w:cstheme="minorHAnsi"/>
          <w:sz w:val="22"/>
          <w:szCs w:val="22"/>
        </w:rPr>
        <w:t>.</w:t>
      </w:r>
    </w:p>
    <w:p w:rsidR="006E55EC" w:rsidRPr="00664E4A" w:rsidRDefault="006E55EC" w:rsidP="00D163A5">
      <w:pPr>
        <w:rPr>
          <w:rFonts w:cstheme="minorHAnsi"/>
          <w:sz w:val="22"/>
          <w:szCs w:val="22"/>
        </w:rPr>
      </w:pPr>
    </w:p>
    <w:p w:rsidR="006E55EC" w:rsidRPr="00664E4A" w:rsidRDefault="006E55EC" w:rsidP="00D163A5">
      <w:pPr>
        <w:rPr>
          <w:rFonts w:cstheme="minorHAnsi"/>
          <w:sz w:val="22"/>
          <w:szCs w:val="22"/>
        </w:rPr>
      </w:pPr>
      <w:r w:rsidRPr="00664E4A">
        <w:rPr>
          <w:rFonts w:asciiTheme="minorHAnsi" w:hAnsiTheme="minorHAnsi" w:cstheme="minorHAnsi"/>
          <w:sz w:val="22"/>
          <w:szCs w:val="22"/>
        </w:rPr>
        <w:t>“</w:t>
      </w:r>
      <w:r w:rsidR="00EC3CC6" w:rsidRPr="00664E4A">
        <w:rPr>
          <w:rFonts w:asciiTheme="minorHAnsi" w:hAnsiTheme="minorHAnsi" w:cstheme="minorHAnsi"/>
          <w:sz w:val="22"/>
          <w:szCs w:val="22"/>
        </w:rPr>
        <w:t xml:space="preserve">At the same time we experienced </w:t>
      </w:r>
      <w:r w:rsidRPr="00664E4A">
        <w:rPr>
          <w:rFonts w:asciiTheme="minorHAnsi" w:hAnsiTheme="minorHAnsi" w:cstheme="minorHAnsi"/>
          <w:sz w:val="22"/>
          <w:szCs w:val="22"/>
        </w:rPr>
        <w:t>reduc</w:t>
      </w:r>
      <w:r w:rsidR="00BC1EB6" w:rsidRPr="00664E4A">
        <w:rPr>
          <w:rFonts w:asciiTheme="minorHAnsi" w:hAnsiTheme="minorHAnsi" w:cstheme="minorHAnsi"/>
          <w:sz w:val="22"/>
          <w:szCs w:val="22"/>
        </w:rPr>
        <w:t xml:space="preserve">ed </w:t>
      </w:r>
      <w:r w:rsidR="00CF3F48" w:rsidRPr="00664E4A">
        <w:rPr>
          <w:rFonts w:asciiTheme="minorHAnsi" w:hAnsiTheme="minorHAnsi" w:cstheme="minorHAnsi"/>
          <w:sz w:val="22"/>
          <w:szCs w:val="22"/>
        </w:rPr>
        <w:t>net i</w:t>
      </w:r>
      <w:r w:rsidRPr="00664E4A">
        <w:rPr>
          <w:rFonts w:asciiTheme="minorHAnsi" w:hAnsiTheme="minorHAnsi" w:cstheme="minorHAnsi"/>
          <w:sz w:val="22"/>
          <w:szCs w:val="22"/>
        </w:rPr>
        <w:t xml:space="preserve">nterest </w:t>
      </w:r>
      <w:r w:rsidR="00CF3F48" w:rsidRPr="00664E4A">
        <w:rPr>
          <w:rFonts w:asciiTheme="minorHAnsi" w:hAnsiTheme="minorHAnsi" w:cstheme="minorHAnsi"/>
          <w:sz w:val="22"/>
          <w:szCs w:val="22"/>
        </w:rPr>
        <w:t>m</w:t>
      </w:r>
      <w:r w:rsidRPr="00664E4A">
        <w:rPr>
          <w:rFonts w:asciiTheme="minorHAnsi" w:hAnsiTheme="minorHAnsi" w:cstheme="minorHAnsi"/>
          <w:sz w:val="22"/>
          <w:szCs w:val="22"/>
        </w:rPr>
        <w:t>argin</w:t>
      </w:r>
      <w:r w:rsidR="00556ED6" w:rsidRPr="00664E4A">
        <w:rPr>
          <w:rFonts w:asciiTheme="minorHAnsi" w:hAnsiTheme="minorHAnsi" w:cstheme="minorHAnsi"/>
          <w:sz w:val="22"/>
          <w:szCs w:val="22"/>
        </w:rPr>
        <w:t>:</w:t>
      </w:r>
      <w:r w:rsidRPr="00664E4A">
        <w:rPr>
          <w:rFonts w:asciiTheme="minorHAnsi" w:hAnsiTheme="minorHAnsi" w:cstheme="minorHAnsi"/>
          <w:sz w:val="22"/>
          <w:szCs w:val="22"/>
        </w:rPr>
        <w:t xml:space="preserve"> a result of strong lending c</w:t>
      </w:r>
      <w:r w:rsidR="00BC1EB6" w:rsidRPr="00664E4A">
        <w:rPr>
          <w:rFonts w:asciiTheme="minorHAnsi" w:hAnsiTheme="minorHAnsi" w:cstheme="minorHAnsi"/>
          <w:sz w:val="22"/>
          <w:szCs w:val="22"/>
        </w:rPr>
        <w:t>ompetition</w:t>
      </w:r>
      <w:r w:rsidR="00EC3CC6" w:rsidRPr="00664E4A">
        <w:rPr>
          <w:rFonts w:asciiTheme="minorHAnsi" w:hAnsiTheme="minorHAnsi" w:cstheme="minorHAnsi"/>
          <w:sz w:val="22"/>
          <w:szCs w:val="22"/>
        </w:rPr>
        <w:t xml:space="preserve"> </w:t>
      </w:r>
      <w:r w:rsidRPr="00664E4A">
        <w:rPr>
          <w:rFonts w:asciiTheme="minorHAnsi" w:hAnsiTheme="minorHAnsi" w:cstheme="minorHAnsi"/>
          <w:sz w:val="22"/>
          <w:szCs w:val="22"/>
        </w:rPr>
        <w:t>and increased funding costs</w:t>
      </w:r>
      <w:r w:rsidR="00BC1EB6" w:rsidRPr="00664E4A">
        <w:rPr>
          <w:rFonts w:asciiTheme="minorHAnsi" w:hAnsiTheme="minorHAnsi" w:cstheme="minorHAnsi"/>
          <w:sz w:val="22"/>
          <w:szCs w:val="22"/>
        </w:rPr>
        <w:t>.</w:t>
      </w:r>
      <w:r w:rsidR="00544629">
        <w:rPr>
          <w:rFonts w:asciiTheme="minorHAnsi" w:hAnsiTheme="minorHAnsi" w:cstheme="minorHAnsi"/>
          <w:sz w:val="22"/>
          <w:szCs w:val="22"/>
        </w:rPr>
        <w:t>”</w:t>
      </w:r>
      <w:r w:rsidRPr="00664E4A">
        <w:rPr>
          <w:rFonts w:asciiTheme="minorHAnsi" w:hAnsiTheme="minorHAnsi" w:cstheme="minorHAnsi"/>
          <w:sz w:val="22"/>
          <w:szCs w:val="22"/>
        </w:rPr>
        <w:t xml:space="preserve"> </w:t>
      </w:r>
    </w:p>
    <w:p w:rsidR="00487AE6" w:rsidRPr="00664E4A" w:rsidRDefault="00487AE6" w:rsidP="00DA577C">
      <w:pPr>
        <w:pStyle w:val="NoSpacing"/>
        <w:rPr>
          <w:rFonts w:cstheme="minorHAnsi"/>
        </w:rPr>
      </w:pPr>
    </w:p>
    <w:p w:rsidR="00D04D32" w:rsidRPr="00664E4A" w:rsidRDefault="00D04D32" w:rsidP="00DA577C">
      <w:pPr>
        <w:pStyle w:val="NoSpacing"/>
        <w:rPr>
          <w:rFonts w:cstheme="minorHAnsi"/>
        </w:rPr>
      </w:pPr>
    </w:p>
    <w:p w:rsidR="005962B3" w:rsidRPr="00664E4A" w:rsidRDefault="00EF26EA" w:rsidP="00487AE6">
      <w:pPr>
        <w:pStyle w:val="NoSpacing"/>
        <w:rPr>
          <w:rFonts w:cstheme="minorHAnsi"/>
          <w:b/>
        </w:rPr>
      </w:pPr>
      <w:r w:rsidRPr="00664E4A">
        <w:rPr>
          <w:rFonts w:cstheme="minorHAnsi"/>
          <w:b/>
        </w:rPr>
        <w:t>Making it easier for customers to do their banking</w:t>
      </w:r>
    </w:p>
    <w:p w:rsidR="00487AE6" w:rsidRPr="00664E4A" w:rsidRDefault="0084383F" w:rsidP="00487AE6">
      <w:pPr>
        <w:pStyle w:val="NoSpacing"/>
        <w:rPr>
          <w:rFonts w:cstheme="minorHAnsi"/>
          <w:b/>
        </w:rPr>
      </w:pPr>
      <w:r w:rsidRPr="00664E4A">
        <w:rPr>
          <w:rFonts w:cstheme="minorHAnsi"/>
        </w:rPr>
        <w:t>Mr McLean said Westpac N</w:t>
      </w:r>
      <w:r w:rsidR="00502772" w:rsidRPr="00664E4A">
        <w:rPr>
          <w:rFonts w:cstheme="minorHAnsi"/>
        </w:rPr>
        <w:t xml:space="preserve">ew </w:t>
      </w:r>
      <w:r w:rsidRPr="00664E4A">
        <w:rPr>
          <w:rFonts w:cstheme="minorHAnsi"/>
        </w:rPr>
        <w:t>Z</w:t>
      </w:r>
      <w:r w:rsidR="00502772" w:rsidRPr="00664E4A">
        <w:rPr>
          <w:rFonts w:cstheme="minorHAnsi"/>
        </w:rPr>
        <w:t>ealand</w:t>
      </w:r>
      <w:r w:rsidRPr="00664E4A">
        <w:rPr>
          <w:rFonts w:cstheme="minorHAnsi"/>
        </w:rPr>
        <w:t xml:space="preserve"> is </w:t>
      </w:r>
      <w:r w:rsidR="00487AE6" w:rsidRPr="00664E4A">
        <w:rPr>
          <w:rFonts w:cstheme="minorHAnsi"/>
        </w:rPr>
        <w:t xml:space="preserve">in the second year of a three year programme to transform </w:t>
      </w:r>
      <w:r w:rsidR="000D296E" w:rsidRPr="00664E4A">
        <w:rPr>
          <w:rFonts w:cstheme="minorHAnsi"/>
        </w:rPr>
        <w:t xml:space="preserve">its </w:t>
      </w:r>
      <w:r w:rsidR="00487AE6" w:rsidRPr="00664E4A">
        <w:rPr>
          <w:rFonts w:cstheme="minorHAnsi"/>
        </w:rPr>
        <w:t xml:space="preserve">customer service </w:t>
      </w:r>
      <w:r w:rsidR="0011490C" w:rsidRPr="00664E4A">
        <w:rPr>
          <w:rFonts w:cstheme="minorHAnsi"/>
        </w:rPr>
        <w:t>and</w:t>
      </w:r>
      <w:r w:rsidR="00487AE6" w:rsidRPr="00664E4A">
        <w:rPr>
          <w:rFonts w:cstheme="minorHAnsi"/>
        </w:rPr>
        <w:t xml:space="preserve"> continue</w:t>
      </w:r>
      <w:r w:rsidR="0011490C" w:rsidRPr="00664E4A">
        <w:rPr>
          <w:rFonts w:cstheme="minorHAnsi"/>
        </w:rPr>
        <w:t>s</w:t>
      </w:r>
      <w:r w:rsidR="00487AE6" w:rsidRPr="00664E4A">
        <w:rPr>
          <w:rFonts w:cstheme="minorHAnsi"/>
        </w:rPr>
        <w:t xml:space="preserve"> to introduce </w:t>
      </w:r>
      <w:r w:rsidR="0011490C" w:rsidRPr="00664E4A">
        <w:rPr>
          <w:rFonts w:cstheme="minorHAnsi"/>
        </w:rPr>
        <w:t>customer</w:t>
      </w:r>
      <w:r w:rsidR="000D296E" w:rsidRPr="00664E4A">
        <w:rPr>
          <w:rFonts w:cstheme="minorHAnsi"/>
        </w:rPr>
        <w:t>-</w:t>
      </w:r>
      <w:r w:rsidR="0011490C" w:rsidRPr="00664E4A">
        <w:rPr>
          <w:rFonts w:cstheme="minorHAnsi"/>
        </w:rPr>
        <w:t>focused solutions</w:t>
      </w:r>
      <w:r w:rsidRPr="00664E4A">
        <w:rPr>
          <w:rFonts w:cstheme="minorHAnsi"/>
        </w:rPr>
        <w:t>.</w:t>
      </w:r>
    </w:p>
    <w:p w:rsidR="0084383F" w:rsidRPr="00664E4A" w:rsidRDefault="0084383F" w:rsidP="00DA577C">
      <w:pPr>
        <w:pStyle w:val="NoSpacing"/>
        <w:rPr>
          <w:rFonts w:cstheme="minorHAnsi"/>
          <w:b/>
        </w:rPr>
      </w:pPr>
    </w:p>
    <w:p w:rsidR="00D04D32" w:rsidRPr="00664E4A" w:rsidRDefault="00D04D32" w:rsidP="00106540">
      <w:pPr>
        <w:pStyle w:val="NoSpacing"/>
        <w:rPr>
          <w:rFonts w:cstheme="minorHAnsi"/>
        </w:rPr>
      </w:pPr>
      <w:r w:rsidRPr="00664E4A">
        <w:rPr>
          <w:rFonts w:cstheme="minorHAnsi"/>
        </w:rPr>
        <w:t xml:space="preserve">“In the </w:t>
      </w:r>
      <w:r w:rsidR="000D296E" w:rsidRPr="00664E4A">
        <w:rPr>
          <w:rFonts w:cstheme="minorHAnsi"/>
        </w:rPr>
        <w:t>p</w:t>
      </w:r>
      <w:r w:rsidRPr="00664E4A">
        <w:rPr>
          <w:rFonts w:cstheme="minorHAnsi"/>
        </w:rPr>
        <w:t>ast six months we’ve improved our self-serve offerings</w:t>
      </w:r>
      <w:r w:rsidR="00487AE6" w:rsidRPr="00664E4A">
        <w:rPr>
          <w:rFonts w:cstheme="minorHAnsi"/>
        </w:rPr>
        <w:t xml:space="preserve">. </w:t>
      </w:r>
      <w:r w:rsidRPr="00664E4A">
        <w:rPr>
          <w:rFonts w:cstheme="minorHAnsi"/>
        </w:rPr>
        <w:t xml:space="preserve">ATMs now offer both coin selection and </w:t>
      </w:r>
      <w:r w:rsidR="00E14311" w:rsidRPr="00664E4A">
        <w:rPr>
          <w:rFonts w:cstheme="minorHAnsi"/>
        </w:rPr>
        <w:t xml:space="preserve">note </w:t>
      </w:r>
      <w:r w:rsidRPr="00664E4A">
        <w:rPr>
          <w:rFonts w:cstheme="minorHAnsi"/>
        </w:rPr>
        <w:t xml:space="preserve">denomination options and </w:t>
      </w:r>
      <w:r w:rsidR="00106540" w:rsidRPr="00664E4A">
        <w:rPr>
          <w:rFonts w:cstheme="minorHAnsi"/>
        </w:rPr>
        <w:t>since</w:t>
      </w:r>
      <w:r w:rsidR="00DD5D44" w:rsidRPr="00664E4A">
        <w:rPr>
          <w:rFonts w:cstheme="minorHAnsi"/>
        </w:rPr>
        <w:t xml:space="preserve"> </w:t>
      </w:r>
      <w:r w:rsidR="00106540" w:rsidRPr="00664E4A">
        <w:rPr>
          <w:rFonts w:cstheme="minorHAnsi"/>
        </w:rPr>
        <w:t>launch</w:t>
      </w:r>
      <w:r w:rsidR="00502772" w:rsidRPr="00664E4A">
        <w:rPr>
          <w:rFonts w:cstheme="minorHAnsi"/>
        </w:rPr>
        <w:t xml:space="preserve"> last</w:t>
      </w:r>
      <w:r w:rsidRPr="00664E4A">
        <w:rPr>
          <w:rFonts w:cstheme="minorHAnsi"/>
        </w:rPr>
        <w:t xml:space="preserve"> September</w:t>
      </w:r>
      <w:r w:rsidR="00487AE6" w:rsidRPr="00664E4A">
        <w:rPr>
          <w:rFonts w:cstheme="minorHAnsi"/>
        </w:rPr>
        <w:t>,</w:t>
      </w:r>
      <w:r w:rsidR="007E2E9D" w:rsidRPr="00664E4A">
        <w:rPr>
          <w:rFonts w:cstheme="minorHAnsi"/>
        </w:rPr>
        <w:t xml:space="preserve"> </w:t>
      </w:r>
      <w:r w:rsidR="00235EDF" w:rsidRPr="00664E4A">
        <w:rPr>
          <w:rFonts w:cstheme="minorHAnsi"/>
        </w:rPr>
        <w:t>84</w:t>
      </w:r>
      <w:r w:rsidR="007E2E9D" w:rsidRPr="00664E4A">
        <w:rPr>
          <w:rFonts w:cstheme="minorHAnsi"/>
        </w:rPr>
        <w:t>,000</w:t>
      </w:r>
      <w:r w:rsidRPr="00664E4A">
        <w:rPr>
          <w:rFonts w:cstheme="minorHAnsi"/>
          <w:vertAlign w:val="superscript"/>
        </w:rPr>
        <w:t xml:space="preserve"> </w:t>
      </w:r>
      <w:r w:rsidRPr="00664E4A">
        <w:rPr>
          <w:rFonts w:cstheme="minorHAnsi"/>
        </w:rPr>
        <w:t xml:space="preserve">customers have downloaded our cash management </w:t>
      </w:r>
      <w:r w:rsidR="000D296E" w:rsidRPr="00664E4A">
        <w:rPr>
          <w:rFonts w:cstheme="minorHAnsi"/>
        </w:rPr>
        <w:t>a</w:t>
      </w:r>
      <w:r w:rsidRPr="00664E4A">
        <w:rPr>
          <w:rFonts w:cstheme="minorHAnsi"/>
        </w:rPr>
        <w:t>pp CashNav, enhancing the</w:t>
      </w:r>
      <w:r w:rsidR="00E14311" w:rsidRPr="00664E4A">
        <w:rPr>
          <w:rFonts w:cstheme="minorHAnsi"/>
        </w:rPr>
        <w:t>ir</w:t>
      </w:r>
      <w:r w:rsidRPr="00664E4A">
        <w:rPr>
          <w:rFonts w:cstheme="minorHAnsi"/>
        </w:rPr>
        <w:t xml:space="preserve"> cash management </w:t>
      </w:r>
      <w:r w:rsidR="00325B04" w:rsidRPr="00664E4A">
        <w:rPr>
          <w:rFonts w:cstheme="minorHAnsi"/>
        </w:rPr>
        <w:t xml:space="preserve">options </w:t>
      </w:r>
      <w:r w:rsidR="00E14311" w:rsidRPr="00664E4A">
        <w:rPr>
          <w:rFonts w:cstheme="minorHAnsi"/>
        </w:rPr>
        <w:t>and spending vi</w:t>
      </w:r>
      <w:r w:rsidR="00325B04" w:rsidRPr="00664E4A">
        <w:rPr>
          <w:rFonts w:cstheme="minorHAnsi"/>
        </w:rPr>
        <w:t>sibility</w:t>
      </w:r>
      <w:r w:rsidRPr="00664E4A">
        <w:rPr>
          <w:rFonts w:cstheme="minorHAnsi"/>
        </w:rPr>
        <w:t>.</w:t>
      </w:r>
      <w:r w:rsidR="00501633" w:rsidRPr="00664E4A">
        <w:rPr>
          <w:rFonts w:cstheme="minorHAnsi"/>
        </w:rPr>
        <w:t xml:space="preserve">  In April the app was awarded a Canst</w:t>
      </w:r>
      <w:r w:rsidR="00ED7FA9" w:rsidRPr="00664E4A">
        <w:rPr>
          <w:rFonts w:cstheme="minorHAnsi"/>
        </w:rPr>
        <w:t xml:space="preserve">ar Innovation Excellence </w:t>
      </w:r>
      <w:r w:rsidR="00501633" w:rsidRPr="00664E4A">
        <w:rPr>
          <w:rFonts w:cstheme="minorHAnsi"/>
        </w:rPr>
        <w:t>Award.</w:t>
      </w:r>
    </w:p>
    <w:p w:rsidR="008C5070" w:rsidRPr="00664E4A" w:rsidRDefault="008C5070" w:rsidP="00DA577C">
      <w:pPr>
        <w:pStyle w:val="NoSpacing"/>
        <w:rPr>
          <w:rFonts w:cstheme="minorHAnsi"/>
        </w:rPr>
      </w:pPr>
    </w:p>
    <w:p w:rsidR="00564007" w:rsidRPr="00664E4A" w:rsidRDefault="003B2734" w:rsidP="00325B04">
      <w:pPr>
        <w:pStyle w:val="NoSpacing"/>
        <w:rPr>
          <w:rFonts w:cstheme="minorHAnsi"/>
        </w:rPr>
      </w:pPr>
      <w:r w:rsidRPr="00664E4A">
        <w:rPr>
          <w:rFonts w:cstheme="minorHAnsi"/>
        </w:rPr>
        <w:t>“</w:t>
      </w:r>
      <w:r w:rsidR="00E14311" w:rsidRPr="00664E4A">
        <w:rPr>
          <w:rFonts w:cstheme="minorHAnsi"/>
        </w:rPr>
        <w:t xml:space="preserve">In addition to increasing </w:t>
      </w:r>
      <w:r w:rsidR="00325B04" w:rsidRPr="00664E4A">
        <w:rPr>
          <w:rFonts w:cstheme="minorHAnsi"/>
        </w:rPr>
        <w:t>24/7</w:t>
      </w:r>
      <w:r w:rsidR="006D0B95" w:rsidRPr="00664E4A">
        <w:rPr>
          <w:rFonts w:cstheme="minorHAnsi"/>
        </w:rPr>
        <w:t xml:space="preserve"> </w:t>
      </w:r>
      <w:r w:rsidR="00E14311" w:rsidRPr="00664E4A">
        <w:rPr>
          <w:rFonts w:cstheme="minorHAnsi"/>
        </w:rPr>
        <w:t xml:space="preserve">digital offerings, </w:t>
      </w:r>
      <w:r w:rsidR="00487AE6" w:rsidRPr="00664E4A">
        <w:rPr>
          <w:rFonts w:cstheme="minorHAnsi"/>
        </w:rPr>
        <w:t>we’re investing in high growth areas</w:t>
      </w:r>
      <w:r w:rsidR="00B06482" w:rsidRPr="00664E4A">
        <w:rPr>
          <w:rFonts w:cstheme="minorHAnsi"/>
        </w:rPr>
        <w:t xml:space="preserve">, </w:t>
      </w:r>
      <w:r w:rsidR="00B92FBB" w:rsidRPr="00664E4A">
        <w:rPr>
          <w:rFonts w:cstheme="minorHAnsi"/>
        </w:rPr>
        <w:t xml:space="preserve">such as </w:t>
      </w:r>
      <w:r w:rsidR="00B06482" w:rsidRPr="00664E4A">
        <w:rPr>
          <w:rFonts w:cstheme="minorHAnsi"/>
        </w:rPr>
        <w:t>refurbishing our branch in Whanganui</w:t>
      </w:r>
      <w:r w:rsidR="00487AE6" w:rsidRPr="00664E4A">
        <w:rPr>
          <w:rFonts w:cstheme="minorHAnsi"/>
        </w:rPr>
        <w:t xml:space="preserve"> </w:t>
      </w:r>
      <w:r w:rsidR="00DD5D44" w:rsidRPr="00664E4A">
        <w:rPr>
          <w:rFonts w:cstheme="minorHAnsi"/>
        </w:rPr>
        <w:t xml:space="preserve">last year </w:t>
      </w:r>
      <w:r w:rsidR="00325B04" w:rsidRPr="00664E4A">
        <w:rPr>
          <w:rFonts w:cstheme="minorHAnsi"/>
        </w:rPr>
        <w:t xml:space="preserve">and </w:t>
      </w:r>
      <w:r w:rsidR="00FF624C" w:rsidRPr="00664E4A">
        <w:rPr>
          <w:rFonts w:cstheme="minorHAnsi"/>
        </w:rPr>
        <w:t>open</w:t>
      </w:r>
      <w:r w:rsidR="00DD5D44" w:rsidRPr="00664E4A">
        <w:rPr>
          <w:rFonts w:cstheme="minorHAnsi"/>
        </w:rPr>
        <w:t>ing</w:t>
      </w:r>
      <w:r w:rsidR="00FF624C" w:rsidRPr="00664E4A">
        <w:rPr>
          <w:rFonts w:cstheme="minorHAnsi"/>
        </w:rPr>
        <w:t xml:space="preserve"> </w:t>
      </w:r>
      <w:r w:rsidR="00325B04" w:rsidRPr="00664E4A">
        <w:rPr>
          <w:rFonts w:cstheme="minorHAnsi"/>
        </w:rPr>
        <w:t xml:space="preserve">a branch </w:t>
      </w:r>
      <w:r w:rsidR="00487AE6" w:rsidRPr="00664E4A">
        <w:rPr>
          <w:rFonts w:cstheme="minorHAnsi"/>
        </w:rPr>
        <w:t>at</w:t>
      </w:r>
      <w:r w:rsidR="00325B04" w:rsidRPr="00664E4A">
        <w:rPr>
          <w:rFonts w:cstheme="minorHAnsi"/>
        </w:rPr>
        <w:t xml:space="preserve"> Auckland Airport</w:t>
      </w:r>
      <w:r w:rsidR="00B06482" w:rsidRPr="00664E4A">
        <w:rPr>
          <w:rFonts w:cstheme="minorHAnsi"/>
        </w:rPr>
        <w:t xml:space="preserve"> in April</w:t>
      </w:r>
      <w:r w:rsidR="00325B04" w:rsidRPr="00664E4A">
        <w:rPr>
          <w:rFonts w:cstheme="minorHAnsi"/>
        </w:rPr>
        <w:t>.</w:t>
      </w:r>
      <w:r w:rsidR="00314E4F" w:rsidRPr="00664E4A">
        <w:rPr>
          <w:rFonts w:cstheme="minorHAnsi"/>
        </w:rPr>
        <w:t>”</w:t>
      </w:r>
      <w:r w:rsidR="00B06482" w:rsidRPr="00664E4A">
        <w:rPr>
          <w:rFonts w:cstheme="minorHAnsi"/>
        </w:rPr>
        <w:t xml:space="preserve"> </w:t>
      </w:r>
    </w:p>
    <w:p w:rsidR="0080170F" w:rsidRPr="00664E4A" w:rsidRDefault="0080170F" w:rsidP="009C63DF">
      <w:pPr>
        <w:pStyle w:val="NoSpacing"/>
        <w:rPr>
          <w:rFonts w:cstheme="minorHAnsi"/>
          <w:b/>
        </w:rPr>
      </w:pPr>
    </w:p>
    <w:p w:rsidR="00CC610C" w:rsidRPr="00664E4A" w:rsidRDefault="00CC610C" w:rsidP="009C63DF">
      <w:pPr>
        <w:pStyle w:val="NoSpacing"/>
        <w:rPr>
          <w:rFonts w:cstheme="minorHAnsi"/>
          <w:b/>
        </w:rPr>
      </w:pPr>
    </w:p>
    <w:p w:rsidR="00325B04" w:rsidRPr="00664E4A" w:rsidRDefault="00EF26EA" w:rsidP="009C63DF">
      <w:pPr>
        <w:pStyle w:val="NoSpacing"/>
        <w:rPr>
          <w:rFonts w:cstheme="minorHAnsi"/>
          <w:b/>
        </w:rPr>
      </w:pPr>
      <w:r w:rsidRPr="00664E4A">
        <w:rPr>
          <w:rFonts w:cstheme="minorHAnsi"/>
          <w:b/>
        </w:rPr>
        <w:t>Results of transformation investment</w:t>
      </w:r>
    </w:p>
    <w:p w:rsidR="009F29C8" w:rsidRPr="00664E4A" w:rsidRDefault="008F733B" w:rsidP="009C63DF">
      <w:pPr>
        <w:pStyle w:val="NoSpacing"/>
        <w:rPr>
          <w:rFonts w:cstheme="minorHAnsi"/>
        </w:rPr>
      </w:pPr>
      <w:r w:rsidRPr="00664E4A">
        <w:rPr>
          <w:rFonts w:cstheme="minorHAnsi"/>
        </w:rPr>
        <w:t>Streamlining process</w:t>
      </w:r>
      <w:r w:rsidR="0049172D" w:rsidRPr="00664E4A">
        <w:rPr>
          <w:rFonts w:cstheme="minorHAnsi"/>
        </w:rPr>
        <w:t>es</w:t>
      </w:r>
      <w:r w:rsidRPr="00664E4A">
        <w:rPr>
          <w:rFonts w:cstheme="minorHAnsi"/>
        </w:rPr>
        <w:t xml:space="preserve"> and removing </w:t>
      </w:r>
      <w:r w:rsidR="0011490C" w:rsidRPr="00664E4A">
        <w:rPr>
          <w:rFonts w:cstheme="minorHAnsi"/>
        </w:rPr>
        <w:t>unnecessa</w:t>
      </w:r>
      <w:r w:rsidRPr="00664E4A">
        <w:rPr>
          <w:rFonts w:cstheme="minorHAnsi"/>
        </w:rPr>
        <w:t xml:space="preserve">ry activity has saved customers time and improved performance. </w:t>
      </w:r>
    </w:p>
    <w:p w:rsidR="0053036A" w:rsidRPr="00664E4A" w:rsidRDefault="0053036A" w:rsidP="009C63DF">
      <w:pPr>
        <w:pStyle w:val="NoSpacing"/>
        <w:rPr>
          <w:rFonts w:cstheme="minorHAnsi"/>
        </w:rPr>
      </w:pPr>
    </w:p>
    <w:p w:rsidR="0053036A" w:rsidRPr="00664E4A" w:rsidRDefault="0053036A" w:rsidP="009C63DF">
      <w:pPr>
        <w:pStyle w:val="NoSpacing"/>
        <w:rPr>
          <w:rFonts w:cstheme="minorHAnsi"/>
        </w:rPr>
      </w:pPr>
      <w:r w:rsidRPr="00664E4A">
        <w:rPr>
          <w:rFonts w:cstheme="minorHAnsi"/>
        </w:rPr>
        <w:t>Westpac has established more ways to directly meet particular customers</w:t>
      </w:r>
      <w:r w:rsidR="0049172D" w:rsidRPr="00664E4A">
        <w:rPr>
          <w:rFonts w:cstheme="minorHAnsi"/>
        </w:rPr>
        <w:t>’</w:t>
      </w:r>
      <w:r w:rsidRPr="00664E4A">
        <w:rPr>
          <w:rFonts w:cstheme="minorHAnsi"/>
        </w:rPr>
        <w:t xml:space="preserve"> needs. For example, a dedicated contact centre team has been established exclusively for </w:t>
      </w:r>
      <w:r w:rsidR="005E7F78" w:rsidRPr="00664E4A">
        <w:rPr>
          <w:rFonts w:cstheme="minorHAnsi"/>
        </w:rPr>
        <w:t>h</w:t>
      </w:r>
      <w:r w:rsidRPr="00664E4A">
        <w:rPr>
          <w:rFonts w:cstheme="minorHAnsi"/>
        </w:rPr>
        <w:t xml:space="preserve">ealth professionals. </w:t>
      </w:r>
      <w:r w:rsidR="00CE12FE" w:rsidRPr="00664E4A">
        <w:rPr>
          <w:rFonts w:cstheme="minorHAnsi"/>
        </w:rPr>
        <w:t xml:space="preserve"> </w:t>
      </w:r>
    </w:p>
    <w:p w:rsidR="0053036A" w:rsidRPr="00664E4A" w:rsidRDefault="0053036A" w:rsidP="0053036A">
      <w:pPr>
        <w:pStyle w:val="NoSpacing"/>
        <w:rPr>
          <w:rFonts w:cstheme="minorHAnsi"/>
        </w:rPr>
      </w:pPr>
    </w:p>
    <w:p w:rsidR="0053036A" w:rsidRPr="00664E4A" w:rsidRDefault="00CE12FE" w:rsidP="0053036A">
      <w:pPr>
        <w:pStyle w:val="NoSpacing"/>
        <w:rPr>
          <w:rFonts w:cstheme="minorHAnsi"/>
        </w:rPr>
      </w:pPr>
      <w:r w:rsidRPr="00664E4A">
        <w:rPr>
          <w:rFonts w:cstheme="minorHAnsi"/>
        </w:rPr>
        <w:t>Westpac</w:t>
      </w:r>
      <w:r w:rsidR="0053036A" w:rsidRPr="00664E4A">
        <w:rPr>
          <w:rFonts w:cstheme="minorHAnsi"/>
        </w:rPr>
        <w:t xml:space="preserve"> </w:t>
      </w:r>
      <w:r w:rsidR="0049172D" w:rsidRPr="00664E4A">
        <w:rPr>
          <w:rFonts w:cstheme="minorHAnsi"/>
        </w:rPr>
        <w:t>has</w:t>
      </w:r>
      <w:r w:rsidR="005E7F78" w:rsidRPr="00664E4A">
        <w:rPr>
          <w:rFonts w:cstheme="minorHAnsi"/>
        </w:rPr>
        <w:t xml:space="preserve"> also</w:t>
      </w:r>
      <w:r w:rsidR="0049172D" w:rsidRPr="00664E4A">
        <w:rPr>
          <w:rFonts w:cstheme="minorHAnsi"/>
        </w:rPr>
        <w:t xml:space="preserve"> </w:t>
      </w:r>
      <w:r w:rsidR="0053036A" w:rsidRPr="00664E4A">
        <w:rPr>
          <w:rFonts w:cstheme="minorHAnsi"/>
        </w:rPr>
        <w:t xml:space="preserve">introduced </w:t>
      </w:r>
      <w:r w:rsidR="0049172D" w:rsidRPr="00664E4A">
        <w:rPr>
          <w:rFonts w:cstheme="minorHAnsi"/>
        </w:rPr>
        <w:t>new products and services</w:t>
      </w:r>
      <w:r w:rsidR="0053036A" w:rsidRPr="00664E4A">
        <w:rPr>
          <w:rFonts w:cstheme="minorHAnsi"/>
        </w:rPr>
        <w:t xml:space="preserve"> to help customers manage their </w:t>
      </w:r>
      <w:r w:rsidRPr="00664E4A">
        <w:rPr>
          <w:rFonts w:cstheme="minorHAnsi"/>
        </w:rPr>
        <w:t xml:space="preserve">accounts and </w:t>
      </w:r>
      <w:r w:rsidR="0053036A" w:rsidRPr="00664E4A">
        <w:rPr>
          <w:rFonts w:cstheme="minorHAnsi"/>
        </w:rPr>
        <w:t xml:space="preserve">finances. </w:t>
      </w:r>
      <w:r w:rsidR="0049172D" w:rsidRPr="00664E4A">
        <w:rPr>
          <w:rFonts w:cstheme="minorHAnsi"/>
        </w:rPr>
        <w:t xml:space="preserve">For example, </w:t>
      </w:r>
      <w:r w:rsidR="0053036A" w:rsidRPr="00664E4A">
        <w:rPr>
          <w:rFonts w:cstheme="minorHAnsi"/>
        </w:rPr>
        <w:t xml:space="preserve">customers can </w:t>
      </w:r>
      <w:r w:rsidR="0049172D" w:rsidRPr="00664E4A">
        <w:rPr>
          <w:rFonts w:cstheme="minorHAnsi"/>
        </w:rPr>
        <w:t xml:space="preserve">now </w:t>
      </w:r>
      <w:r w:rsidR="0053036A" w:rsidRPr="00664E4A">
        <w:rPr>
          <w:rFonts w:cstheme="minorHAnsi"/>
        </w:rPr>
        <w:t xml:space="preserve">opt for a personalised </w:t>
      </w:r>
      <w:r w:rsidR="00B92FBB" w:rsidRPr="00664E4A">
        <w:rPr>
          <w:rFonts w:cstheme="minorHAnsi"/>
        </w:rPr>
        <w:t>text or email to alert if a planned bill payment or automatic payment has failed</w:t>
      </w:r>
      <w:r w:rsidR="0053036A" w:rsidRPr="00664E4A">
        <w:rPr>
          <w:rFonts w:cstheme="minorHAnsi"/>
        </w:rPr>
        <w:t>.</w:t>
      </w:r>
    </w:p>
    <w:p w:rsidR="00CE12FE" w:rsidRPr="00664E4A" w:rsidRDefault="00CE12FE" w:rsidP="0053036A">
      <w:pPr>
        <w:pStyle w:val="NoSpacing"/>
        <w:rPr>
          <w:rFonts w:cstheme="minorHAnsi"/>
        </w:rPr>
      </w:pPr>
    </w:p>
    <w:p w:rsidR="00CE12FE" w:rsidRPr="00664E4A" w:rsidRDefault="00CE12FE" w:rsidP="0053036A">
      <w:pPr>
        <w:pStyle w:val="NoSpacing"/>
        <w:rPr>
          <w:rFonts w:cstheme="minorHAnsi"/>
        </w:rPr>
      </w:pPr>
      <w:r w:rsidRPr="00664E4A">
        <w:rPr>
          <w:rFonts w:cstheme="minorHAnsi"/>
        </w:rPr>
        <w:t xml:space="preserve">Automating 80% of the change of address process has improved turnaround times and </w:t>
      </w:r>
      <w:r w:rsidR="0049172D" w:rsidRPr="00664E4A">
        <w:rPr>
          <w:rFonts w:cstheme="minorHAnsi"/>
        </w:rPr>
        <w:t xml:space="preserve">increased </w:t>
      </w:r>
      <w:r w:rsidRPr="00664E4A">
        <w:rPr>
          <w:rFonts w:cstheme="minorHAnsi"/>
        </w:rPr>
        <w:t xml:space="preserve">accuracy. </w:t>
      </w:r>
      <w:r w:rsidR="008429DC" w:rsidRPr="00664E4A">
        <w:rPr>
          <w:rFonts w:cstheme="minorHAnsi"/>
        </w:rPr>
        <w:t>M</w:t>
      </w:r>
      <w:r w:rsidR="00C6596C" w:rsidRPr="00664E4A">
        <w:rPr>
          <w:rFonts w:cstheme="minorHAnsi"/>
        </w:rPr>
        <w:t xml:space="preserve">oving </w:t>
      </w:r>
      <w:r w:rsidR="008429DC" w:rsidRPr="00664E4A">
        <w:rPr>
          <w:rFonts w:cstheme="minorHAnsi"/>
        </w:rPr>
        <w:t xml:space="preserve">to </w:t>
      </w:r>
      <w:r w:rsidR="00C6596C" w:rsidRPr="00664E4A">
        <w:rPr>
          <w:rFonts w:cstheme="minorHAnsi"/>
        </w:rPr>
        <w:t xml:space="preserve">paperless statements has </w:t>
      </w:r>
      <w:r w:rsidR="00DD5D44" w:rsidRPr="00664E4A">
        <w:rPr>
          <w:rFonts w:cstheme="minorHAnsi"/>
        </w:rPr>
        <w:t xml:space="preserve">benefited the environment by </w:t>
      </w:r>
      <w:r w:rsidR="00C6596C" w:rsidRPr="00664E4A">
        <w:rPr>
          <w:rFonts w:cstheme="minorHAnsi"/>
        </w:rPr>
        <w:t>sav</w:t>
      </w:r>
      <w:r w:rsidR="00DD5D44" w:rsidRPr="00664E4A">
        <w:rPr>
          <w:rFonts w:cstheme="minorHAnsi"/>
        </w:rPr>
        <w:t>ing</w:t>
      </w:r>
      <w:r w:rsidR="00C6596C" w:rsidRPr="00664E4A">
        <w:rPr>
          <w:rFonts w:cstheme="minorHAnsi"/>
        </w:rPr>
        <w:t xml:space="preserve"> </w:t>
      </w:r>
      <w:r w:rsidR="003B2734" w:rsidRPr="00664E4A">
        <w:rPr>
          <w:rFonts w:cstheme="minorHAnsi"/>
        </w:rPr>
        <w:t xml:space="preserve">64 </w:t>
      </w:r>
      <w:r w:rsidR="00C6596C" w:rsidRPr="00664E4A">
        <w:rPr>
          <w:rFonts w:cstheme="minorHAnsi"/>
        </w:rPr>
        <w:t xml:space="preserve">tonnes of paper </w:t>
      </w:r>
      <w:r w:rsidR="00B92FBB" w:rsidRPr="00664E4A">
        <w:rPr>
          <w:rFonts w:cstheme="minorHAnsi"/>
        </w:rPr>
        <w:t xml:space="preserve">a year </w:t>
      </w:r>
      <w:r w:rsidR="00C6596C" w:rsidRPr="00664E4A">
        <w:rPr>
          <w:rFonts w:cstheme="minorHAnsi"/>
        </w:rPr>
        <w:t>and the bank has continued to provide new tools to frontline bankers to enable faster decisions on loan applications for customers.</w:t>
      </w:r>
    </w:p>
    <w:p w:rsidR="00283A31" w:rsidRPr="00664E4A" w:rsidRDefault="00283A31" w:rsidP="008F733B">
      <w:pPr>
        <w:pStyle w:val="NoSpacing"/>
        <w:rPr>
          <w:rFonts w:cstheme="minorHAnsi"/>
        </w:rPr>
      </w:pPr>
    </w:p>
    <w:p w:rsidR="00106540" w:rsidRPr="00664E4A" w:rsidRDefault="00106540" w:rsidP="008F733B">
      <w:pPr>
        <w:pStyle w:val="NoSpacing"/>
        <w:rPr>
          <w:rFonts w:cstheme="minorHAnsi"/>
          <w:b/>
        </w:rPr>
      </w:pPr>
    </w:p>
    <w:p w:rsidR="008F733B" w:rsidRPr="00664E4A" w:rsidRDefault="00283A31" w:rsidP="008F733B">
      <w:pPr>
        <w:pStyle w:val="NoSpacing"/>
        <w:rPr>
          <w:rFonts w:cstheme="minorHAnsi"/>
          <w:b/>
        </w:rPr>
      </w:pPr>
      <w:r w:rsidRPr="00664E4A">
        <w:rPr>
          <w:rFonts w:cstheme="minorHAnsi"/>
          <w:b/>
        </w:rPr>
        <w:t>Community commitment</w:t>
      </w:r>
      <w:r w:rsidR="0053036A" w:rsidRPr="00664E4A" w:rsidDel="009F29C8">
        <w:rPr>
          <w:rFonts w:cstheme="minorHAnsi"/>
          <w:b/>
        </w:rPr>
        <w:t xml:space="preserve"> </w:t>
      </w:r>
    </w:p>
    <w:p w:rsidR="007A4CA2" w:rsidRPr="00664E4A" w:rsidRDefault="007A4CA2" w:rsidP="007A4CA2">
      <w:pPr>
        <w:rPr>
          <w:rFonts w:asciiTheme="minorHAnsi" w:hAnsiTheme="minorHAnsi" w:cstheme="minorHAnsi"/>
          <w:sz w:val="22"/>
          <w:szCs w:val="22"/>
        </w:rPr>
      </w:pPr>
      <w:r w:rsidRPr="00664E4A">
        <w:rPr>
          <w:rFonts w:asciiTheme="minorHAnsi" w:hAnsiTheme="minorHAnsi" w:cstheme="minorHAnsi"/>
          <w:sz w:val="22"/>
          <w:szCs w:val="22"/>
        </w:rPr>
        <w:t xml:space="preserve">Mr McLean </w:t>
      </w:r>
      <w:r w:rsidR="00DD5D44" w:rsidRPr="00664E4A">
        <w:rPr>
          <w:rFonts w:asciiTheme="minorHAnsi" w:hAnsiTheme="minorHAnsi" w:cstheme="minorHAnsi"/>
          <w:sz w:val="22"/>
          <w:szCs w:val="22"/>
        </w:rPr>
        <w:t>said</w:t>
      </w:r>
      <w:r w:rsidRPr="00664E4A">
        <w:rPr>
          <w:rFonts w:asciiTheme="minorHAnsi" w:hAnsiTheme="minorHAnsi" w:cstheme="minorHAnsi"/>
          <w:sz w:val="22"/>
          <w:szCs w:val="22"/>
        </w:rPr>
        <w:t xml:space="preserve"> Westpac N</w:t>
      </w:r>
      <w:r w:rsidR="00FF624C" w:rsidRPr="00664E4A">
        <w:rPr>
          <w:rFonts w:asciiTheme="minorHAnsi" w:hAnsiTheme="minorHAnsi" w:cstheme="minorHAnsi"/>
          <w:sz w:val="22"/>
          <w:szCs w:val="22"/>
        </w:rPr>
        <w:t xml:space="preserve">ew </w:t>
      </w:r>
      <w:r w:rsidRPr="00664E4A">
        <w:rPr>
          <w:rFonts w:asciiTheme="minorHAnsi" w:hAnsiTheme="minorHAnsi" w:cstheme="minorHAnsi"/>
          <w:sz w:val="22"/>
          <w:szCs w:val="22"/>
        </w:rPr>
        <w:t>Z</w:t>
      </w:r>
      <w:r w:rsidR="00FF624C" w:rsidRPr="00664E4A">
        <w:rPr>
          <w:rFonts w:asciiTheme="minorHAnsi" w:hAnsiTheme="minorHAnsi" w:cstheme="minorHAnsi"/>
          <w:sz w:val="22"/>
          <w:szCs w:val="22"/>
        </w:rPr>
        <w:t>ealand</w:t>
      </w:r>
      <w:r w:rsidRPr="00664E4A">
        <w:rPr>
          <w:rFonts w:asciiTheme="minorHAnsi" w:hAnsiTheme="minorHAnsi" w:cstheme="minorHAnsi"/>
          <w:sz w:val="22"/>
          <w:szCs w:val="22"/>
        </w:rPr>
        <w:t xml:space="preserve"> is committed to helping </w:t>
      </w:r>
      <w:r w:rsidR="00FF624C" w:rsidRPr="00664E4A">
        <w:rPr>
          <w:rFonts w:asciiTheme="minorHAnsi" w:hAnsiTheme="minorHAnsi" w:cstheme="minorHAnsi"/>
          <w:sz w:val="22"/>
          <w:szCs w:val="22"/>
        </w:rPr>
        <w:t xml:space="preserve">its </w:t>
      </w:r>
      <w:r w:rsidRPr="00664E4A">
        <w:rPr>
          <w:rFonts w:asciiTheme="minorHAnsi" w:hAnsiTheme="minorHAnsi" w:cstheme="minorHAnsi"/>
          <w:sz w:val="22"/>
          <w:szCs w:val="22"/>
        </w:rPr>
        <w:t>customers, communities and people prosper and grow.</w:t>
      </w:r>
    </w:p>
    <w:p w:rsidR="00106540" w:rsidRPr="00664E4A" w:rsidRDefault="00106540" w:rsidP="007A4CA2">
      <w:pPr>
        <w:rPr>
          <w:rFonts w:asciiTheme="minorHAnsi" w:hAnsiTheme="minorHAnsi" w:cstheme="minorHAnsi"/>
          <w:sz w:val="22"/>
          <w:szCs w:val="22"/>
        </w:rPr>
      </w:pPr>
    </w:p>
    <w:p w:rsidR="006A3168" w:rsidRPr="00664E4A" w:rsidRDefault="007A4CA2" w:rsidP="007A4CA2">
      <w:pPr>
        <w:rPr>
          <w:rFonts w:asciiTheme="minorHAnsi" w:hAnsiTheme="minorHAnsi" w:cstheme="minorHAnsi"/>
          <w:sz w:val="22"/>
          <w:szCs w:val="22"/>
        </w:rPr>
      </w:pPr>
      <w:r w:rsidRPr="00664E4A">
        <w:rPr>
          <w:rFonts w:asciiTheme="minorHAnsi" w:hAnsiTheme="minorHAnsi" w:cstheme="minorHAnsi"/>
          <w:sz w:val="22"/>
          <w:szCs w:val="22"/>
        </w:rPr>
        <w:t xml:space="preserve">“We’re really proud of our team in Kaikoura, who although personally impacted by last year’s earthquake, kept the bank operational and ensured </w:t>
      </w:r>
      <w:r w:rsidR="00021D10" w:rsidRPr="00664E4A">
        <w:rPr>
          <w:rFonts w:asciiTheme="minorHAnsi" w:hAnsiTheme="minorHAnsi" w:cstheme="minorHAnsi"/>
          <w:sz w:val="22"/>
          <w:szCs w:val="22"/>
        </w:rPr>
        <w:t xml:space="preserve">when </w:t>
      </w:r>
      <w:r w:rsidRPr="00664E4A">
        <w:rPr>
          <w:rFonts w:asciiTheme="minorHAnsi" w:hAnsiTheme="minorHAnsi" w:cstheme="minorHAnsi"/>
          <w:sz w:val="22"/>
          <w:szCs w:val="22"/>
        </w:rPr>
        <w:t xml:space="preserve">the earthquakes hit in November last year, we were the first bank to be open for business. </w:t>
      </w:r>
    </w:p>
    <w:p w:rsidR="00893DB9" w:rsidRPr="00664E4A" w:rsidRDefault="00893DB9" w:rsidP="007A4CA2">
      <w:pPr>
        <w:rPr>
          <w:rFonts w:asciiTheme="minorHAnsi" w:hAnsiTheme="minorHAnsi" w:cstheme="minorHAnsi"/>
          <w:sz w:val="22"/>
          <w:szCs w:val="22"/>
        </w:rPr>
      </w:pPr>
    </w:p>
    <w:p w:rsidR="007A4CA2" w:rsidRPr="00664E4A" w:rsidRDefault="006A3168" w:rsidP="007A4CA2">
      <w:pPr>
        <w:rPr>
          <w:rFonts w:asciiTheme="minorHAnsi" w:hAnsiTheme="minorHAnsi" w:cstheme="minorHAnsi"/>
          <w:sz w:val="22"/>
          <w:szCs w:val="22"/>
        </w:rPr>
      </w:pPr>
      <w:r w:rsidRPr="00664E4A">
        <w:rPr>
          <w:rFonts w:asciiTheme="minorHAnsi" w:hAnsiTheme="minorHAnsi" w:cstheme="minorHAnsi"/>
          <w:sz w:val="22"/>
          <w:szCs w:val="22"/>
        </w:rPr>
        <w:t>“</w:t>
      </w:r>
      <w:r w:rsidR="007A4CA2" w:rsidRPr="00664E4A">
        <w:rPr>
          <w:rFonts w:asciiTheme="minorHAnsi" w:hAnsiTheme="minorHAnsi" w:cstheme="minorHAnsi"/>
          <w:sz w:val="22"/>
          <w:szCs w:val="22"/>
        </w:rPr>
        <w:t xml:space="preserve">This ensured </w:t>
      </w:r>
      <w:r w:rsidR="00B92FBB" w:rsidRPr="00664E4A">
        <w:rPr>
          <w:rFonts w:asciiTheme="minorHAnsi" w:hAnsiTheme="minorHAnsi" w:cstheme="minorHAnsi"/>
          <w:sz w:val="22"/>
          <w:szCs w:val="22"/>
        </w:rPr>
        <w:t xml:space="preserve">that </w:t>
      </w:r>
      <w:r w:rsidR="007A4CA2" w:rsidRPr="00664E4A">
        <w:rPr>
          <w:rFonts w:asciiTheme="minorHAnsi" w:hAnsiTheme="minorHAnsi" w:cstheme="minorHAnsi"/>
          <w:sz w:val="22"/>
          <w:szCs w:val="22"/>
        </w:rPr>
        <w:t xml:space="preserve">many tourists and local businesses were able to continue to access cash while many systems were down. We also brought in Westpac Ambassador John Kirwan to help provide </w:t>
      </w:r>
      <w:r w:rsidR="00B92FBB" w:rsidRPr="00664E4A">
        <w:rPr>
          <w:rFonts w:asciiTheme="minorHAnsi" w:hAnsiTheme="minorHAnsi" w:cstheme="minorHAnsi"/>
          <w:sz w:val="22"/>
          <w:szCs w:val="22"/>
        </w:rPr>
        <w:t xml:space="preserve">motivational </w:t>
      </w:r>
      <w:r w:rsidR="007A4CA2" w:rsidRPr="00664E4A">
        <w:rPr>
          <w:rFonts w:asciiTheme="minorHAnsi" w:hAnsiTheme="minorHAnsi" w:cstheme="minorHAnsi"/>
          <w:sz w:val="22"/>
          <w:szCs w:val="22"/>
        </w:rPr>
        <w:t xml:space="preserve">support in a time of stress. </w:t>
      </w:r>
    </w:p>
    <w:p w:rsidR="007A4CA2" w:rsidRPr="00664E4A" w:rsidRDefault="007A4CA2" w:rsidP="007A4CA2">
      <w:pPr>
        <w:rPr>
          <w:rFonts w:asciiTheme="minorHAnsi" w:hAnsiTheme="minorHAnsi" w:cstheme="minorHAnsi"/>
          <w:sz w:val="22"/>
          <w:szCs w:val="22"/>
        </w:rPr>
      </w:pPr>
    </w:p>
    <w:p w:rsidR="007A4CA2" w:rsidRPr="00664E4A" w:rsidRDefault="007A4CA2" w:rsidP="007A4CA2">
      <w:pPr>
        <w:pStyle w:val="NoSpacing"/>
        <w:rPr>
          <w:rFonts w:cstheme="minorHAnsi"/>
        </w:rPr>
      </w:pPr>
      <w:r w:rsidRPr="00664E4A">
        <w:rPr>
          <w:rFonts w:cstheme="minorHAnsi"/>
        </w:rPr>
        <w:t>“More recently we were the first to offer banking relief to our customers impacted by devastating floods in the North Island.”</w:t>
      </w:r>
    </w:p>
    <w:p w:rsidR="008F733B" w:rsidRPr="00664E4A" w:rsidRDefault="008F733B" w:rsidP="008F733B">
      <w:pPr>
        <w:pStyle w:val="NoSpacing"/>
        <w:rPr>
          <w:rFonts w:cstheme="minorHAnsi"/>
        </w:rPr>
      </w:pPr>
    </w:p>
    <w:p w:rsidR="00F14874" w:rsidRPr="00BC59D0" w:rsidRDefault="007A4CA3" w:rsidP="00DA577C">
      <w:pPr>
        <w:pStyle w:val="NoSpacing"/>
        <w:rPr>
          <w:rFonts w:cstheme="minorHAnsi"/>
          <w:b/>
          <w:sz w:val="24"/>
          <w:szCs w:val="24"/>
        </w:rPr>
      </w:pPr>
      <w:r w:rsidRPr="00BC59D0">
        <w:rPr>
          <w:rFonts w:cstheme="minorHAnsi"/>
          <w:b/>
          <w:sz w:val="24"/>
          <w:szCs w:val="24"/>
        </w:rPr>
        <w:t>ENDS</w:t>
      </w:r>
    </w:p>
    <w:p w:rsidR="00F14874" w:rsidRDefault="00CD4A09" w:rsidP="00DA577C">
      <w:pPr>
        <w:pStyle w:val="NoSpacing"/>
        <w:rPr>
          <w:rFonts w:cstheme="minorHAnsi"/>
          <w:b/>
          <w:sz w:val="24"/>
          <w:szCs w:val="24"/>
        </w:rPr>
      </w:pPr>
      <w:r>
        <w:rPr>
          <w:rFonts w:cstheme="minorHAnsi"/>
          <w:b/>
          <w:sz w:val="24"/>
          <w:szCs w:val="24"/>
        </w:rPr>
        <w:lastRenderedPageBreak/>
        <w:t>FACT BOX</w:t>
      </w:r>
    </w:p>
    <w:p w:rsidR="00CD4A09" w:rsidRDefault="00CD4A09" w:rsidP="00CD4A09">
      <w:pPr>
        <w:pStyle w:val="NoSpacing"/>
      </w:pPr>
      <w:r>
        <w:rPr>
          <w:b/>
          <w:bCs/>
          <w:sz w:val="24"/>
          <w:szCs w:val="24"/>
        </w:rPr>
        <w:t>Westpac New Zealand – The Topline Numbers</w:t>
      </w:r>
    </w:p>
    <w:p w:rsidR="00CD4A09" w:rsidRPr="00D94814" w:rsidRDefault="00CD4A09" w:rsidP="00DA577C">
      <w:pPr>
        <w:pStyle w:val="NoSpacing"/>
        <w:rPr>
          <w:rFonts w:cstheme="minorHAnsi"/>
          <w:b/>
          <w:sz w:val="24"/>
          <w:szCs w:val="24"/>
        </w:rPr>
      </w:pPr>
    </w:p>
    <w:tbl>
      <w:tblPr>
        <w:tblW w:w="9157" w:type="dxa"/>
        <w:tblInd w:w="-72" w:type="dxa"/>
        <w:tblLook w:val="04A0" w:firstRow="1" w:lastRow="0" w:firstColumn="1" w:lastColumn="0" w:noHBand="0" w:noVBand="1"/>
      </w:tblPr>
      <w:tblGrid>
        <w:gridCol w:w="4340"/>
        <w:gridCol w:w="1563"/>
        <w:gridCol w:w="1627"/>
        <w:gridCol w:w="1627"/>
      </w:tblGrid>
      <w:tr w:rsidR="00CD4A09" w:rsidRPr="00CD4A09" w:rsidTr="00CD4A09">
        <w:trPr>
          <w:trHeight w:val="177"/>
        </w:trPr>
        <w:tc>
          <w:tcPr>
            <w:tcW w:w="4340" w:type="dxa"/>
            <w:tcBorders>
              <w:top w:val="single" w:sz="4" w:space="0" w:color="auto"/>
              <w:left w:val="nil"/>
              <w:bottom w:val="nil"/>
              <w:right w:val="nil"/>
            </w:tcBorders>
            <w:shd w:val="clear" w:color="000000" w:fill="E20000"/>
            <w:noWrap/>
            <w:vAlign w:val="bottom"/>
            <w:hideMark/>
          </w:tcPr>
          <w:p w:rsidR="00CD4A09" w:rsidRPr="00CD4A09" w:rsidRDefault="00CD4A09" w:rsidP="00CD4A09">
            <w:pPr>
              <w:ind w:firstLineChars="100" w:firstLine="221"/>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563" w:type="dxa"/>
            <w:tcBorders>
              <w:top w:val="single" w:sz="4" w:space="0" w:color="auto"/>
              <w:left w:val="nil"/>
              <w:bottom w:val="nil"/>
              <w:right w:val="nil"/>
            </w:tcBorders>
            <w:shd w:val="clear" w:color="000000" w:fill="E20000"/>
            <w:noWrap/>
            <w:vAlign w:val="bottom"/>
            <w:hideMark/>
          </w:tcPr>
          <w:p w:rsidR="00CD4A09" w:rsidRPr="00CD4A09" w:rsidRDefault="00CD4A09" w:rsidP="00CD4A09">
            <w:pPr>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627" w:type="dxa"/>
            <w:tcBorders>
              <w:top w:val="single" w:sz="4" w:space="0" w:color="auto"/>
              <w:left w:val="nil"/>
              <w:bottom w:val="nil"/>
              <w:right w:val="nil"/>
            </w:tcBorders>
            <w:shd w:val="clear" w:color="000000" w:fill="E20000"/>
            <w:noWrap/>
            <w:vAlign w:val="bottom"/>
            <w:hideMark/>
          </w:tcPr>
          <w:p w:rsidR="00CD4A09" w:rsidRPr="00CD4A09" w:rsidRDefault="00CD4A09" w:rsidP="00CD4A09">
            <w:pPr>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627" w:type="dxa"/>
            <w:tcBorders>
              <w:top w:val="single" w:sz="4" w:space="0" w:color="auto"/>
              <w:left w:val="nil"/>
              <w:bottom w:val="nil"/>
              <w:right w:val="nil"/>
            </w:tcBorders>
            <w:shd w:val="clear" w:color="000000" w:fill="E20000"/>
            <w:noWrap/>
            <w:vAlign w:val="bottom"/>
            <w:hideMark/>
          </w:tcPr>
          <w:p w:rsidR="00CD4A09" w:rsidRPr="00CD4A09" w:rsidRDefault="00CD4A09" w:rsidP="00CD4A09">
            <w:pPr>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r>
      <w:tr w:rsidR="00CD4A09" w:rsidRPr="00CD4A09" w:rsidTr="00CD4A09">
        <w:trPr>
          <w:trHeight w:val="569"/>
        </w:trPr>
        <w:tc>
          <w:tcPr>
            <w:tcW w:w="4340" w:type="dxa"/>
            <w:tcBorders>
              <w:top w:val="nil"/>
              <w:left w:val="nil"/>
              <w:bottom w:val="nil"/>
              <w:right w:val="nil"/>
            </w:tcBorders>
            <w:shd w:val="clear" w:color="000000" w:fill="E20000"/>
            <w:noWrap/>
            <w:vAlign w:val="bottom"/>
            <w:hideMark/>
          </w:tcPr>
          <w:p w:rsidR="00CD4A09" w:rsidRPr="00CD4A09" w:rsidRDefault="00CD4A09" w:rsidP="00CD4A09">
            <w:pPr>
              <w:ind w:firstLineChars="100" w:firstLine="221"/>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Summary Profit &amp; Loss ($m)</w:t>
            </w:r>
          </w:p>
        </w:tc>
        <w:tc>
          <w:tcPr>
            <w:tcW w:w="1563"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xml:space="preserve">Six Months Ended </w:t>
            </w:r>
          </w:p>
        </w:tc>
        <w:tc>
          <w:tcPr>
            <w:tcW w:w="1627" w:type="dxa"/>
            <w:vMerge w:val="restart"/>
            <w:tcBorders>
              <w:top w:val="nil"/>
              <w:left w:val="nil"/>
              <w:bottom w:val="nil"/>
              <w:right w:val="nil"/>
            </w:tcBorders>
            <w:shd w:val="clear" w:color="000000" w:fill="E20000"/>
            <w:vAlign w:val="center"/>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xml:space="preserve">% Movement  Mar-17             vs. Sep-16   </w:t>
            </w:r>
          </w:p>
        </w:tc>
        <w:tc>
          <w:tcPr>
            <w:tcW w:w="1627" w:type="dxa"/>
            <w:vMerge w:val="restart"/>
            <w:tcBorders>
              <w:top w:val="nil"/>
              <w:left w:val="nil"/>
              <w:bottom w:val="nil"/>
              <w:right w:val="nil"/>
            </w:tcBorders>
            <w:shd w:val="clear" w:color="000000" w:fill="E20000"/>
            <w:vAlign w:val="center"/>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xml:space="preserve"> % Movement Mar-17             vs. Mar-16   </w:t>
            </w:r>
          </w:p>
        </w:tc>
      </w:tr>
      <w:tr w:rsidR="00CD4A09" w:rsidRPr="00CD4A09" w:rsidTr="00CD4A09">
        <w:trPr>
          <w:trHeight w:val="283"/>
        </w:trPr>
        <w:tc>
          <w:tcPr>
            <w:tcW w:w="4340" w:type="dxa"/>
            <w:tcBorders>
              <w:top w:val="nil"/>
              <w:left w:val="nil"/>
              <w:bottom w:val="nil"/>
              <w:right w:val="nil"/>
            </w:tcBorders>
            <w:shd w:val="clear" w:color="000000" w:fill="E20000"/>
            <w:noWrap/>
            <w:vAlign w:val="bottom"/>
            <w:hideMark/>
          </w:tcPr>
          <w:p w:rsidR="00CD4A09" w:rsidRPr="00CD4A09" w:rsidRDefault="00CD4A09" w:rsidP="00CD4A09">
            <w:pPr>
              <w:ind w:firstLineChars="100" w:firstLine="221"/>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563"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31-Mar-17</w:t>
            </w:r>
          </w:p>
        </w:tc>
        <w:tc>
          <w:tcPr>
            <w:tcW w:w="1627" w:type="dxa"/>
            <w:vMerge/>
            <w:tcBorders>
              <w:top w:val="nil"/>
              <w:left w:val="nil"/>
              <w:bottom w:val="nil"/>
              <w:right w:val="nil"/>
            </w:tcBorders>
            <w:vAlign w:val="center"/>
            <w:hideMark/>
          </w:tcPr>
          <w:p w:rsidR="00CD4A09" w:rsidRPr="00CD4A09" w:rsidRDefault="00CD4A09" w:rsidP="00CD4A09">
            <w:pPr>
              <w:rPr>
                <w:rFonts w:ascii="Calibri" w:eastAsia="Times New Roman" w:hAnsi="Calibri" w:cs="Calibri"/>
                <w:b/>
                <w:bCs/>
                <w:color w:val="FFFFFF"/>
                <w:sz w:val="22"/>
                <w:szCs w:val="22"/>
                <w:lang w:val="en-NZ" w:eastAsia="en-NZ"/>
              </w:rPr>
            </w:pPr>
          </w:p>
        </w:tc>
        <w:tc>
          <w:tcPr>
            <w:tcW w:w="1627" w:type="dxa"/>
            <w:vMerge/>
            <w:tcBorders>
              <w:top w:val="nil"/>
              <w:left w:val="nil"/>
              <w:bottom w:val="nil"/>
              <w:right w:val="nil"/>
            </w:tcBorders>
            <w:vAlign w:val="center"/>
            <w:hideMark/>
          </w:tcPr>
          <w:p w:rsidR="00CD4A09" w:rsidRPr="00CD4A09" w:rsidRDefault="00CD4A09" w:rsidP="00CD4A09">
            <w:pPr>
              <w:rPr>
                <w:rFonts w:ascii="Calibri" w:eastAsia="Times New Roman" w:hAnsi="Calibri" w:cs="Calibri"/>
                <w:b/>
                <w:bCs/>
                <w:color w:val="FFFFFF"/>
                <w:sz w:val="22"/>
                <w:szCs w:val="22"/>
                <w:lang w:val="en-NZ" w:eastAsia="en-NZ"/>
              </w:rPr>
            </w:pPr>
          </w:p>
        </w:tc>
      </w:tr>
      <w:tr w:rsidR="00CD4A09" w:rsidRPr="00CD4A09" w:rsidTr="00CD4A09">
        <w:trPr>
          <w:trHeight w:val="165"/>
        </w:trPr>
        <w:tc>
          <w:tcPr>
            <w:tcW w:w="4340" w:type="dxa"/>
            <w:tcBorders>
              <w:top w:val="nil"/>
              <w:left w:val="nil"/>
              <w:bottom w:val="nil"/>
              <w:right w:val="nil"/>
            </w:tcBorders>
            <w:shd w:val="clear" w:color="000000" w:fill="E20000"/>
            <w:noWrap/>
            <w:vAlign w:val="bottom"/>
            <w:hideMark/>
          </w:tcPr>
          <w:p w:rsidR="00CD4A09" w:rsidRPr="00CD4A09" w:rsidRDefault="00CD4A09" w:rsidP="00CD4A09">
            <w:pPr>
              <w:ind w:firstLineChars="100" w:firstLine="221"/>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563"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627"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627"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r>
      <w:tr w:rsidR="00CD4A09" w:rsidRPr="00CD4A09" w:rsidTr="00CD4A09">
        <w:trPr>
          <w:trHeight w:val="283"/>
        </w:trPr>
        <w:tc>
          <w:tcPr>
            <w:tcW w:w="4340" w:type="dxa"/>
            <w:tcBorders>
              <w:top w:val="single" w:sz="4" w:space="0" w:color="auto"/>
              <w:left w:val="nil"/>
              <w:bottom w:val="nil"/>
              <w:right w:val="nil"/>
            </w:tcBorders>
            <w:shd w:val="clear" w:color="000000" w:fill="FFFFFF"/>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563" w:type="dxa"/>
            <w:tcBorders>
              <w:top w:val="single" w:sz="4" w:space="0" w:color="auto"/>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single" w:sz="4" w:space="0" w:color="auto"/>
              <w:left w:val="nil"/>
              <w:bottom w:val="nil"/>
              <w:right w:val="nil"/>
            </w:tcBorders>
            <w:shd w:val="clear" w:color="000000" w:fill="FFFFFF"/>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single" w:sz="4" w:space="0" w:color="auto"/>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Net Interest Income</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838</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(4%)</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(1%)</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xml:space="preserve">Non-Interest Income </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240</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N/C</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(1%)</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1"/>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 xml:space="preserve">Operating Income </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1,078</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(3%)</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(1%)</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Operating Expenses</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FF0000"/>
                <w:sz w:val="22"/>
                <w:szCs w:val="22"/>
                <w:lang w:val="en-NZ" w:eastAsia="en-NZ"/>
              </w:rPr>
              <w:t>(468)</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1%</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2%</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1"/>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 xml:space="preserve">Core Earnings </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610</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(7%)</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(4%)</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Impairment (Charges) / Recoveries</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36</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(172%)</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Large</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Taxation</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FF0000"/>
                <w:sz w:val="22"/>
                <w:szCs w:val="22"/>
                <w:lang w:val="en-NZ" w:eastAsia="en-NZ"/>
              </w:rPr>
              <w:t>(184)</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9%</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6%</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1"/>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 xml:space="preserve">Cash Earnings </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462</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6%</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2%</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Net Interest Margin (%)</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1.96%</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(17bps)</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(22bps)</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177"/>
        </w:trPr>
        <w:tc>
          <w:tcPr>
            <w:tcW w:w="4340" w:type="dxa"/>
            <w:tcBorders>
              <w:top w:val="single" w:sz="4" w:space="0" w:color="auto"/>
              <w:left w:val="nil"/>
              <w:bottom w:val="nil"/>
              <w:right w:val="nil"/>
            </w:tcBorders>
            <w:shd w:val="clear" w:color="000000" w:fill="E20000"/>
            <w:noWrap/>
            <w:vAlign w:val="bottom"/>
            <w:hideMark/>
          </w:tcPr>
          <w:p w:rsidR="00CD4A09" w:rsidRPr="00CD4A09" w:rsidRDefault="00CD4A09" w:rsidP="00CD4A09">
            <w:pPr>
              <w:ind w:firstLineChars="100" w:firstLine="221"/>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563" w:type="dxa"/>
            <w:tcBorders>
              <w:top w:val="single" w:sz="4" w:space="0" w:color="auto"/>
              <w:left w:val="nil"/>
              <w:bottom w:val="nil"/>
              <w:right w:val="nil"/>
            </w:tcBorders>
            <w:shd w:val="clear" w:color="000000" w:fill="E20000"/>
            <w:noWrap/>
            <w:vAlign w:val="bottom"/>
            <w:hideMark/>
          </w:tcPr>
          <w:p w:rsidR="00CD4A09" w:rsidRPr="00CD4A09" w:rsidRDefault="00CD4A09" w:rsidP="00CD4A09">
            <w:pPr>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627" w:type="dxa"/>
            <w:tcBorders>
              <w:top w:val="single" w:sz="4" w:space="0" w:color="auto"/>
              <w:left w:val="nil"/>
              <w:bottom w:val="nil"/>
              <w:right w:val="nil"/>
            </w:tcBorders>
            <w:shd w:val="clear" w:color="000000" w:fill="E20000"/>
            <w:noWrap/>
            <w:vAlign w:val="bottom"/>
            <w:hideMark/>
          </w:tcPr>
          <w:p w:rsidR="00CD4A09" w:rsidRPr="00CD4A09" w:rsidRDefault="00CD4A09" w:rsidP="00CD4A09">
            <w:pPr>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627" w:type="dxa"/>
            <w:tcBorders>
              <w:top w:val="single" w:sz="4" w:space="0" w:color="auto"/>
              <w:left w:val="nil"/>
              <w:bottom w:val="nil"/>
              <w:right w:val="nil"/>
            </w:tcBorders>
            <w:shd w:val="clear" w:color="000000" w:fill="E20000"/>
            <w:noWrap/>
            <w:vAlign w:val="bottom"/>
            <w:hideMark/>
          </w:tcPr>
          <w:p w:rsidR="00CD4A09" w:rsidRPr="00CD4A09" w:rsidRDefault="00CD4A09" w:rsidP="00CD4A09">
            <w:pPr>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r>
      <w:tr w:rsidR="00CD4A09" w:rsidRPr="00CD4A09" w:rsidTr="00CD4A09">
        <w:trPr>
          <w:trHeight w:val="569"/>
        </w:trPr>
        <w:tc>
          <w:tcPr>
            <w:tcW w:w="4340" w:type="dxa"/>
            <w:tcBorders>
              <w:top w:val="nil"/>
              <w:left w:val="nil"/>
              <w:bottom w:val="nil"/>
              <w:right w:val="nil"/>
            </w:tcBorders>
            <w:shd w:val="clear" w:color="000000" w:fill="E20000"/>
            <w:noWrap/>
            <w:vAlign w:val="bottom"/>
            <w:hideMark/>
          </w:tcPr>
          <w:p w:rsidR="00CD4A09" w:rsidRPr="00CD4A09" w:rsidRDefault="00CD4A09" w:rsidP="00CD4A09">
            <w:pPr>
              <w:ind w:firstLineChars="100" w:firstLine="221"/>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Summary Balance Sheet ($m)</w:t>
            </w:r>
          </w:p>
        </w:tc>
        <w:tc>
          <w:tcPr>
            <w:tcW w:w="1563"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xml:space="preserve">Six Months Ended </w:t>
            </w:r>
          </w:p>
        </w:tc>
        <w:tc>
          <w:tcPr>
            <w:tcW w:w="1627" w:type="dxa"/>
            <w:vMerge w:val="restart"/>
            <w:tcBorders>
              <w:top w:val="nil"/>
              <w:left w:val="nil"/>
              <w:bottom w:val="nil"/>
              <w:right w:val="nil"/>
            </w:tcBorders>
            <w:shd w:val="clear" w:color="000000" w:fill="E20000"/>
            <w:vAlign w:val="center"/>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xml:space="preserve">% Movement  Mar-17             vs. Sep-16   </w:t>
            </w:r>
          </w:p>
        </w:tc>
        <w:tc>
          <w:tcPr>
            <w:tcW w:w="1627" w:type="dxa"/>
            <w:vMerge w:val="restart"/>
            <w:tcBorders>
              <w:top w:val="nil"/>
              <w:left w:val="nil"/>
              <w:bottom w:val="nil"/>
              <w:right w:val="nil"/>
            </w:tcBorders>
            <w:shd w:val="clear" w:color="000000" w:fill="E20000"/>
            <w:vAlign w:val="center"/>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xml:space="preserve"> % Movement Mar-17             vs. Mar-16   </w:t>
            </w:r>
          </w:p>
        </w:tc>
      </w:tr>
      <w:tr w:rsidR="00CD4A09" w:rsidRPr="00CD4A09" w:rsidTr="00CD4A09">
        <w:trPr>
          <w:trHeight w:val="283"/>
        </w:trPr>
        <w:tc>
          <w:tcPr>
            <w:tcW w:w="4340" w:type="dxa"/>
            <w:tcBorders>
              <w:top w:val="nil"/>
              <w:left w:val="nil"/>
              <w:bottom w:val="nil"/>
              <w:right w:val="nil"/>
            </w:tcBorders>
            <w:shd w:val="clear" w:color="000000" w:fill="E20000"/>
            <w:noWrap/>
            <w:vAlign w:val="bottom"/>
            <w:hideMark/>
          </w:tcPr>
          <w:p w:rsidR="00CD4A09" w:rsidRPr="00CD4A09" w:rsidRDefault="00CD4A09" w:rsidP="00CD4A09">
            <w:pPr>
              <w:ind w:firstLineChars="100" w:firstLine="221"/>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563"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31-Mar-17</w:t>
            </w:r>
          </w:p>
        </w:tc>
        <w:tc>
          <w:tcPr>
            <w:tcW w:w="1627" w:type="dxa"/>
            <w:vMerge/>
            <w:tcBorders>
              <w:top w:val="nil"/>
              <w:left w:val="nil"/>
              <w:bottom w:val="nil"/>
              <w:right w:val="nil"/>
            </w:tcBorders>
            <w:vAlign w:val="center"/>
            <w:hideMark/>
          </w:tcPr>
          <w:p w:rsidR="00CD4A09" w:rsidRPr="00CD4A09" w:rsidRDefault="00CD4A09" w:rsidP="00CD4A09">
            <w:pPr>
              <w:rPr>
                <w:rFonts w:ascii="Calibri" w:eastAsia="Times New Roman" w:hAnsi="Calibri" w:cs="Calibri"/>
                <w:b/>
                <w:bCs/>
                <w:color w:val="FFFFFF"/>
                <w:sz w:val="22"/>
                <w:szCs w:val="22"/>
                <w:lang w:val="en-NZ" w:eastAsia="en-NZ"/>
              </w:rPr>
            </w:pPr>
          </w:p>
        </w:tc>
        <w:tc>
          <w:tcPr>
            <w:tcW w:w="1627" w:type="dxa"/>
            <w:vMerge/>
            <w:tcBorders>
              <w:top w:val="nil"/>
              <w:left w:val="nil"/>
              <w:bottom w:val="nil"/>
              <w:right w:val="nil"/>
            </w:tcBorders>
            <w:vAlign w:val="center"/>
            <w:hideMark/>
          </w:tcPr>
          <w:p w:rsidR="00CD4A09" w:rsidRPr="00CD4A09" w:rsidRDefault="00CD4A09" w:rsidP="00CD4A09">
            <w:pPr>
              <w:rPr>
                <w:rFonts w:ascii="Calibri" w:eastAsia="Times New Roman" w:hAnsi="Calibri" w:cs="Calibri"/>
                <w:b/>
                <w:bCs/>
                <w:color w:val="FFFFFF"/>
                <w:sz w:val="22"/>
                <w:szCs w:val="22"/>
                <w:lang w:val="en-NZ" w:eastAsia="en-NZ"/>
              </w:rPr>
            </w:pPr>
          </w:p>
        </w:tc>
      </w:tr>
      <w:tr w:rsidR="00CD4A09" w:rsidRPr="00CD4A09" w:rsidTr="00CD4A09">
        <w:trPr>
          <w:trHeight w:val="165"/>
        </w:trPr>
        <w:tc>
          <w:tcPr>
            <w:tcW w:w="4340" w:type="dxa"/>
            <w:tcBorders>
              <w:top w:val="nil"/>
              <w:left w:val="nil"/>
              <w:bottom w:val="nil"/>
              <w:right w:val="nil"/>
            </w:tcBorders>
            <w:shd w:val="clear" w:color="000000" w:fill="E20000"/>
            <w:noWrap/>
            <w:vAlign w:val="bottom"/>
            <w:hideMark/>
          </w:tcPr>
          <w:p w:rsidR="00CD4A09" w:rsidRPr="00CD4A09" w:rsidRDefault="00CD4A09" w:rsidP="00CD4A09">
            <w:pPr>
              <w:ind w:firstLineChars="100" w:firstLine="221"/>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563"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627"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c>
          <w:tcPr>
            <w:tcW w:w="1627" w:type="dxa"/>
            <w:tcBorders>
              <w:top w:val="nil"/>
              <w:left w:val="nil"/>
              <w:bottom w:val="nil"/>
              <w:right w:val="nil"/>
            </w:tcBorders>
            <w:shd w:val="clear" w:color="000000" w:fill="E20000"/>
            <w:vAlign w:val="bottom"/>
            <w:hideMark/>
          </w:tcPr>
          <w:p w:rsidR="00CD4A09" w:rsidRPr="00CD4A09" w:rsidRDefault="00CD4A09" w:rsidP="00CD4A09">
            <w:pPr>
              <w:jc w:val="right"/>
              <w:rPr>
                <w:rFonts w:ascii="Calibri" w:eastAsia="Times New Roman" w:hAnsi="Calibri" w:cs="Calibri"/>
                <w:b/>
                <w:bCs/>
                <w:color w:val="FFFFFF"/>
                <w:sz w:val="22"/>
                <w:szCs w:val="22"/>
                <w:lang w:val="en-NZ" w:eastAsia="en-NZ"/>
              </w:rPr>
            </w:pPr>
            <w:r w:rsidRPr="00CD4A09">
              <w:rPr>
                <w:rFonts w:ascii="Calibri" w:eastAsia="Times New Roman" w:hAnsi="Calibri" w:cs="Calibri"/>
                <w:b/>
                <w:bCs/>
                <w:color w:val="FFFFFF"/>
                <w:sz w:val="22"/>
                <w:szCs w:val="22"/>
                <w:lang w:val="en-NZ" w:eastAsia="en-NZ"/>
              </w:rPr>
              <w:t> </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1"/>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 xml:space="preserve">Total Deposits </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56.8</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(1%)</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3%</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1"/>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 xml:space="preserve">Net Loans </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76.5</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2%</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7%</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200" w:firstLine="440"/>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xml:space="preserve">Mortgages </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46.2</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2%</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6%</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200" w:firstLine="440"/>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xml:space="preserve">Non-Housing </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30.3</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1%</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7%</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1"/>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Deposit to Loan Ratio</w:t>
            </w: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74.2%</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(231bps)</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jc w:val="right"/>
              <w:rPr>
                <w:rFonts w:ascii="Calibri" w:eastAsia="Times New Roman" w:hAnsi="Calibri" w:cs="Calibri"/>
                <w:b/>
                <w:bCs/>
                <w:color w:val="000000"/>
                <w:sz w:val="22"/>
                <w:szCs w:val="22"/>
                <w:lang w:val="en-NZ" w:eastAsia="en-NZ"/>
              </w:rPr>
            </w:pPr>
            <w:r w:rsidRPr="00CD4A09">
              <w:rPr>
                <w:rFonts w:ascii="Calibri" w:eastAsia="Times New Roman" w:hAnsi="Calibri" w:cs="Calibri"/>
                <w:b/>
                <w:bCs/>
                <w:color w:val="000000"/>
                <w:sz w:val="22"/>
                <w:szCs w:val="22"/>
                <w:lang w:val="en-NZ" w:eastAsia="en-NZ"/>
              </w:rPr>
              <w:t>(232bps)</w:t>
            </w:r>
          </w:p>
        </w:tc>
      </w:tr>
      <w:tr w:rsidR="00CD4A09" w:rsidRPr="00CD4A09" w:rsidTr="00CD4A09">
        <w:trPr>
          <w:trHeight w:val="283"/>
        </w:trPr>
        <w:tc>
          <w:tcPr>
            <w:tcW w:w="4340" w:type="dxa"/>
            <w:tcBorders>
              <w:top w:val="nil"/>
              <w:left w:val="nil"/>
              <w:bottom w:val="nil"/>
              <w:right w:val="nil"/>
            </w:tcBorders>
            <w:shd w:val="clear" w:color="auto" w:fill="auto"/>
            <w:noWrap/>
            <w:vAlign w:val="bottom"/>
            <w:hideMark/>
          </w:tcPr>
          <w:p w:rsidR="00CD4A09" w:rsidRPr="00CD4A09" w:rsidRDefault="00CD4A09" w:rsidP="00CD4A09">
            <w:pPr>
              <w:ind w:firstLineChars="100" w:firstLine="220"/>
              <w:rPr>
                <w:rFonts w:ascii="Calibri" w:eastAsia="Times New Roman" w:hAnsi="Calibri" w:cs="Calibri"/>
                <w:color w:val="000000"/>
                <w:sz w:val="22"/>
                <w:szCs w:val="22"/>
                <w:lang w:val="en-NZ" w:eastAsia="en-NZ"/>
              </w:rPr>
            </w:pPr>
          </w:p>
        </w:tc>
        <w:tc>
          <w:tcPr>
            <w:tcW w:w="1563" w:type="dxa"/>
            <w:tcBorders>
              <w:top w:val="nil"/>
              <w:left w:val="nil"/>
              <w:bottom w:val="nil"/>
              <w:right w:val="nil"/>
            </w:tcBorders>
            <w:shd w:val="clear" w:color="000000" w:fill="F2F2F2"/>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r w:rsidRPr="00CD4A09">
              <w:rPr>
                <w:rFonts w:ascii="Calibri" w:eastAsia="Times New Roman" w:hAnsi="Calibri" w:cs="Calibri"/>
                <w:color w:val="000000"/>
                <w:sz w:val="22"/>
                <w:szCs w:val="22"/>
                <w:lang w:val="en-NZ" w:eastAsia="en-NZ"/>
              </w:rPr>
              <w:t> </w:t>
            </w: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c>
          <w:tcPr>
            <w:tcW w:w="1627" w:type="dxa"/>
            <w:tcBorders>
              <w:top w:val="nil"/>
              <w:left w:val="nil"/>
              <w:bottom w:val="nil"/>
              <w:right w:val="nil"/>
            </w:tcBorders>
            <w:shd w:val="clear" w:color="auto" w:fill="auto"/>
            <w:noWrap/>
            <w:vAlign w:val="bottom"/>
            <w:hideMark/>
          </w:tcPr>
          <w:p w:rsidR="00CD4A09" w:rsidRPr="00CD4A09" w:rsidRDefault="00CD4A09" w:rsidP="00CD4A09">
            <w:pPr>
              <w:rPr>
                <w:rFonts w:ascii="Calibri" w:eastAsia="Times New Roman" w:hAnsi="Calibri" w:cs="Calibri"/>
                <w:color w:val="000000"/>
                <w:sz w:val="22"/>
                <w:szCs w:val="22"/>
                <w:lang w:val="en-NZ" w:eastAsia="en-NZ"/>
              </w:rPr>
            </w:pPr>
          </w:p>
        </w:tc>
      </w:tr>
    </w:tbl>
    <w:p w:rsidR="00CD4A09" w:rsidRDefault="00CD4A09" w:rsidP="00D94814">
      <w:pPr>
        <w:rPr>
          <w:rFonts w:asciiTheme="minorHAnsi" w:hAnsiTheme="minorHAnsi" w:cstheme="minorHAnsi"/>
          <w:b/>
          <w:i/>
          <w:sz w:val="20"/>
          <w:szCs w:val="20"/>
        </w:rPr>
      </w:pPr>
    </w:p>
    <w:p w:rsidR="00CD4A09" w:rsidRDefault="00CD4A09">
      <w:pPr>
        <w:spacing w:after="200" w:line="276" w:lineRule="auto"/>
        <w:rPr>
          <w:rFonts w:asciiTheme="minorHAnsi" w:hAnsiTheme="minorHAnsi" w:cstheme="minorHAnsi"/>
          <w:b/>
          <w:i/>
          <w:sz w:val="20"/>
          <w:szCs w:val="20"/>
        </w:rPr>
      </w:pPr>
      <w:r>
        <w:rPr>
          <w:rFonts w:asciiTheme="minorHAnsi" w:hAnsiTheme="minorHAnsi" w:cstheme="minorHAnsi"/>
          <w:b/>
          <w:i/>
          <w:sz w:val="20"/>
          <w:szCs w:val="20"/>
        </w:rPr>
        <w:br w:type="page"/>
      </w:r>
    </w:p>
    <w:p w:rsidR="00780F55" w:rsidRPr="00D94814" w:rsidRDefault="00780F55" w:rsidP="00D94814">
      <w:pPr>
        <w:rPr>
          <w:rFonts w:asciiTheme="minorHAnsi" w:hAnsiTheme="minorHAnsi" w:cstheme="minorHAnsi"/>
          <w:b/>
          <w:i/>
          <w:sz w:val="20"/>
          <w:szCs w:val="20"/>
        </w:rPr>
      </w:pPr>
      <w:r w:rsidRPr="00D94814">
        <w:rPr>
          <w:rFonts w:asciiTheme="minorHAnsi" w:hAnsiTheme="minorHAnsi" w:cstheme="minorHAnsi"/>
          <w:b/>
          <w:i/>
          <w:sz w:val="20"/>
          <w:szCs w:val="20"/>
        </w:rPr>
        <w:lastRenderedPageBreak/>
        <w:t>About Westpac N</w:t>
      </w:r>
      <w:r w:rsidR="00FF624C">
        <w:rPr>
          <w:rFonts w:asciiTheme="minorHAnsi" w:hAnsiTheme="minorHAnsi" w:cstheme="minorHAnsi"/>
          <w:b/>
          <w:i/>
          <w:sz w:val="20"/>
          <w:szCs w:val="20"/>
        </w:rPr>
        <w:t xml:space="preserve">ew </w:t>
      </w:r>
      <w:r w:rsidRPr="00D94814">
        <w:rPr>
          <w:rFonts w:asciiTheme="minorHAnsi" w:hAnsiTheme="minorHAnsi" w:cstheme="minorHAnsi"/>
          <w:b/>
          <w:i/>
          <w:sz w:val="20"/>
          <w:szCs w:val="20"/>
        </w:rPr>
        <w:t>Z</w:t>
      </w:r>
      <w:r w:rsidR="00FF624C">
        <w:rPr>
          <w:rFonts w:asciiTheme="minorHAnsi" w:hAnsiTheme="minorHAnsi" w:cstheme="minorHAnsi"/>
          <w:b/>
          <w:i/>
          <w:sz w:val="20"/>
          <w:szCs w:val="20"/>
        </w:rPr>
        <w:t>ealand</w:t>
      </w:r>
      <w:r w:rsidRPr="00D94814">
        <w:rPr>
          <w:rFonts w:asciiTheme="minorHAnsi" w:hAnsiTheme="minorHAnsi" w:cstheme="minorHAnsi"/>
          <w:b/>
          <w:i/>
          <w:sz w:val="20"/>
          <w:szCs w:val="20"/>
        </w:rPr>
        <w:t xml:space="preserve"> </w:t>
      </w:r>
    </w:p>
    <w:p w:rsidR="00D70A83" w:rsidRPr="006505B6" w:rsidRDefault="00780F55" w:rsidP="00D94814">
      <w:pPr>
        <w:rPr>
          <w:rFonts w:asciiTheme="minorHAnsi" w:hAnsiTheme="minorHAnsi" w:cstheme="minorHAnsi"/>
          <w:i/>
          <w:sz w:val="20"/>
          <w:szCs w:val="20"/>
        </w:rPr>
      </w:pPr>
      <w:r w:rsidRPr="006505B6">
        <w:rPr>
          <w:rFonts w:asciiTheme="minorHAnsi" w:hAnsiTheme="minorHAnsi" w:cstheme="minorHAnsi"/>
          <w:i/>
          <w:sz w:val="20"/>
          <w:szCs w:val="20"/>
        </w:rPr>
        <w:t>Westpac has been serving New Zealanders since 1861 and is today one of the country’s largest full service banks with over 1.3 million customer</w:t>
      </w:r>
      <w:r w:rsidR="00CF3F48">
        <w:rPr>
          <w:rFonts w:asciiTheme="minorHAnsi" w:hAnsiTheme="minorHAnsi" w:cstheme="minorHAnsi"/>
          <w:i/>
          <w:sz w:val="20"/>
          <w:szCs w:val="20"/>
        </w:rPr>
        <w:t>s.</w:t>
      </w:r>
    </w:p>
    <w:p w:rsidR="00780F55" w:rsidRPr="006505B6" w:rsidRDefault="00780F55" w:rsidP="00D94814">
      <w:pPr>
        <w:rPr>
          <w:rFonts w:asciiTheme="minorHAnsi" w:hAnsiTheme="minorHAnsi" w:cstheme="minorHAnsi"/>
          <w:i/>
          <w:sz w:val="20"/>
          <w:szCs w:val="20"/>
        </w:rPr>
      </w:pPr>
      <w:r w:rsidRPr="006505B6">
        <w:rPr>
          <w:rFonts w:asciiTheme="minorHAnsi" w:hAnsiTheme="minorHAnsi" w:cstheme="minorHAnsi"/>
          <w:i/>
          <w:sz w:val="20"/>
          <w:szCs w:val="20"/>
        </w:rPr>
        <w:t>We provide a full range of retail and commercial financial services including home and business lending, funds management and treasury services.</w:t>
      </w:r>
    </w:p>
    <w:p w:rsidR="00780F55" w:rsidRPr="006505B6" w:rsidRDefault="00780F55" w:rsidP="00D94814">
      <w:pPr>
        <w:rPr>
          <w:rFonts w:asciiTheme="minorHAnsi" w:hAnsiTheme="minorHAnsi" w:cstheme="minorHAnsi"/>
          <w:i/>
          <w:sz w:val="20"/>
          <w:szCs w:val="20"/>
        </w:rPr>
      </w:pPr>
      <w:r w:rsidRPr="006505B6">
        <w:rPr>
          <w:rFonts w:asciiTheme="minorHAnsi" w:hAnsiTheme="minorHAnsi" w:cstheme="minorHAnsi"/>
          <w:i/>
          <w:sz w:val="20"/>
          <w:szCs w:val="20"/>
        </w:rPr>
        <w:t xml:space="preserve">In addition to </w:t>
      </w:r>
      <w:r w:rsidR="00D70A83">
        <w:rPr>
          <w:rFonts w:asciiTheme="minorHAnsi" w:hAnsiTheme="minorHAnsi" w:cstheme="minorHAnsi"/>
          <w:i/>
          <w:sz w:val="20"/>
          <w:szCs w:val="20"/>
        </w:rPr>
        <w:t xml:space="preserve">salaries to more than 4,000 </w:t>
      </w:r>
      <w:r w:rsidRPr="006505B6">
        <w:rPr>
          <w:rFonts w:asciiTheme="minorHAnsi" w:hAnsiTheme="minorHAnsi" w:cstheme="minorHAnsi"/>
          <w:i/>
          <w:sz w:val="20"/>
          <w:szCs w:val="20"/>
        </w:rPr>
        <w:t xml:space="preserve">staff, </w:t>
      </w:r>
      <w:r w:rsidR="00CF3F48">
        <w:rPr>
          <w:rFonts w:asciiTheme="minorHAnsi" w:hAnsiTheme="minorHAnsi" w:cstheme="minorHAnsi"/>
          <w:i/>
          <w:sz w:val="20"/>
          <w:szCs w:val="20"/>
        </w:rPr>
        <w:t xml:space="preserve">in the last six months to March 31 2017 </w:t>
      </w:r>
      <w:r w:rsidRPr="006505B6">
        <w:rPr>
          <w:rFonts w:asciiTheme="minorHAnsi" w:hAnsiTheme="minorHAnsi" w:cstheme="minorHAnsi"/>
          <w:i/>
          <w:sz w:val="20"/>
          <w:szCs w:val="20"/>
        </w:rPr>
        <w:t>we contribute</w:t>
      </w:r>
      <w:r w:rsidR="00CF3F48">
        <w:rPr>
          <w:rFonts w:asciiTheme="minorHAnsi" w:hAnsiTheme="minorHAnsi" w:cstheme="minorHAnsi"/>
          <w:i/>
          <w:sz w:val="20"/>
          <w:szCs w:val="20"/>
        </w:rPr>
        <w:t>d</w:t>
      </w:r>
      <w:r w:rsidRPr="006505B6">
        <w:rPr>
          <w:rFonts w:asciiTheme="minorHAnsi" w:hAnsiTheme="minorHAnsi" w:cstheme="minorHAnsi"/>
          <w:i/>
          <w:sz w:val="20"/>
          <w:szCs w:val="20"/>
        </w:rPr>
        <w:t xml:space="preserve"> $</w:t>
      </w:r>
      <w:r w:rsidR="00CF3F48" w:rsidRPr="006505B6">
        <w:rPr>
          <w:rFonts w:asciiTheme="minorHAnsi" w:hAnsiTheme="minorHAnsi" w:cstheme="minorHAnsi"/>
          <w:i/>
          <w:sz w:val="20"/>
          <w:szCs w:val="20"/>
        </w:rPr>
        <w:t>2</w:t>
      </w:r>
      <w:r w:rsidR="00CF3F48">
        <w:rPr>
          <w:rFonts w:asciiTheme="minorHAnsi" w:hAnsiTheme="minorHAnsi" w:cstheme="minorHAnsi"/>
          <w:i/>
          <w:sz w:val="20"/>
          <w:szCs w:val="20"/>
        </w:rPr>
        <w:t>80</w:t>
      </w:r>
      <w:r w:rsidR="00CF3F48" w:rsidRPr="006505B6">
        <w:rPr>
          <w:rFonts w:asciiTheme="minorHAnsi" w:hAnsiTheme="minorHAnsi" w:cstheme="minorHAnsi"/>
          <w:i/>
          <w:sz w:val="20"/>
          <w:szCs w:val="20"/>
        </w:rPr>
        <w:t xml:space="preserve"> </w:t>
      </w:r>
      <w:r w:rsidRPr="006505B6">
        <w:rPr>
          <w:rFonts w:asciiTheme="minorHAnsi" w:hAnsiTheme="minorHAnsi" w:cstheme="minorHAnsi"/>
          <w:i/>
          <w:sz w:val="20"/>
          <w:szCs w:val="20"/>
        </w:rPr>
        <w:t>million to the economy via payments to some 2,</w:t>
      </w:r>
      <w:r w:rsidR="00CF3F48">
        <w:rPr>
          <w:rFonts w:asciiTheme="minorHAnsi" w:hAnsiTheme="minorHAnsi" w:cstheme="minorHAnsi"/>
          <w:i/>
          <w:sz w:val="20"/>
          <w:szCs w:val="20"/>
        </w:rPr>
        <w:t>6</w:t>
      </w:r>
      <w:r w:rsidR="00CF3F48" w:rsidRPr="006505B6">
        <w:rPr>
          <w:rFonts w:asciiTheme="minorHAnsi" w:hAnsiTheme="minorHAnsi" w:cstheme="minorHAnsi"/>
          <w:i/>
          <w:sz w:val="20"/>
          <w:szCs w:val="20"/>
        </w:rPr>
        <w:t xml:space="preserve">00 </w:t>
      </w:r>
      <w:r w:rsidRPr="006505B6">
        <w:rPr>
          <w:rFonts w:asciiTheme="minorHAnsi" w:hAnsiTheme="minorHAnsi" w:cstheme="minorHAnsi"/>
          <w:i/>
          <w:sz w:val="20"/>
          <w:szCs w:val="20"/>
        </w:rPr>
        <w:t>contractors and local suppliers.</w:t>
      </w:r>
    </w:p>
    <w:p w:rsidR="00780F55" w:rsidRPr="006505B6" w:rsidRDefault="00780F55" w:rsidP="00D94814">
      <w:pPr>
        <w:rPr>
          <w:rFonts w:asciiTheme="minorHAnsi" w:hAnsiTheme="minorHAnsi" w:cstheme="minorHAnsi"/>
          <w:i/>
          <w:sz w:val="20"/>
          <w:szCs w:val="20"/>
        </w:rPr>
      </w:pPr>
      <w:r w:rsidRPr="006505B6">
        <w:rPr>
          <w:rFonts w:asciiTheme="minorHAnsi" w:hAnsiTheme="minorHAnsi" w:cstheme="minorHAnsi"/>
          <w:i/>
          <w:sz w:val="20"/>
          <w:szCs w:val="20"/>
        </w:rPr>
        <w:t>Westpac is committed to improving the social, environmental and economic wellbeing of all New Zealanders.</w:t>
      </w:r>
    </w:p>
    <w:p w:rsidR="00780F55" w:rsidRPr="006505B6" w:rsidRDefault="00780F55" w:rsidP="00D94814">
      <w:pPr>
        <w:rPr>
          <w:rFonts w:asciiTheme="minorHAnsi" w:hAnsiTheme="minorHAnsi" w:cstheme="minorHAnsi"/>
          <w:i/>
          <w:sz w:val="20"/>
          <w:szCs w:val="20"/>
        </w:rPr>
      </w:pPr>
      <w:r w:rsidRPr="006505B6">
        <w:rPr>
          <w:rFonts w:asciiTheme="minorHAnsi" w:hAnsiTheme="minorHAnsi" w:cstheme="minorHAnsi"/>
          <w:i/>
          <w:sz w:val="20"/>
          <w:szCs w:val="20"/>
        </w:rPr>
        <w:t>A previous winner of the Deloitte Top 200 Diversity Leadership Award and recipient of a White Camellia Award for demonstrating excellence in gender equality, Westpac was the first major bank to appoint a woman to Chair its board; currently, more than half of our leadership positions are filled by women.</w:t>
      </w:r>
    </w:p>
    <w:p w:rsidR="00780F55" w:rsidRPr="006505B6" w:rsidRDefault="00780F55" w:rsidP="00D94814">
      <w:pPr>
        <w:rPr>
          <w:rFonts w:asciiTheme="minorHAnsi" w:hAnsiTheme="minorHAnsi" w:cstheme="minorHAnsi"/>
          <w:i/>
          <w:sz w:val="20"/>
          <w:szCs w:val="20"/>
        </w:rPr>
      </w:pPr>
      <w:r w:rsidRPr="006505B6">
        <w:rPr>
          <w:rFonts w:asciiTheme="minorHAnsi" w:hAnsiTheme="minorHAnsi" w:cstheme="minorHAnsi"/>
          <w:i/>
          <w:sz w:val="20"/>
          <w:szCs w:val="20"/>
        </w:rPr>
        <w:t xml:space="preserve">In 2014, we became one of the first New Zealand organisations to get the Rainbow Tick and in 2017 received the </w:t>
      </w:r>
      <w:r w:rsidR="002E7D05" w:rsidRPr="006505B6">
        <w:rPr>
          <w:rFonts w:asciiTheme="minorHAnsi" w:hAnsiTheme="minorHAnsi" w:cstheme="minorHAnsi"/>
          <w:i/>
          <w:sz w:val="20"/>
          <w:szCs w:val="20"/>
        </w:rPr>
        <w:t>Alzheimer’s</w:t>
      </w:r>
      <w:r w:rsidRPr="006505B6">
        <w:rPr>
          <w:rFonts w:asciiTheme="minorHAnsi" w:hAnsiTheme="minorHAnsi" w:cstheme="minorHAnsi"/>
          <w:i/>
          <w:sz w:val="20"/>
          <w:szCs w:val="20"/>
        </w:rPr>
        <w:t xml:space="preserve"> New Zealand Dementia-Friendly Award.</w:t>
      </w:r>
    </w:p>
    <w:p w:rsidR="00D94814" w:rsidRDefault="00780F55" w:rsidP="00D94814">
      <w:pPr>
        <w:pStyle w:val="NoSpacing"/>
        <w:rPr>
          <w:rFonts w:cstheme="minorHAnsi"/>
          <w:i/>
          <w:sz w:val="20"/>
          <w:szCs w:val="20"/>
        </w:rPr>
      </w:pPr>
      <w:r w:rsidRPr="006505B6">
        <w:rPr>
          <w:rFonts w:cstheme="minorHAnsi"/>
          <w:i/>
          <w:sz w:val="20"/>
          <w:szCs w:val="20"/>
        </w:rPr>
        <w:t>Westpac also supports numerous charities and not-for profits, including the Westpac Rescue Helicopter Service, which last year carried out 1,663 rescue missions.</w:t>
      </w:r>
    </w:p>
    <w:p w:rsidR="00D94814" w:rsidRDefault="00D94814" w:rsidP="00502772">
      <w:pPr>
        <w:pStyle w:val="NoSpacing"/>
        <w:rPr>
          <w:rFonts w:cstheme="minorHAnsi"/>
          <w:i/>
          <w:sz w:val="20"/>
          <w:szCs w:val="20"/>
        </w:rPr>
      </w:pPr>
    </w:p>
    <w:p w:rsidR="00D94814" w:rsidRDefault="00D94814" w:rsidP="00502772">
      <w:pPr>
        <w:pStyle w:val="NoSpacing"/>
        <w:rPr>
          <w:rFonts w:cstheme="minorHAnsi"/>
          <w:b/>
          <w:sz w:val="20"/>
          <w:szCs w:val="20"/>
        </w:rPr>
      </w:pPr>
    </w:p>
    <w:p w:rsidR="00D94814" w:rsidRDefault="00D94814" w:rsidP="00502772">
      <w:pPr>
        <w:pStyle w:val="NoSpacing"/>
        <w:rPr>
          <w:rFonts w:cstheme="minorHAnsi"/>
          <w:b/>
          <w:sz w:val="20"/>
          <w:szCs w:val="20"/>
        </w:rPr>
      </w:pPr>
    </w:p>
    <w:p w:rsidR="00502772" w:rsidRPr="00664E4A" w:rsidRDefault="00502772" w:rsidP="002A7280">
      <w:pPr>
        <w:pStyle w:val="NoSpacing"/>
        <w:rPr>
          <w:rFonts w:cstheme="minorHAnsi"/>
          <w:sz w:val="18"/>
          <w:szCs w:val="18"/>
        </w:rPr>
      </w:pPr>
      <w:r w:rsidRPr="00664E4A">
        <w:rPr>
          <w:rFonts w:cstheme="minorHAnsi"/>
          <w:b/>
          <w:sz w:val="18"/>
          <w:szCs w:val="18"/>
        </w:rPr>
        <w:t xml:space="preserve">1 </w:t>
      </w:r>
      <w:r w:rsidRPr="00664E4A">
        <w:rPr>
          <w:rFonts w:cstheme="minorHAnsi"/>
          <w:sz w:val="18"/>
          <w:szCs w:val="18"/>
        </w:rPr>
        <w:t xml:space="preserve">Westpac New Zealand is a </w:t>
      </w:r>
      <w:r w:rsidR="00301B68" w:rsidRPr="00664E4A">
        <w:rPr>
          <w:rFonts w:cstheme="minorHAnsi"/>
          <w:sz w:val="18"/>
          <w:szCs w:val="18"/>
        </w:rPr>
        <w:t>division of Westpac Banking Corporation</w:t>
      </w:r>
      <w:r w:rsidRPr="00664E4A">
        <w:rPr>
          <w:rFonts w:cstheme="minorHAnsi"/>
          <w:sz w:val="18"/>
          <w:szCs w:val="18"/>
        </w:rPr>
        <w:t>, and is not the same as Westpac New Zealand Limited. The financial results of Westpac New Zealand Limited will be available in the Disclosure Statement and a reconciliation between the two results is provided in conjunction with the publishing of the Disclosure Statement.</w:t>
      </w:r>
    </w:p>
    <w:p w:rsidR="00502772" w:rsidRPr="00664E4A" w:rsidRDefault="00502772" w:rsidP="002A7280">
      <w:pPr>
        <w:pStyle w:val="NoSpacing"/>
        <w:rPr>
          <w:rFonts w:cstheme="minorHAnsi"/>
          <w:sz w:val="18"/>
          <w:szCs w:val="18"/>
        </w:rPr>
      </w:pPr>
      <w:r w:rsidRPr="00664E4A">
        <w:rPr>
          <w:rFonts w:cstheme="minorHAnsi"/>
          <w:b/>
          <w:sz w:val="18"/>
          <w:szCs w:val="18"/>
        </w:rPr>
        <w:t xml:space="preserve">2 </w:t>
      </w:r>
      <w:r w:rsidRPr="00664E4A">
        <w:rPr>
          <w:rFonts w:cstheme="minorHAnsi"/>
          <w:sz w:val="18"/>
          <w:szCs w:val="18"/>
        </w:rPr>
        <w:t>Cash earnings are a measure of performance used by the Westpac Group which adjusts statutory profit for any material items that do not reflect ongoing operations, items that are not considered when dividends are recommended and accounting reclassifications between line items that do not impact reported results. Cash earnings is not a measure of cash flow or net profit determined on a cash accounting basis, as it includes non-cash items reflected in statutory profit determined in accordance with IFRS. Westpac New Zealand's cash earnings result for the half year ended 31 March 2017, as reflected in the Westpac Group's Interim Results Announcement, is equal to statutory profit as none of these cash earnings adjustments impact on Westpac New Zealand's rep</w:t>
      </w:r>
      <w:r w:rsidR="00D94814" w:rsidRPr="00664E4A">
        <w:rPr>
          <w:rFonts w:cstheme="minorHAnsi"/>
          <w:sz w:val="18"/>
          <w:szCs w:val="18"/>
        </w:rPr>
        <w:t xml:space="preserve">orted results. A reconciliation </w:t>
      </w:r>
      <w:r w:rsidRPr="00664E4A">
        <w:rPr>
          <w:rFonts w:cstheme="minorHAnsi"/>
          <w:sz w:val="18"/>
          <w:szCs w:val="18"/>
        </w:rPr>
        <w:t>between Westpac New Zealand’s cash earnings result and Westpac New Zealand Limited’s statutory profit result is provided in conjunction with the publishing of the Westpac New Zealand Limited Disclosure Statement.</w:t>
      </w:r>
    </w:p>
    <w:p w:rsidR="00544629" w:rsidRDefault="00FB3B1B" w:rsidP="00664E4A">
      <w:pPr>
        <w:pStyle w:val="NoSpacing"/>
        <w:rPr>
          <w:rFonts w:cstheme="minorHAnsi"/>
          <w:sz w:val="18"/>
          <w:szCs w:val="18"/>
        </w:rPr>
      </w:pPr>
      <w:r w:rsidRPr="00664E4A">
        <w:rPr>
          <w:rFonts w:cstheme="minorHAnsi"/>
          <w:b/>
          <w:sz w:val="18"/>
          <w:szCs w:val="18"/>
        </w:rPr>
        <w:t xml:space="preserve">3 </w:t>
      </w:r>
      <w:r w:rsidR="005A144D" w:rsidRPr="00664E4A">
        <w:rPr>
          <w:rFonts w:cstheme="minorHAnsi"/>
          <w:sz w:val="18"/>
          <w:szCs w:val="18"/>
        </w:rPr>
        <w:t>Deposits are equal to deposits at amortised cost as disclosed in the Westpac New Zealand Limited Disclosure Statement</w:t>
      </w:r>
    </w:p>
    <w:p w:rsidR="007B00CF" w:rsidRPr="00664E4A" w:rsidRDefault="00FB3B1B" w:rsidP="00664E4A">
      <w:pPr>
        <w:pStyle w:val="NoSpacing"/>
        <w:rPr>
          <w:rFonts w:cstheme="minorHAnsi"/>
          <w:sz w:val="18"/>
          <w:szCs w:val="18"/>
        </w:rPr>
      </w:pPr>
      <w:r w:rsidRPr="00664E4A">
        <w:rPr>
          <w:rFonts w:cstheme="minorHAnsi"/>
          <w:b/>
          <w:sz w:val="18"/>
          <w:szCs w:val="18"/>
        </w:rPr>
        <w:t>4</w:t>
      </w:r>
      <w:r w:rsidRPr="00664E4A">
        <w:rPr>
          <w:rFonts w:cstheme="minorHAnsi"/>
          <w:sz w:val="18"/>
          <w:szCs w:val="18"/>
        </w:rPr>
        <w:t xml:space="preserve"> </w:t>
      </w:r>
      <w:r w:rsidR="00502772" w:rsidRPr="00664E4A">
        <w:rPr>
          <w:rFonts w:cstheme="minorHAnsi"/>
          <w:sz w:val="18"/>
          <w:szCs w:val="18"/>
        </w:rPr>
        <w:t xml:space="preserve">BT Funds Management (NZ) Limited is the scheme provider and Westpac New Zealand Limited is the distributor of the Westpac KiwiSaver Scheme. A copy of the </w:t>
      </w:r>
      <w:r w:rsidR="00711248" w:rsidRPr="00664E4A">
        <w:rPr>
          <w:rFonts w:cstheme="minorHAnsi"/>
          <w:sz w:val="18"/>
          <w:szCs w:val="18"/>
        </w:rPr>
        <w:t xml:space="preserve">product disclosure </w:t>
      </w:r>
      <w:r w:rsidR="00502772" w:rsidRPr="00664E4A">
        <w:rPr>
          <w:rFonts w:cstheme="minorHAnsi"/>
          <w:sz w:val="18"/>
          <w:szCs w:val="18"/>
        </w:rPr>
        <w:t xml:space="preserve">statement for the Westpac </w:t>
      </w:r>
      <w:r w:rsidR="002E7D05" w:rsidRPr="00664E4A">
        <w:rPr>
          <w:rFonts w:cstheme="minorHAnsi"/>
          <w:sz w:val="18"/>
          <w:szCs w:val="18"/>
        </w:rPr>
        <w:t>KiwiSaver</w:t>
      </w:r>
      <w:r w:rsidR="00502772" w:rsidRPr="00664E4A">
        <w:rPr>
          <w:rFonts w:cstheme="minorHAnsi"/>
          <w:sz w:val="18"/>
          <w:szCs w:val="18"/>
        </w:rPr>
        <w:t xml:space="preserve"> Scheme is available from any Westpac branch in New Zealand or by visiting </w:t>
      </w:r>
      <w:hyperlink r:id="rId9" w:history="1">
        <w:r w:rsidR="007B00CF" w:rsidRPr="00664E4A">
          <w:rPr>
            <w:rStyle w:val="Hyperlink"/>
            <w:rFonts w:cstheme="minorHAnsi"/>
            <w:sz w:val="18"/>
            <w:szCs w:val="18"/>
          </w:rPr>
          <w:t>www.westpac.co.nz</w:t>
        </w:r>
      </w:hyperlink>
      <w:r w:rsidR="00502772" w:rsidRPr="00664E4A">
        <w:rPr>
          <w:rFonts w:cstheme="minorHAnsi"/>
          <w:sz w:val="18"/>
          <w:szCs w:val="18"/>
        </w:rPr>
        <w:t xml:space="preserve">. </w:t>
      </w:r>
    </w:p>
    <w:p w:rsidR="007B00CF" w:rsidRPr="00664E4A" w:rsidRDefault="007B00CF" w:rsidP="00664E4A">
      <w:pPr>
        <w:pStyle w:val="NoSpacing"/>
        <w:rPr>
          <w:rFonts w:cstheme="minorHAnsi"/>
          <w:sz w:val="20"/>
          <w:szCs w:val="20"/>
        </w:rPr>
      </w:pPr>
    </w:p>
    <w:p w:rsidR="007B00CF" w:rsidRDefault="007B00CF" w:rsidP="00502772">
      <w:pPr>
        <w:pStyle w:val="NoSpacing"/>
        <w:rPr>
          <w:rFonts w:cstheme="minorHAnsi"/>
          <w:sz w:val="20"/>
          <w:szCs w:val="20"/>
        </w:rPr>
      </w:pPr>
    </w:p>
    <w:p w:rsidR="00502772" w:rsidRPr="00CD4A09" w:rsidRDefault="00502772" w:rsidP="00502772">
      <w:pPr>
        <w:pStyle w:val="NoSpacing"/>
        <w:rPr>
          <w:rFonts w:cstheme="minorHAnsi"/>
          <w:sz w:val="24"/>
          <w:szCs w:val="24"/>
        </w:rPr>
      </w:pPr>
    </w:p>
    <w:p w:rsidR="00CD4A09" w:rsidRPr="00CD4A09" w:rsidRDefault="00CD4A09" w:rsidP="00CD4A09">
      <w:pPr>
        <w:rPr>
          <w:rFonts w:asciiTheme="minorHAnsi" w:hAnsiTheme="minorHAnsi" w:cstheme="minorHAnsi"/>
          <w:b/>
          <w:bCs/>
        </w:rPr>
      </w:pPr>
      <w:r w:rsidRPr="00CD4A09">
        <w:rPr>
          <w:rFonts w:asciiTheme="minorHAnsi" w:hAnsiTheme="minorHAnsi" w:cstheme="minorHAnsi"/>
          <w:b/>
          <w:bCs/>
        </w:rPr>
        <w:t>For further questions please contact:</w:t>
      </w:r>
    </w:p>
    <w:p w:rsidR="00CD4A09" w:rsidRPr="00CD4A09" w:rsidRDefault="00CD4A09" w:rsidP="00CD4A09">
      <w:pPr>
        <w:rPr>
          <w:rFonts w:asciiTheme="minorHAnsi" w:hAnsiTheme="minorHAnsi" w:cstheme="minorHAnsi"/>
        </w:rPr>
      </w:pPr>
      <w:r w:rsidRPr="00CD4A09">
        <w:rPr>
          <w:rFonts w:asciiTheme="minorHAnsi" w:hAnsiTheme="minorHAnsi" w:cstheme="minorHAnsi"/>
        </w:rPr>
        <w:t>Hilary Marett Tel: +64 9 367 3647</w:t>
      </w:r>
    </w:p>
    <w:p w:rsidR="00CD4A09" w:rsidRPr="00CD4A09" w:rsidRDefault="00CD4A09" w:rsidP="00CD4A09">
      <w:pPr>
        <w:rPr>
          <w:rFonts w:asciiTheme="minorHAnsi" w:hAnsiTheme="minorHAnsi" w:cstheme="minorHAnsi"/>
        </w:rPr>
      </w:pPr>
      <w:r w:rsidRPr="00CD4A09">
        <w:rPr>
          <w:rFonts w:asciiTheme="minorHAnsi" w:hAnsiTheme="minorHAnsi" w:cstheme="minorHAnsi"/>
        </w:rPr>
        <w:t>External Relations Manager Mob: +64 27 480 5640</w:t>
      </w:r>
    </w:p>
    <w:p w:rsidR="00CD4A09" w:rsidRPr="00CD4A09" w:rsidRDefault="00CD4A09" w:rsidP="00CD4A09">
      <w:pPr>
        <w:rPr>
          <w:rFonts w:asciiTheme="minorHAnsi" w:hAnsiTheme="minorHAnsi" w:cstheme="minorHAnsi"/>
        </w:rPr>
      </w:pPr>
      <w:r w:rsidRPr="00CD4A09">
        <w:rPr>
          <w:rFonts w:asciiTheme="minorHAnsi" w:hAnsiTheme="minorHAnsi" w:cstheme="minorHAnsi"/>
        </w:rPr>
        <w:t xml:space="preserve">Westpac New Zealand Email: </w:t>
      </w:r>
      <w:hyperlink r:id="rId10" w:history="1">
        <w:r w:rsidRPr="00CD4A09">
          <w:rPr>
            <w:rStyle w:val="Hyperlink"/>
            <w:rFonts w:asciiTheme="minorHAnsi" w:hAnsiTheme="minorHAnsi" w:cstheme="minorHAnsi"/>
          </w:rPr>
          <w:t>Hilary_Marett@westpac.co.nz</w:t>
        </w:r>
      </w:hyperlink>
    </w:p>
    <w:p w:rsidR="0018385E" w:rsidRPr="008C780A" w:rsidRDefault="0018385E" w:rsidP="00AF3A73">
      <w:pPr>
        <w:spacing w:after="200" w:line="276" w:lineRule="auto"/>
        <w:rPr>
          <w:rFonts w:asciiTheme="minorHAnsi" w:hAnsiTheme="minorHAnsi" w:cstheme="minorHAnsi"/>
          <w:i/>
        </w:rPr>
      </w:pPr>
    </w:p>
    <w:sectPr w:rsidR="0018385E" w:rsidRPr="008C780A" w:rsidSect="00AF183E">
      <w:headerReference w:type="default" r:id="rId11"/>
      <w:footerReference w:type="default" r:id="rId12"/>
      <w:pgSz w:w="11906" w:h="16838"/>
      <w:pgMar w:top="0"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C74" w:rsidRDefault="005D5C74" w:rsidP="00ED7295">
      <w:r>
        <w:separator/>
      </w:r>
    </w:p>
  </w:endnote>
  <w:endnote w:type="continuationSeparator" w:id="0">
    <w:p w:rsidR="005D5C74" w:rsidRDefault="005D5C74" w:rsidP="00ED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990248"/>
      <w:docPartObj>
        <w:docPartGallery w:val="Page Numbers (Bottom of Page)"/>
        <w:docPartUnique/>
      </w:docPartObj>
    </w:sdtPr>
    <w:sdtEndPr/>
    <w:sdtContent>
      <w:sdt>
        <w:sdtPr>
          <w:id w:val="860082579"/>
          <w:docPartObj>
            <w:docPartGallery w:val="Page Numbers (Top of Page)"/>
            <w:docPartUnique/>
          </w:docPartObj>
        </w:sdtPr>
        <w:sdtEndPr/>
        <w:sdtContent>
          <w:p w:rsidR="002A7280" w:rsidRDefault="002A72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4754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540">
              <w:rPr>
                <w:b/>
                <w:bCs/>
                <w:noProof/>
              </w:rPr>
              <w:t>4</w:t>
            </w:r>
            <w:r>
              <w:rPr>
                <w:b/>
                <w:bCs/>
                <w:sz w:val="24"/>
                <w:szCs w:val="24"/>
              </w:rPr>
              <w:fldChar w:fldCharType="end"/>
            </w:r>
          </w:p>
        </w:sdtContent>
      </w:sdt>
    </w:sdtContent>
  </w:sdt>
  <w:p w:rsidR="002A7280" w:rsidRDefault="002A7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C74" w:rsidRDefault="005D5C74" w:rsidP="00ED7295">
      <w:r>
        <w:separator/>
      </w:r>
    </w:p>
  </w:footnote>
  <w:footnote w:type="continuationSeparator" w:id="0">
    <w:p w:rsidR="005D5C74" w:rsidRDefault="005D5C74" w:rsidP="00ED7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280" w:rsidRDefault="002A7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2033"/>
    <w:multiLevelType w:val="hybridMultilevel"/>
    <w:tmpl w:val="CCFC5C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997563"/>
    <w:multiLevelType w:val="hybridMultilevel"/>
    <w:tmpl w:val="4C98E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6964F4"/>
    <w:multiLevelType w:val="hybridMultilevel"/>
    <w:tmpl w:val="DCD0DA9A"/>
    <w:lvl w:ilvl="0" w:tplc="DAA0B066">
      <w:start w:val="5"/>
      <w:numFmt w:val="decimal"/>
      <w:lvlText w:val="%1"/>
      <w:lvlJc w:val="left"/>
      <w:pPr>
        <w:ind w:left="1080" w:hanging="360"/>
      </w:pPr>
      <w:rPr>
        <w:rFonts w:cstheme="minorBidi" w:hint="default"/>
        <w:sz w:val="22"/>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1E1E1802"/>
    <w:multiLevelType w:val="hybridMultilevel"/>
    <w:tmpl w:val="D84EE5FA"/>
    <w:lvl w:ilvl="0" w:tplc="3598823C">
      <w:start w:val="5"/>
      <w:numFmt w:val="decimal"/>
      <w:lvlText w:val="%1."/>
      <w:lvlJc w:val="left"/>
      <w:pPr>
        <w:ind w:left="1076" w:hanging="360"/>
      </w:pPr>
      <w:rPr>
        <w:rFonts w:cstheme="minorBidi" w:hint="default"/>
        <w:sz w:val="22"/>
      </w:rPr>
    </w:lvl>
    <w:lvl w:ilvl="1" w:tplc="14090019" w:tentative="1">
      <w:start w:val="1"/>
      <w:numFmt w:val="lowerLetter"/>
      <w:lvlText w:val="%2."/>
      <w:lvlJc w:val="left"/>
      <w:pPr>
        <w:ind w:left="1796" w:hanging="360"/>
      </w:pPr>
    </w:lvl>
    <w:lvl w:ilvl="2" w:tplc="1409001B" w:tentative="1">
      <w:start w:val="1"/>
      <w:numFmt w:val="lowerRoman"/>
      <w:lvlText w:val="%3."/>
      <w:lvlJc w:val="right"/>
      <w:pPr>
        <w:ind w:left="2516" w:hanging="180"/>
      </w:pPr>
    </w:lvl>
    <w:lvl w:ilvl="3" w:tplc="1409000F" w:tentative="1">
      <w:start w:val="1"/>
      <w:numFmt w:val="decimal"/>
      <w:lvlText w:val="%4."/>
      <w:lvlJc w:val="left"/>
      <w:pPr>
        <w:ind w:left="3236" w:hanging="360"/>
      </w:pPr>
    </w:lvl>
    <w:lvl w:ilvl="4" w:tplc="14090019" w:tentative="1">
      <w:start w:val="1"/>
      <w:numFmt w:val="lowerLetter"/>
      <w:lvlText w:val="%5."/>
      <w:lvlJc w:val="left"/>
      <w:pPr>
        <w:ind w:left="3956" w:hanging="360"/>
      </w:pPr>
    </w:lvl>
    <w:lvl w:ilvl="5" w:tplc="1409001B" w:tentative="1">
      <w:start w:val="1"/>
      <w:numFmt w:val="lowerRoman"/>
      <w:lvlText w:val="%6."/>
      <w:lvlJc w:val="right"/>
      <w:pPr>
        <w:ind w:left="4676" w:hanging="180"/>
      </w:pPr>
    </w:lvl>
    <w:lvl w:ilvl="6" w:tplc="1409000F" w:tentative="1">
      <w:start w:val="1"/>
      <w:numFmt w:val="decimal"/>
      <w:lvlText w:val="%7."/>
      <w:lvlJc w:val="left"/>
      <w:pPr>
        <w:ind w:left="5396" w:hanging="360"/>
      </w:pPr>
    </w:lvl>
    <w:lvl w:ilvl="7" w:tplc="14090019" w:tentative="1">
      <w:start w:val="1"/>
      <w:numFmt w:val="lowerLetter"/>
      <w:lvlText w:val="%8."/>
      <w:lvlJc w:val="left"/>
      <w:pPr>
        <w:ind w:left="6116" w:hanging="360"/>
      </w:pPr>
    </w:lvl>
    <w:lvl w:ilvl="8" w:tplc="1409001B" w:tentative="1">
      <w:start w:val="1"/>
      <w:numFmt w:val="lowerRoman"/>
      <w:lvlText w:val="%9."/>
      <w:lvlJc w:val="right"/>
      <w:pPr>
        <w:ind w:left="6836" w:hanging="180"/>
      </w:pPr>
    </w:lvl>
  </w:abstractNum>
  <w:abstractNum w:abstractNumId="4" w15:restartNumberingAfterBreak="0">
    <w:nsid w:val="1EA857F7"/>
    <w:multiLevelType w:val="hybridMultilevel"/>
    <w:tmpl w:val="D48A43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6767A98"/>
    <w:multiLevelType w:val="hybridMultilevel"/>
    <w:tmpl w:val="8C9848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8C46B1A"/>
    <w:multiLevelType w:val="hybridMultilevel"/>
    <w:tmpl w:val="17D83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7505988"/>
    <w:multiLevelType w:val="hybridMultilevel"/>
    <w:tmpl w:val="5480448A"/>
    <w:lvl w:ilvl="0" w:tplc="1409000F">
      <w:start w:val="1"/>
      <w:numFmt w:val="decimal"/>
      <w:lvlText w:val="%1."/>
      <w:lvlJc w:val="left"/>
      <w:pPr>
        <w:ind w:left="644" w:hanging="360"/>
      </w:p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8" w15:restartNumberingAfterBreak="0">
    <w:nsid w:val="5D060186"/>
    <w:multiLevelType w:val="hybridMultilevel"/>
    <w:tmpl w:val="2E7248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439322D"/>
    <w:multiLevelType w:val="hybridMultilevel"/>
    <w:tmpl w:val="3A0EB0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6CDE4DA8"/>
    <w:multiLevelType w:val="hybridMultilevel"/>
    <w:tmpl w:val="DD64F2DA"/>
    <w:lvl w:ilvl="0" w:tplc="4FF0285E">
      <w:start w:val="1"/>
      <w:numFmt w:val="bullet"/>
      <w:lvlText w:val="•"/>
      <w:lvlJc w:val="left"/>
      <w:pPr>
        <w:tabs>
          <w:tab w:val="num" w:pos="720"/>
        </w:tabs>
        <w:ind w:left="720" w:hanging="360"/>
      </w:pPr>
      <w:rPr>
        <w:rFonts w:ascii="Arial" w:hAnsi="Arial" w:hint="default"/>
      </w:rPr>
    </w:lvl>
    <w:lvl w:ilvl="1" w:tplc="244829B6">
      <w:start w:val="1"/>
      <w:numFmt w:val="bullet"/>
      <w:lvlText w:val="•"/>
      <w:lvlJc w:val="left"/>
      <w:pPr>
        <w:tabs>
          <w:tab w:val="num" w:pos="1440"/>
        </w:tabs>
        <w:ind w:left="1440" w:hanging="360"/>
      </w:pPr>
      <w:rPr>
        <w:rFonts w:ascii="Arial" w:hAnsi="Arial" w:hint="default"/>
      </w:rPr>
    </w:lvl>
    <w:lvl w:ilvl="2" w:tplc="BA248F52" w:tentative="1">
      <w:start w:val="1"/>
      <w:numFmt w:val="bullet"/>
      <w:lvlText w:val="•"/>
      <w:lvlJc w:val="left"/>
      <w:pPr>
        <w:tabs>
          <w:tab w:val="num" w:pos="2160"/>
        </w:tabs>
        <w:ind w:left="2160" w:hanging="360"/>
      </w:pPr>
      <w:rPr>
        <w:rFonts w:ascii="Arial" w:hAnsi="Arial" w:hint="default"/>
      </w:rPr>
    </w:lvl>
    <w:lvl w:ilvl="3" w:tplc="BFB626AE" w:tentative="1">
      <w:start w:val="1"/>
      <w:numFmt w:val="bullet"/>
      <w:lvlText w:val="•"/>
      <w:lvlJc w:val="left"/>
      <w:pPr>
        <w:tabs>
          <w:tab w:val="num" w:pos="2880"/>
        </w:tabs>
        <w:ind w:left="2880" w:hanging="360"/>
      </w:pPr>
      <w:rPr>
        <w:rFonts w:ascii="Arial" w:hAnsi="Arial" w:hint="default"/>
      </w:rPr>
    </w:lvl>
    <w:lvl w:ilvl="4" w:tplc="5DC265E2" w:tentative="1">
      <w:start w:val="1"/>
      <w:numFmt w:val="bullet"/>
      <w:lvlText w:val="•"/>
      <w:lvlJc w:val="left"/>
      <w:pPr>
        <w:tabs>
          <w:tab w:val="num" w:pos="3600"/>
        </w:tabs>
        <w:ind w:left="3600" w:hanging="360"/>
      </w:pPr>
      <w:rPr>
        <w:rFonts w:ascii="Arial" w:hAnsi="Arial" w:hint="default"/>
      </w:rPr>
    </w:lvl>
    <w:lvl w:ilvl="5" w:tplc="01EE6652" w:tentative="1">
      <w:start w:val="1"/>
      <w:numFmt w:val="bullet"/>
      <w:lvlText w:val="•"/>
      <w:lvlJc w:val="left"/>
      <w:pPr>
        <w:tabs>
          <w:tab w:val="num" w:pos="4320"/>
        </w:tabs>
        <w:ind w:left="4320" w:hanging="360"/>
      </w:pPr>
      <w:rPr>
        <w:rFonts w:ascii="Arial" w:hAnsi="Arial" w:hint="default"/>
      </w:rPr>
    </w:lvl>
    <w:lvl w:ilvl="6" w:tplc="C0784E54" w:tentative="1">
      <w:start w:val="1"/>
      <w:numFmt w:val="bullet"/>
      <w:lvlText w:val="•"/>
      <w:lvlJc w:val="left"/>
      <w:pPr>
        <w:tabs>
          <w:tab w:val="num" w:pos="5040"/>
        </w:tabs>
        <w:ind w:left="5040" w:hanging="360"/>
      </w:pPr>
      <w:rPr>
        <w:rFonts w:ascii="Arial" w:hAnsi="Arial" w:hint="default"/>
      </w:rPr>
    </w:lvl>
    <w:lvl w:ilvl="7" w:tplc="3DDEFEBA" w:tentative="1">
      <w:start w:val="1"/>
      <w:numFmt w:val="bullet"/>
      <w:lvlText w:val="•"/>
      <w:lvlJc w:val="left"/>
      <w:pPr>
        <w:tabs>
          <w:tab w:val="num" w:pos="5760"/>
        </w:tabs>
        <w:ind w:left="5760" w:hanging="360"/>
      </w:pPr>
      <w:rPr>
        <w:rFonts w:ascii="Arial" w:hAnsi="Arial" w:hint="default"/>
      </w:rPr>
    </w:lvl>
    <w:lvl w:ilvl="8" w:tplc="C8921B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314897"/>
    <w:multiLevelType w:val="hybridMultilevel"/>
    <w:tmpl w:val="3C166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38046D1"/>
    <w:multiLevelType w:val="hybridMultilevel"/>
    <w:tmpl w:val="1F66EF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A817342"/>
    <w:multiLevelType w:val="hybridMultilevel"/>
    <w:tmpl w:val="DB12EF86"/>
    <w:lvl w:ilvl="0" w:tplc="14090001">
      <w:start w:val="1"/>
      <w:numFmt w:val="bullet"/>
      <w:lvlText w:val=""/>
      <w:lvlJc w:val="left"/>
      <w:pPr>
        <w:ind w:left="770" w:hanging="360"/>
      </w:pPr>
      <w:rPr>
        <w:rFonts w:ascii="Symbol" w:hAnsi="Symbol" w:hint="default"/>
      </w:rPr>
    </w:lvl>
    <w:lvl w:ilvl="1" w:tplc="14090003">
      <w:start w:val="1"/>
      <w:numFmt w:val="bullet"/>
      <w:lvlText w:val="o"/>
      <w:lvlJc w:val="left"/>
      <w:pPr>
        <w:ind w:left="1490" w:hanging="360"/>
      </w:pPr>
      <w:rPr>
        <w:rFonts w:ascii="Courier New" w:hAnsi="Courier New" w:cs="Courier New" w:hint="default"/>
      </w:rPr>
    </w:lvl>
    <w:lvl w:ilvl="2" w:tplc="14090005">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num w:numId="1">
    <w:abstractNumId w:val="10"/>
  </w:num>
  <w:num w:numId="2">
    <w:abstractNumId w:val="12"/>
  </w:num>
  <w:num w:numId="3">
    <w:abstractNumId w:val="8"/>
  </w:num>
  <w:num w:numId="4">
    <w:abstractNumId w:val="13"/>
  </w:num>
  <w:num w:numId="5">
    <w:abstractNumId w:val="0"/>
  </w:num>
  <w:num w:numId="6">
    <w:abstractNumId w:val="5"/>
  </w:num>
  <w:num w:numId="7">
    <w:abstractNumId w:val="1"/>
  </w:num>
  <w:num w:numId="8">
    <w:abstractNumId w:val="11"/>
  </w:num>
  <w:num w:numId="9">
    <w:abstractNumId w:val="9"/>
  </w:num>
  <w:num w:numId="10">
    <w:abstractNumId w:val="6"/>
  </w:num>
  <w:num w:numId="11">
    <w:abstractNumId w:val="4"/>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7C"/>
    <w:rsid w:val="00004EBF"/>
    <w:rsid w:val="000065EA"/>
    <w:rsid w:val="00021D10"/>
    <w:rsid w:val="000305AA"/>
    <w:rsid w:val="00033843"/>
    <w:rsid w:val="00077ACC"/>
    <w:rsid w:val="0008590F"/>
    <w:rsid w:val="0009005F"/>
    <w:rsid w:val="00097F46"/>
    <w:rsid w:val="000C7AD3"/>
    <w:rsid w:val="000D1B4B"/>
    <w:rsid w:val="000D296E"/>
    <w:rsid w:val="000D6BE8"/>
    <w:rsid w:val="000E6F09"/>
    <w:rsid w:val="000F0B9E"/>
    <w:rsid w:val="000F49AD"/>
    <w:rsid w:val="00106540"/>
    <w:rsid w:val="0011490C"/>
    <w:rsid w:val="00131D53"/>
    <w:rsid w:val="00135AE3"/>
    <w:rsid w:val="00145D2F"/>
    <w:rsid w:val="001528DA"/>
    <w:rsid w:val="00152965"/>
    <w:rsid w:val="00162123"/>
    <w:rsid w:val="001670DB"/>
    <w:rsid w:val="001757A4"/>
    <w:rsid w:val="0018385E"/>
    <w:rsid w:val="001866F8"/>
    <w:rsid w:val="00190D65"/>
    <w:rsid w:val="001A3F7C"/>
    <w:rsid w:val="001B1997"/>
    <w:rsid w:val="001C7734"/>
    <w:rsid w:val="001D3C57"/>
    <w:rsid w:val="001E0FB9"/>
    <w:rsid w:val="0023397E"/>
    <w:rsid w:val="00233FEF"/>
    <w:rsid w:val="00235EDF"/>
    <w:rsid w:val="00241105"/>
    <w:rsid w:val="00261467"/>
    <w:rsid w:val="00275061"/>
    <w:rsid w:val="00283A31"/>
    <w:rsid w:val="00284005"/>
    <w:rsid w:val="002A7280"/>
    <w:rsid w:val="002B2BD5"/>
    <w:rsid w:val="002C2975"/>
    <w:rsid w:val="002C434B"/>
    <w:rsid w:val="002E7D05"/>
    <w:rsid w:val="002F4A6E"/>
    <w:rsid w:val="00301B68"/>
    <w:rsid w:val="00303EB7"/>
    <w:rsid w:val="00314E4F"/>
    <w:rsid w:val="00320890"/>
    <w:rsid w:val="00325B04"/>
    <w:rsid w:val="00350BC2"/>
    <w:rsid w:val="00361F8D"/>
    <w:rsid w:val="0036418C"/>
    <w:rsid w:val="00380C01"/>
    <w:rsid w:val="00391DDC"/>
    <w:rsid w:val="00395045"/>
    <w:rsid w:val="003A16D2"/>
    <w:rsid w:val="003B2734"/>
    <w:rsid w:val="003B37FA"/>
    <w:rsid w:val="003D1110"/>
    <w:rsid w:val="003E5DC3"/>
    <w:rsid w:val="003E6C96"/>
    <w:rsid w:val="003F59A5"/>
    <w:rsid w:val="0041239B"/>
    <w:rsid w:val="00417B6C"/>
    <w:rsid w:val="00431D9A"/>
    <w:rsid w:val="00441774"/>
    <w:rsid w:val="0047065A"/>
    <w:rsid w:val="00480A3D"/>
    <w:rsid w:val="0048705B"/>
    <w:rsid w:val="00487AE6"/>
    <w:rsid w:val="0049172D"/>
    <w:rsid w:val="004A1C39"/>
    <w:rsid w:val="004A3A25"/>
    <w:rsid w:val="004A7943"/>
    <w:rsid w:val="004C330B"/>
    <w:rsid w:val="004D4173"/>
    <w:rsid w:val="004D52F8"/>
    <w:rsid w:val="004E2205"/>
    <w:rsid w:val="004E5C94"/>
    <w:rsid w:val="00500955"/>
    <w:rsid w:val="00501633"/>
    <w:rsid w:val="00502772"/>
    <w:rsid w:val="00504D2D"/>
    <w:rsid w:val="00511B6F"/>
    <w:rsid w:val="00520440"/>
    <w:rsid w:val="00521916"/>
    <w:rsid w:val="00522C7D"/>
    <w:rsid w:val="005233CC"/>
    <w:rsid w:val="0053036A"/>
    <w:rsid w:val="00536133"/>
    <w:rsid w:val="00537511"/>
    <w:rsid w:val="00543374"/>
    <w:rsid w:val="00544629"/>
    <w:rsid w:val="00553373"/>
    <w:rsid w:val="00556ED6"/>
    <w:rsid w:val="00561F0A"/>
    <w:rsid w:val="00564007"/>
    <w:rsid w:val="00591CF7"/>
    <w:rsid w:val="005962B3"/>
    <w:rsid w:val="00597CCA"/>
    <w:rsid w:val="005A144D"/>
    <w:rsid w:val="005A146C"/>
    <w:rsid w:val="005A18A4"/>
    <w:rsid w:val="005B2197"/>
    <w:rsid w:val="005D5C74"/>
    <w:rsid w:val="005D7DED"/>
    <w:rsid w:val="005E7F78"/>
    <w:rsid w:val="005F4AB4"/>
    <w:rsid w:val="00616AD4"/>
    <w:rsid w:val="006315CA"/>
    <w:rsid w:val="006424D5"/>
    <w:rsid w:val="006505B6"/>
    <w:rsid w:val="00651D20"/>
    <w:rsid w:val="00664E4A"/>
    <w:rsid w:val="0067068D"/>
    <w:rsid w:val="006818F9"/>
    <w:rsid w:val="00695719"/>
    <w:rsid w:val="006A3168"/>
    <w:rsid w:val="006B0358"/>
    <w:rsid w:val="006B14BF"/>
    <w:rsid w:val="006C52D0"/>
    <w:rsid w:val="006D0B95"/>
    <w:rsid w:val="006D1CAD"/>
    <w:rsid w:val="006D37C6"/>
    <w:rsid w:val="006D7F09"/>
    <w:rsid w:val="006E521A"/>
    <w:rsid w:val="006E55EC"/>
    <w:rsid w:val="006E760C"/>
    <w:rsid w:val="007105B8"/>
    <w:rsid w:val="00711248"/>
    <w:rsid w:val="007231D7"/>
    <w:rsid w:val="007278CB"/>
    <w:rsid w:val="00730A61"/>
    <w:rsid w:val="00732782"/>
    <w:rsid w:val="00737762"/>
    <w:rsid w:val="00747540"/>
    <w:rsid w:val="00773E47"/>
    <w:rsid w:val="00780F55"/>
    <w:rsid w:val="00786CC7"/>
    <w:rsid w:val="007A4CA2"/>
    <w:rsid w:val="007A4CA3"/>
    <w:rsid w:val="007B00CF"/>
    <w:rsid w:val="007B2A70"/>
    <w:rsid w:val="007D47BB"/>
    <w:rsid w:val="007E06A4"/>
    <w:rsid w:val="007E2E9D"/>
    <w:rsid w:val="00801366"/>
    <w:rsid w:val="0080170F"/>
    <w:rsid w:val="00804DE4"/>
    <w:rsid w:val="0081170B"/>
    <w:rsid w:val="00815358"/>
    <w:rsid w:val="00817BCF"/>
    <w:rsid w:val="00825E11"/>
    <w:rsid w:val="008429DC"/>
    <w:rsid w:val="0084383F"/>
    <w:rsid w:val="008512AB"/>
    <w:rsid w:val="008530E6"/>
    <w:rsid w:val="00862659"/>
    <w:rsid w:val="008835E2"/>
    <w:rsid w:val="00884100"/>
    <w:rsid w:val="008846FD"/>
    <w:rsid w:val="00890431"/>
    <w:rsid w:val="00893DB9"/>
    <w:rsid w:val="008C5070"/>
    <w:rsid w:val="008C780A"/>
    <w:rsid w:val="008D4B4C"/>
    <w:rsid w:val="008F08B1"/>
    <w:rsid w:val="008F1D38"/>
    <w:rsid w:val="008F54EF"/>
    <w:rsid w:val="008F733B"/>
    <w:rsid w:val="00915BAD"/>
    <w:rsid w:val="00917F4E"/>
    <w:rsid w:val="00930700"/>
    <w:rsid w:val="00930CDC"/>
    <w:rsid w:val="009405AD"/>
    <w:rsid w:val="009549EB"/>
    <w:rsid w:val="0096125B"/>
    <w:rsid w:val="0096304E"/>
    <w:rsid w:val="009654C3"/>
    <w:rsid w:val="009658E2"/>
    <w:rsid w:val="00981370"/>
    <w:rsid w:val="00984E27"/>
    <w:rsid w:val="00994A7F"/>
    <w:rsid w:val="009C0E1E"/>
    <w:rsid w:val="009C63DF"/>
    <w:rsid w:val="009C71D5"/>
    <w:rsid w:val="009E6CF1"/>
    <w:rsid w:val="009F29C8"/>
    <w:rsid w:val="009F5DB9"/>
    <w:rsid w:val="00A1485F"/>
    <w:rsid w:val="00A3774C"/>
    <w:rsid w:val="00A44DEB"/>
    <w:rsid w:val="00A57AA6"/>
    <w:rsid w:val="00A74B08"/>
    <w:rsid w:val="00A9565F"/>
    <w:rsid w:val="00AB13FA"/>
    <w:rsid w:val="00AB18F1"/>
    <w:rsid w:val="00AB2A7C"/>
    <w:rsid w:val="00AC2E87"/>
    <w:rsid w:val="00AE3AE5"/>
    <w:rsid w:val="00AF183E"/>
    <w:rsid w:val="00AF3296"/>
    <w:rsid w:val="00AF3A73"/>
    <w:rsid w:val="00B06482"/>
    <w:rsid w:val="00B07584"/>
    <w:rsid w:val="00B10749"/>
    <w:rsid w:val="00B16B54"/>
    <w:rsid w:val="00B46D49"/>
    <w:rsid w:val="00B47833"/>
    <w:rsid w:val="00B47E99"/>
    <w:rsid w:val="00B55ED2"/>
    <w:rsid w:val="00B579E0"/>
    <w:rsid w:val="00B66845"/>
    <w:rsid w:val="00B70220"/>
    <w:rsid w:val="00B92FBB"/>
    <w:rsid w:val="00B95AA7"/>
    <w:rsid w:val="00BA7AED"/>
    <w:rsid w:val="00BB0E03"/>
    <w:rsid w:val="00BB16B6"/>
    <w:rsid w:val="00BB7DBF"/>
    <w:rsid w:val="00BC1EB6"/>
    <w:rsid w:val="00BC4E05"/>
    <w:rsid w:val="00BC59D0"/>
    <w:rsid w:val="00BF6D77"/>
    <w:rsid w:val="00C213FB"/>
    <w:rsid w:val="00C23B13"/>
    <w:rsid w:val="00C41F01"/>
    <w:rsid w:val="00C42BDB"/>
    <w:rsid w:val="00C55BF4"/>
    <w:rsid w:val="00C6596C"/>
    <w:rsid w:val="00C719A9"/>
    <w:rsid w:val="00C727D3"/>
    <w:rsid w:val="00C72DCA"/>
    <w:rsid w:val="00C772CD"/>
    <w:rsid w:val="00C95DF9"/>
    <w:rsid w:val="00CB2546"/>
    <w:rsid w:val="00CC610C"/>
    <w:rsid w:val="00CD4A09"/>
    <w:rsid w:val="00CE12FE"/>
    <w:rsid w:val="00CF085B"/>
    <w:rsid w:val="00CF3F48"/>
    <w:rsid w:val="00D001BB"/>
    <w:rsid w:val="00D04D32"/>
    <w:rsid w:val="00D15784"/>
    <w:rsid w:val="00D163A5"/>
    <w:rsid w:val="00D20851"/>
    <w:rsid w:val="00D33530"/>
    <w:rsid w:val="00D35E44"/>
    <w:rsid w:val="00D459B1"/>
    <w:rsid w:val="00D56429"/>
    <w:rsid w:val="00D653B0"/>
    <w:rsid w:val="00D677BC"/>
    <w:rsid w:val="00D70A83"/>
    <w:rsid w:val="00D715EE"/>
    <w:rsid w:val="00D850EC"/>
    <w:rsid w:val="00D94814"/>
    <w:rsid w:val="00DA327B"/>
    <w:rsid w:val="00DA577C"/>
    <w:rsid w:val="00DB0EA4"/>
    <w:rsid w:val="00DC0EA9"/>
    <w:rsid w:val="00DD5D44"/>
    <w:rsid w:val="00DE3F09"/>
    <w:rsid w:val="00DE6734"/>
    <w:rsid w:val="00DE6F09"/>
    <w:rsid w:val="00E044C9"/>
    <w:rsid w:val="00E14311"/>
    <w:rsid w:val="00E415DB"/>
    <w:rsid w:val="00E43DB5"/>
    <w:rsid w:val="00E45ED9"/>
    <w:rsid w:val="00E6137B"/>
    <w:rsid w:val="00E63C78"/>
    <w:rsid w:val="00E840A8"/>
    <w:rsid w:val="00E92685"/>
    <w:rsid w:val="00EA6400"/>
    <w:rsid w:val="00EC3CC6"/>
    <w:rsid w:val="00EC42DC"/>
    <w:rsid w:val="00EC71BB"/>
    <w:rsid w:val="00ED7295"/>
    <w:rsid w:val="00ED7FA9"/>
    <w:rsid w:val="00EF0B6A"/>
    <w:rsid w:val="00EF26EA"/>
    <w:rsid w:val="00EF3898"/>
    <w:rsid w:val="00F06544"/>
    <w:rsid w:val="00F14874"/>
    <w:rsid w:val="00F1693D"/>
    <w:rsid w:val="00F17603"/>
    <w:rsid w:val="00F3368A"/>
    <w:rsid w:val="00F65D65"/>
    <w:rsid w:val="00F72EF8"/>
    <w:rsid w:val="00F73CDC"/>
    <w:rsid w:val="00F75F4F"/>
    <w:rsid w:val="00F95833"/>
    <w:rsid w:val="00FA1739"/>
    <w:rsid w:val="00FA1F46"/>
    <w:rsid w:val="00FA450A"/>
    <w:rsid w:val="00FB3B1B"/>
    <w:rsid w:val="00FF000A"/>
    <w:rsid w:val="00FF62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0CF821-0FAC-4A1C-9A5F-4B3F7543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FB9"/>
    <w:pPr>
      <w:spacing w:after="0" w:line="240" w:lineRule="auto"/>
    </w:pPr>
    <w:rPr>
      <w:rFonts w:ascii="Times New Roman" w:eastAsia="Batang" w:hAnsi="Times New Roman" w:cs="Times New Roman"/>
      <w:sz w:val="24"/>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577C"/>
    <w:pPr>
      <w:spacing w:after="0" w:line="240" w:lineRule="auto"/>
    </w:pPr>
  </w:style>
  <w:style w:type="paragraph" w:styleId="Header">
    <w:name w:val="header"/>
    <w:basedOn w:val="Normal"/>
    <w:link w:val="HeaderChar"/>
    <w:uiPriority w:val="99"/>
    <w:unhideWhenUsed/>
    <w:rsid w:val="00F1693D"/>
    <w:pPr>
      <w:tabs>
        <w:tab w:val="center" w:pos="4513"/>
        <w:tab w:val="right" w:pos="9026"/>
      </w:tabs>
    </w:pPr>
    <w:rPr>
      <w:rFonts w:asciiTheme="minorHAnsi" w:eastAsiaTheme="minorHAnsi" w:hAnsiTheme="minorHAnsi" w:cstheme="minorBidi"/>
      <w:sz w:val="22"/>
      <w:szCs w:val="22"/>
      <w:lang w:val="en-NZ" w:eastAsia="en-US"/>
    </w:rPr>
  </w:style>
  <w:style w:type="character" w:customStyle="1" w:styleId="HeaderChar">
    <w:name w:val="Header Char"/>
    <w:basedOn w:val="DefaultParagraphFont"/>
    <w:link w:val="Header"/>
    <w:uiPriority w:val="99"/>
    <w:rsid w:val="00F1693D"/>
  </w:style>
  <w:style w:type="paragraph" w:styleId="BalloonText">
    <w:name w:val="Balloon Text"/>
    <w:basedOn w:val="Normal"/>
    <w:link w:val="BalloonTextChar"/>
    <w:uiPriority w:val="99"/>
    <w:semiHidden/>
    <w:unhideWhenUsed/>
    <w:rsid w:val="00391DDC"/>
    <w:rPr>
      <w:rFonts w:ascii="Tahoma" w:eastAsiaTheme="minorHAnsi" w:hAnsi="Tahoma" w:cs="Tahoma"/>
      <w:sz w:val="16"/>
      <w:szCs w:val="16"/>
      <w:lang w:val="en-NZ" w:eastAsia="en-US"/>
    </w:rPr>
  </w:style>
  <w:style w:type="character" w:customStyle="1" w:styleId="BalloonTextChar">
    <w:name w:val="Balloon Text Char"/>
    <w:basedOn w:val="DefaultParagraphFont"/>
    <w:link w:val="BalloonText"/>
    <w:uiPriority w:val="99"/>
    <w:semiHidden/>
    <w:rsid w:val="00391DDC"/>
    <w:rPr>
      <w:rFonts w:ascii="Tahoma" w:hAnsi="Tahoma" w:cs="Tahoma"/>
      <w:sz w:val="16"/>
      <w:szCs w:val="16"/>
    </w:rPr>
  </w:style>
  <w:style w:type="paragraph" w:styleId="Footer">
    <w:name w:val="footer"/>
    <w:basedOn w:val="Normal"/>
    <w:link w:val="FooterChar"/>
    <w:uiPriority w:val="99"/>
    <w:unhideWhenUsed/>
    <w:rsid w:val="00ED7295"/>
    <w:pPr>
      <w:tabs>
        <w:tab w:val="center" w:pos="4513"/>
        <w:tab w:val="right" w:pos="9026"/>
      </w:tabs>
    </w:pPr>
    <w:rPr>
      <w:rFonts w:asciiTheme="minorHAnsi" w:eastAsiaTheme="minorHAnsi" w:hAnsiTheme="minorHAnsi" w:cstheme="minorBidi"/>
      <w:sz w:val="22"/>
      <w:szCs w:val="22"/>
      <w:lang w:val="en-NZ" w:eastAsia="en-US"/>
    </w:rPr>
  </w:style>
  <w:style w:type="character" w:customStyle="1" w:styleId="FooterChar">
    <w:name w:val="Footer Char"/>
    <w:basedOn w:val="DefaultParagraphFont"/>
    <w:link w:val="Footer"/>
    <w:uiPriority w:val="99"/>
    <w:rsid w:val="00ED7295"/>
  </w:style>
  <w:style w:type="character" w:styleId="CommentReference">
    <w:name w:val="annotation reference"/>
    <w:basedOn w:val="DefaultParagraphFont"/>
    <w:uiPriority w:val="99"/>
    <w:semiHidden/>
    <w:unhideWhenUsed/>
    <w:rsid w:val="00320890"/>
    <w:rPr>
      <w:sz w:val="16"/>
      <w:szCs w:val="16"/>
    </w:rPr>
  </w:style>
  <w:style w:type="paragraph" w:styleId="CommentText">
    <w:name w:val="annotation text"/>
    <w:basedOn w:val="Normal"/>
    <w:link w:val="CommentTextChar"/>
    <w:uiPriority w:val="99"/>
    <w:unhideWhenUsed/>
    <w:rsid w:val="00320890"/>
    <w:pPr>
      <w:spacing w:after="200"/>
    </w:pPr>
    <w:rPr>
      <w:rFonts w:asciiTheme="minorHAnsi" w:eastAsiaTheme="minorHAnsi" w:hAnsiTheme="minorHAnsi" w:cstheme="minorBidi"/>
      <w:sz w:val="20"/>
      <w:szCs w:val="20"/>
      <w:lang w:val="en-NZ" w:eastAsia="en-US"/>
    </w:rPr>
  </w:style>
  <w:style w:type="character" w:customStyle="1" w:styleId="CommentTextChar">
    <w:name w:val="Comment Text Char"/>
    <w:basedOn w:val="DefaultParagraphFont"/>
    <w:link w:val="CommentText"/>
    <w:uiPriority w:val="99"/>
    <w:rsid w:val="00320890"/>
    <w:rPr>
      <w:sz w:val="20"/>
      <w:szCs w:val="20"/>
    </w:rPr>
  </w:style>
  <w:style w:type="paragraph" w:styleId="CommentSubject">
    <w:name w:val="annotation subject"/>
    <w:basedOn w:val="CommentText"/>
    <w:next w:val="CommentText"/>
    <w:link w:val="CommentSubjectChar"/>
    <w:uiPriority w:val="99"/>
    <w:semiHidden/>
    <w:unhideWhenUsed/>
    <w:rsid w:val="00320890"/>
    <w:rPr>
      <w:b/>
      <w:bCs/>
    </w:rPr>
  </w:style>
  <w:style w:type="character" w:customStyle="1" w:styleId="CommentSubjectChar">
    <w:name w:val="Comment Subject Char"/>
    <w:basedOn w:val="CommentTextChar"/>
    <w:link w:val="CommentSubject"/>
    <w:uiPriority w:val="99"/>
    <w:semiHidden/>
    <w:rsid w:val="00320890"/>
    <w:rPr>
      <w:b/>
      <w:bCs/>
      <w:sz w:val="20"/>
      <w:szCs w:val="20"/>
    </w:rPr>
  </w:style>
  <w:style w:type="paragraph" w:styleId="ListParagraph">
    <w:name w:val="List Paragraph"/>
    <w:basedOn w:val="Normal"/>
    <w:uiPriority w:val="34"/>
    <w:qFormat/>
    <w:rsid w:val="00B70220"/>
    <w:pPr>
      <w:spacing w:after="200" w:line="276" w:lineRule="auto"/>
      <w:ind w:left="720"/>
      <w:contextualSpacing/>
    </w:pPr>
    <w:rPr>
      <w:rFonts w:asciiTheme="minorHAnsi" w:eastAsiaTheme="minorHAnsi" w:hAnsiTheme="minorHAnsi" w:cstheme="minorBidi"/>
      <w:sz w:val="22"/>
      <w:szCs w:val="22"/>
      <w:lang w:val="en-NZ" w:eastAsia="en-US"/>
    </w:rPr>
  </w:style>
  <w:style w:type="paragraph" w:styleId="NormalWeb">
    <w:name w:val="Normal (Web)"/>
    <w:basedOn w:val="Normal"/>
    <w:uiPriority w:val="99"/>
    <w:semiHidden/>
    <w:unhideWhenUsed/>
    <w:rsid w:val="0011490C"/>
    <w:pPr>
      <w:spacing w:before="100" w:beforeAutospacing="1" w:after="100" w:afterAutospacing="1"/>
    </w:pPr>
    <w:rPr>
      <w:rFonts w:eastAsia="Times New Roman"/>
      <w:lang w:val="en-NZ" w:eastAsia="en-NZ"/>
    </w:rPr>
  </w:style>
  <w:style w:type="paragraph" w:styleId="FootnoteText">
    <w:name w:val="footnote text"/>
    <w:basedOn w:val="Normal"/>
    <w:link w:val="FootnoteTextChar"/>
    <w:uiPriority w:val="99"/>
    <w:semiHidden/>
    <w:unhideWhenUsed/>
    <w:rsid w:val="00AF3A73"/>
    <w:rPr>
      <w:sz w:val="20"/>
      <w:szCs w:val="20"/>
    </w:rPr>
  </w:style>
  <w:style w:type="character" w:customStyle="1" w:styleId="FootnoteTextChar">
    <w:name w:val="Footnote Text Char"/>
    <w:basedOn w:val="DefaultParagraphFont"/>
    <w:link w:val="FootnoteText"/>
    <w:uiPriority w:val="99"/>
    <w:semiHidden/>
    <w:rsid w:val="00AF3A73"/>
    <w:rPr>
      <w:rFonts w:ascii="Times New Roman" w:eastAsia="Batang" w:hAnsi="Times New Roman" w:cs="Times New Roman"/>
      <w:sz w:val="20"/>
      <w:szCs w:val="20"/>
      <w:lang w:val="en-GB" w:eastAsia="ko-KR"/>
    </w:rPr>
  </w:style>
  <w:style w:type="character" w:styleId="FootnoteReference">
    <w:name w:val="footnote reference"/>
    <w:basedOn w:val="DefaultParagraphFont"/>
    <w:uiPriority w:val="99"/>
    <w:semiHidden/>
    <w:unhideWhenUsed/>
    <w:rsid w:val="00AF3A73"/>
    <w:rPr>
      <w:vertAlign w:val="superscript"/>
    </w:rPr>
  </w:style>
  <w:style w:type="character" w:styleId="Hyperlink">
    <w:name w:val="Hyperlink"/>
    <w:basedOn w:val="DefaultParagraphFont"/>
    <w:uiPriority w:val="99"/>
    <w:unhideWhenUsed/>
    <w:rsid w:val="00501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5642">
      <w:bodyDiv w:val="1"/>
      <w:marLeft w:val="0"/>
      <w:marRight w:val="0"/>
      <w:marTop w:val="0"/>
      <w:marBottom w:val="0"/>
      <w:divBdr>
        <w:top w:val="none" w:sz="0" w:space="0" w:color="auto"/>
        <w:left w:val="none" w:sz="0" w:space="0" w:color="auto"/>
        <w:bottom w:val="none" w:sz="0" w:space="0" w:color="auto"/>
        <w:right w:val="none" w:sz="0" w:space="0" w:color="auto"/>
      </w:divBdr>
    </w:div>
    <w:div w:id="115568380">
      <w:bodyDiv w:val="1"/>
      <w:marLeft w:val="0"/>
      <w:marRight w:val="0"/>
      <w:marTop w:val="0"/>
      <w:marBottom w:val="0"/>
      <w:divBdr>
        <w:top w:val="none" w:sz="0" w:space="0" w:color="auto"/>
        <w:left w:val="none" w:sz="0" w:space="0" w:color="auto"/>
        <w:bottom w:val="none" w:sz="0" w:space="0" w:color="auto"/>
        <w:right w:val="none" w:sz="0" w:space="0" w:color="auto"/>
      </w:divBdr>
    </w:div>
    <w:div w:id="287012198">
      <w:bodyDiv w:val="1"/>
      <w:marLeft w:val="0"/>
      <w:marRight w:val="0"/>
      <w:marTop w:val="0"/>
      <w:marBottom w:val="0"/>
      <w:divBdr>
        <w:top w:val="none" w:sz="0" w:space="0" w:color="auto"/>
        <w:left w:val="none" w:sz="0" w:space="0" w:color="auto"/>
        <w:bottom w:val="none" w:sz="0" w:space="0" w:color="auto"/>
        <w:right w:val="none" w:sz="0" w:space="0" w:color="auto"/>
      </w:divBdr>
    </w:div>
    <w:div w:id="324280048">
      <w:bodyDiv w:val="1"/>
      <w:marLeft w:val="0"/>
      <w:marRight w:val="0"/>
      <w:marTop w:val="0"/>
      <w:marBottom w:val="0"/>
      <w:divBdr>
        <w:top w:val="none" w:sz="0" w:space="0" w:color="auto"/>
        <w:left w:val="none" w:sz="0" w:space="0" w:color="auto"/>
        <w:bottom w:val="none" w:sz="0" w:space="0" w:color="auto"/>
        <w:right w:val="none" w:sz="0" w:space="0" w:color="auto"/>
      </w:divBdr>
    </w:div>
    <w:div w:id="715006952">
      <w:bodyDiv w:val="1"/>
      <w:marLeft w:val="0"/>
      <w:marRight w:val="0"/>
      <w:marTop w:val="0"/>
      <w:marBottom w:val="0"/>
      <w:divBdr>
        <w:top w:val="none" w:sz="0" w:space="0" w:color="auto"/>
        <w:left w:val="none" w:sz="0" w:space="0" w:color="auto"/>
        <w:bottom w:val="none" w:sz="0" w:space="0" w:color="auto"/>
        <w:right w:val="none" w:sz="0" w:space="0" w:color="auto"/>
      </w:divBdr>
    </w:div>
    <w:div w:id="1091972595">
      <w:bodyDiv w:val="1"/>
      <w:marLeft w:val="0"/>
      <w:marRight w:val="0"/>
      <w:marTop w:val="0"/>
      <w:marBottom w:val="0"/>
      <w:divBdr>
        <w:top w:val="none" w:sz="0" w:space="0" w:color="auto"/>
        <w:left w:val="none" w:sz="0" w:space="0" w:color="auto"/>
        <w:bottom w:val="none" w:sz="0" w:space="0" w:color="auto"/>
        <w:right w:val="none" w:sz="0" w:space="0" w:color="auto"/>
      </w:divBdr>
    </w:div>
    <w:div w:id="1271619534">
      <w:bodyDiv w:val="1"/>
      <w:marLeft w:val="0"/>
      <w:marRight w:val="0"/>
      <w:marTop w:val="0"/>
      <w:marBottom w:val="0"/>
      <w:divBdr>
        <w:top w:val="none" w:sz="0" w:space="0" w:color="auto"/>
        <w:left w:val="none" w:sz="0" w:space="0" w:color="auto"/>
        <w:bottom w:val="none" w:sz="0" w:space="0" w:color="auto"/>
        <w:right w:val="none" w:sz="0" w:space="0" w:color="auto"/>
      </w:divBdr>
      <w:divsChild>
        <w:div w:id="455678940">
          <w:marLeft w:val="0"/>
          <w:marRight w:val="0"/>
          <w:marTop w:val="0"/>
          <w:marBottom w:val="0"/>
          <w:divBdr>
            <w:top w:val="none" w:sz="0" w:space="0" w:color="auto"/>
            <w:left w:val="none" w:sz="0" w:space="0" w:color="auto"/>
            <w:bottom w:val="none" w:sz="0" w:space="0" w:color="auto"/>
            <w:right w:val="none" w:sz="0" w:space="0" w:color="auto"/>
          </w:divBdr>
        </w:div>
        <w:div w:id="1457138063">
          <w:marLeft w:val="0"/>
          <w:marRight w:val="0"/>
          <w:marTop w:val="0"/>
          <w:marBottom w:val="0"/>
          <w:divBdr>
            <w:top w:val="none" w:sz="0" w:space="0" w:color="auto"/>
            <w:left w:val="none" w:sz="0" w:space="0" w:color="auto"/>
            <w:bottom w:val="none" w:sz="0" w:space="0" w:color="auto"/>
            <w:right w:val="none" w:sz="0" w:space="0" w:color="auto"/>
          </w:divBdr>
        </w:div>
        <w:div w:id="1502937233">
          <w:marLeft w:val="0"/>
          <w:marRight w:val="0"/>
          <w:marTop w:val="0"/>
          <w:marBottom w:val="0"/>
          <w:divBdr>
            <w:top w:val="none" w:sz="0" w:space="0" w:color="auto"/>
            <w:left w:val="none" w:sz="0" w:space="0" w:color="auto"/>
            <w:bottom w:val="none" w:sz="0" w:space="0" w:color="auto"/>
            <w:right w:val="none" w:sz="0" w:space="0" w:color="auto"/>
          </w:divBdr>
        </w:div>
        <w:div w:id="825972286">
          <w:marLeft w:val="0"/>
          <w:marRight w:val="0"/>
          <w:marTop w:val="0"/>
          <w:marBottom w:val="0"/>
          <w:divBdr>
            <w:top w:val="none" w:sz="0" w:space="0" w:color="auto"/>
            <w:left w:val="none" w:sz="0" w:space="0" w:color="auto"/>
            <w:bottom w:val="none" w:sz="0" w:space="0" w:color="auto"/>
            <w:right w:val="none" w:sz="0" w:space="0" w:color="auto"/>
          </w:divBdr>
        </w:div>
        <w:div w:id="396172203">
          <w:marLeft w:val="0"/>
          <w:marRight w:val="0"/>
          <w:marTop w:val="0"/>
          <w:marBottom w:val="0"/>
          <w:divBdr>
            <w:top w:val="none" w:sz="0" w:space="0" w:color="auto"/>
            <w:left w:val="none" w:sz="0" w:space="0" w:color="auto"/>
            <w:bottom w:val="none" w:sz="0" w:space="0" w:color="auto"/>
            <w:right w:val="none" w:sz="0" w:space="0" w:color="auto"/>
          </w:divBdr>
        </w:div>
        <w:div w:id="1946303837">
          <w:marLeft w:val="0"/>
          <w:marRight w:val="0"/>
          <w:marTop w:val="0"/>
          <w:marBottom w:val="0"/>
          <w:divBdr>
            <w:top w:val="none" w:sz="0" w:space="0" w:color="auto"/>
            <w:left w:val="none" w:sz="0" w:space="0" w:color="auto"/>
            <w:bottom w:val="none" w:sz="0" w:space="0" w:color="auto"/>
            <w:right w:val="none" w:sz="0" w:space="0" w:color="auto"/>
          </w:divBdr>
        </w:div>
        <w:div w:id="743793637">
          <w:marLeft w:val="0"/>
          <w:marRight w:val="0"/>
          <w:marTop w:val="0"/>
          <w:marBottom w:val="0"/>
          <w:divBdr>
            <w:top w:val="none" w:sz="0" w:space="0" w:color="auto"/>
            <w:left w:val="none" w:sz="0" w:space="0" w:color="auto"/>
            <w:bottom w:val="none" w:sz="0" w:space="0" w:color="auto"/>
            <w:right w:val="none" w:sz="0" w:space="0" w:color="auto"/>
          </w:divBdr>
        </w:div>
        <w:div w:id="1846166738">
          <w:marLeft w:val="0"/>
          <w:marRight w:val="0"/>
          <w:marTop w:val="0"/>
          <w:marBottom w:val="0"/>
          <w:divBdr>
            <w:top w:val="none" w:sz="0" w:space="0" w:color="auto"/>
            <w:left w:val="none" w:sz="0" w:space="0" w:color="auto"/>
            <w:bottom w:val="none" w:sz="0" w:space="0" w:color="auto"/>
            <w:right w:val="none" w:sz="0" w:space="0" w:color="auto"/>
          </w:divBdr>
        </w:div>
      </w:divsChild>
    </w:div>
    <w:div w:id="1290090697">
      <w:bodyDiv w:val="1"/>
      <w:marLeft w:val="0"/>
      <w:marRight w:val="0"/>
      <w:marTop w:val="0"/>
      <w:marBottom w:val="0"/>
      <w:divBdr>
        <w:top w:val="none" w:sz="0" w:space="0" w:color="auto"/>
        <w:left w:val="none" w:sz="0" w:space="0" w:color="auto"/>
        <w:bottom w:val="none" w:sz="0" w:space="0" w:color="auto"/>
        <w:right w:val="none" w:sz="0" w:space="0" w:color="auto"/>
      </w:divBdr>
    </w:div>
    <w:div w:id="1358040478">
      <w:bodyDiv w:val="1"/>
      <w:marLeft w:val="0"/>
      <w:marRight w:val="0"/>
      <w:marTop w:val="0"/>
      <w:marBottom w:val="0"/>
      <w:divBdr>
        <w:top w:val="none" w:sz="0" w:space="0" w:color="auto"/>
        <w:left w:val="none" w:sz="0" w:space="0" w:color="auto"/>
        <w:bottom w:val="none" w:sz="0" w:space="0" w:color="auto"/>
        <w:right w:val="none" w:sz="0" w:space="0" w:color="auto"/>
      </w:divBdr>
    </w:div>
    <w:div w:id="1399666118">
      <w:bodyDiv w:val="1"/>
      <w:marLeft w:val="0"/>
      <w:marRight w:val="0"/>
      <w:marTop w:val="0"/>
      <w:marBottom w:val="0"/>
      <w:divBdr>
        <w:top w:val="none" w:sz="0" w:space="0" w:color="auto"/>
        <w:left w:val="none" w:sz="0" w:space="0" w:color="auto"/>
        <w:bottom w:val="none" w:sz="0" w:space="0" w:color="auto"/>
        <w:right w:val="none" w:sz="0" w:space="0" w:color="auto"/>
      </w:divBdr>
    </w:div>
    <w:div w:id="1652636372">
      <w:bodyDiv w:val="1"/>
      <w:marLeft w:val="0"/>
      <w:marRight w:val="0"/>
      <w:marTop w:val="0"/>
      <w:marBottom w:val="0"/>
      <w:divBdr>
        <w:top w:val="none" w:sz="0" w:space="0" w:color="auto"/>
        <w:left w:val="none" w:sz="0" w:space="0" w:color="auto"/>
        <w:bottom w:val="none" w:sz="0" w:space="0" w:color="auto"/>
        <w:right w:val="none" w:sz="0" w:space="0" w:color="auto"/>
      </w:divBdr>
    </w:div>
    <w:div w:id="1902250815">
      <w:bodyDiv w:val="1"/>
      <w:marLeft w:val="0"/>
      <w:marRight w:val="0"/>
      <w:marTop w:val="0"/>
      <w:marBottom w:val="0"/>
      <w:divBdr>
        <w:top w:val="none" w:sz="0" w:space="0" w:color="auto"/>
        <w:left w:val="none" w:sz="0" w:space="0" w:color="auto"/>
        <w:bottom w:val="none" w:sz="0" w:space="0" w:color="auto"/>
        <w:right w:val="none" w:sz="0" w:space="0" w:color="auto"/>
      </w:divBdr>
    </w:div>
    <w:div w:id="1993751718">
      <w:bodyDiv w:val="1"/>
      <w:marLeft w:val="0"/>
      <w:marRight w:val="0"/>
      <w:marTop w:val="0"/>
      <w:marBottom w:val="0"/>
      <w:divBdr>
        <w:top w:val="none" w:sz="0" w:space="0" w:color="auto"/>
        <w:left w:val="none" w:sz="0" w:space="0" w:color="auto"/>
        <w:bottom w:val="none" w:sz="0" w:space="0" w:color="auto"/>
        <w:right w:val="none" w:sz="0" w:space="0" w:color="auto"/>
      </w:divBdr>
      <w:divsChild>
        <w:div w:id="831289766">
          <w:marLeft w:val="403"/>
          <w:marRight w:val="0"/>
          <w:marTop w:val="60"/>
          <w:marBottom w:val="0"/>
          <w:divBdr>
            <w:top w:val="none" w:sz="0" w:space="0" w:color="auto"/>
            <w:left w:val="none" w:sz="0" w:space="0" w:color="auto"/>
            <w:bottom w:val="none" w:sz="0" w:space="0" w:color="auto"/>
            <w:right w:val="none" w:sz="0" w:space="0" w:color="auto"/>
          </w:divBdr>
        </w:div>
        <w:div w:id="1279294155">
          <w:marLeft w:val="403"/>
          <w:marRight w:val="0"/>
          <w:marTop w:val="60"/>
          <w:marBottom w:val="0"/>
          <w:divBdr>
            <w:top w:val="none" w:sz="0" w:space="0" w:color="auto"/>
            <w:left w:val="none" w:sz="0" w:space="0" w:color="auto"/>
            <w:bottom w:val="none" w:sz="0" w:space="0" w:color="auto"/>
            <w:right w:val="none" w:sz="0" w:space="0" w:color="auto"/>
          </w:divBdr>
        </w:div>
      </w:divsChild>
    </w:div>
    <w:div w:id="20538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ilary_Marett@westpac.co.nz" TargetMode="External"/><Relationship Id="rId4" Type="http://schemas.openxmlformats.org/officeDocument/2006/relationships/settings" Target="settings.xml"/><Relationship Id="rId9" Type="http://schemas.openxmlformats.org/officeDocument/2006/relationships/hyperlink" Target="http://www.westpac.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DA64-666E-4496-8AF3-CBFC1253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Westpac New Zealand Limited</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Mirams</dc:creator>
  <cp:lastModifiedBy>User</cp:lastModifiedBy>
  <cp:revision>2</cp:revision>
  <cp:lastPrinted>2017-04-26T21:45:00Z</cp:lastPrinted>
  <dcterms:created xsi:type="dcterms:W3CDTF">2017-05-07T22:59:00Z</dcterms:created>
  <dcterms:modified xsi:type="dcterms:W3CDTF">2017-05-07T22:59:00Z</dcterms:modified>
</cp:coreProperties>
</file>