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98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552"/>
      </w:tblGrid>
      <w:tr w:rsidR="00942496" w:rsidRPr="003720AF" w14:paraId="25788A5A" w14:textId="77777777" w:rsidTr="005B622C">
        <w:trPr>
          <w:trHeight w:val="5800"/>
        </w:trPr>
        <w:tc>
          <w:tcPr>
            <w:tcW w:w="9808" w:type="dxa"/>
            <w:gridSpan w:val="2"/>
          </w:tcPr>
          <w:p w14:paraId="5488F6FF" w14:textId="16129C0E" w:rsidR="00942496" w:rsidRPr="003720AF" w:rsidRDefault="005857B2" w:rsidP="00DF050D">
            <w:pPr>
              <w:pStyle w:val="Title"/>
              <w:ind w:left="1877" w:right="2948"/>
            </w:pPr>
            <w:bookmarkStart w:id="0" w:name="_GoBack"/>
            <w:bookmarkEnd w:id="0"/>
            <w:r w:rsidRPr="003720AF">
              <w:t xml:space="preserve">Review of Remediation Standards for Clandestine Methamphetamine Laboratories: </w:t>
            </w:r>
            <w:r w:rsidR="00B90BAE" w:rsidRPr="003720AF">
              <w:t>R</w:t>
            </w:r>
            <w:r w:rsidRPr="003720AF">
              <w:t>isk Assessment recommendations for a New Zealand Standard</w:t>
            </w:r>
          </w:p>
        </w:tc>
      </w:tr>
      <w:tr w:rsidR="00942496" w:rsidRPr="003720AF" w14:paraId="39493F6A" w14:textId="77777777" w:rsidTr="007A37D7">
        <w:trPr>
          <w:trHeight w:hRule="exact" w:val="848"/>
        </w:trPr>
        <w:tc>
          <w:tcPr>
            <w:tcW w:w="9808" w:type="dxa"/>
            <w:gridSpan w:val="2"/>
          </w:tcPr>
          <w:p w14:paraId="1C605FE3" w14:textId="28082E17" w:rsidR="00942496" w:rsidRPr="003720AF" w:rsidRDefault="005707EF" w:rsidP="00C30884">
            <w:pPr>
              <w:pStyle w:val="FWNumber"/>
            </w:pPr>
            <w:r w:rsidRPr="003720AF">
              <w:t>07 Octo</w:t>
            </w:r>
            <w:r w:rsidR="005857B2" w:rsidRPr="003720AF">
              <w:t>ber 2016</w:t>
            </w:r>
          </w:p>
          <w:p w14:paraId="384B3BFE" w14:textId="30CD5FBA" w:rsidR="00942496" w:rsidRPr="003720AF" w:rsidRDefault="00942496" w:rsidP="000B0C91">
            <w:pPr>
              <w:spacing w:after="60"/>
              <w:ind w:left="992"/>
              <w:rPr>
                <w:rFonts w:cs="Arial"/>
                <w:sz w:val="32"/>
                <w:szCs w:val="32"/>
              </w:rPr>
            </w:pPr>
            <w:r w:rsidRPr="003720AF">
              <w:rPr>
                <w:rFonts w:cs="Arial"/>
                <w:sz w:val="24"/>
                <w:szCs w:val="24"/>
              </w:rPr>
              <w:t xml:space="preserve">Prepared </w:t>
            </w:r>
            <w:r w:rsidR="00E87F7E" w:rsidRPr="003720AF">
              <w:rPr>
                <w:rFonts w:cs="Arial"/>
                <w:sz w:val="24"/>
                <w:szCs w:val="24"/>
              </w:rPr>
              <w:t>by</w:t>
            </w:r>
            <w:r w:rsidRPr="003720AF">
              <w:rPr>
                <w:rFonts w:cs="Arial"/>
                <w:sz w:val="24"/>
                <w:szCs w:val="24"/>
              </w:rPr>
              <w:t>:</w:t>
            </w:r>
          </w:p>
        </w:tc>
      </w:tr>
      <w:tr w:rsidR="00942496" w:rsidRPr="003720AF" w14:paraId="70B02ACE" w14:textId="77777777" w:rsidTr="007A37D7">
        <w:trPr>
          <w:trHeight w:val="4985"/>
        </w:trPr>
        <w:tc>
          <w:tcPr>
            <w:tcW w:w="9808" w:type="dxa"/>
            <w:gridSpan w:val="2"/>
            <w:shd w:val="clear" w:color="auto" w:fill="auto"/>
          </w:tcPr>
          <w:p w14:paraId="4A128B91" w14:textId="77777777" w:rsidR="00942496" w:rsidRPr="003720AF" w:rsidRDefault="005857B2" w:rsidP="00942496">
            <w:pPr>
              <w:spacing w:before="100" w:after="100"/>
              <w:ind w:left="992"/>
              <w:rPr>
                <w:rFonts w:cs="Arial"/>
                <w:sz w:val="24"/>
                <w:szCs w:val="24"/>
              </w:rPr>
            </w:pPr>
            <w:r w:rsidRPr="003720AF">
              <w:rPr>
                <w:rFonts w:cs="Arial"/>
                <w:sz w:val="24"/>
                <w:szCs w:val="24"/>
              </w:rPr>
              <w:t>J Fowles, PhD</w:t>
            </w:r>
          </w:p>
          <w:p w14:paraId="44810D25" w14:textId="77777777" w:rsidR="005857B2" w:rsidRPr="003720AF" w:rsidRDefault="003A23AE" w:rsidP="00942496">
            <w:pPr>
              <w:spacing w:before="100" w:after="100"/>
              <w:ind w:left="992"/>
              <w:rPr>
                <w:rFonts w:cs="Arial"/>
                <w:sz w:val="24"/>
                <w:szCs w:val="24"/>
              </w:rPr>
            </w:pPr>
            <w:r w:rsidRPr="003720AF">
              <w:rPr>
                <w:rFonts w:cs="Arial"/>
                <w:sz w:val="24"/>
                <w:szCs w:val="24"/>
              </w:rPr>
              <w:t>J Dey</w:t>
            </w:r>
            <w:r w:rsidR="005857B2" w:rsidRPr="003720AF">
              <w:rPr>
                <w:rFonts w:cs="Arial"/>
                <w:sz w:val="24"/>
                <w:szCs w:val="24"/>
              </w:rPr>
              <w:t>o, DVM, PhD, DABT</w:t>
            </w:r>
          </w:p>
          <w:p w14:paraId="25E22B9F" w14:textId="77777777" w:rsidR="005857B2" w:rsidRPr="003720AF" w:rsidRDefault="005857B2" w:rsidP="00942496">
            <w:pPr>
              <w:spacing w:before="100" w:after="100"/>
              <w:ind w:left="992"/>
              <w:rPr>
                <w:rFonts w:cs="Arial"/>
                <w:sz w:val="24"/>
                <w:szCs w:val="24"/>
              </w:rPr>
            </w:pPr>
            <w:r w:rsidRPr="003720AF">
              <w:rPr>
                <w:rFonts w:cs="Arial"/>
                <w:sz w:val="24"/>
                <w:szCs w:val="24"/>
              </w:rPr>
              <w:t>J Kester, PhD, DABT</w:t>
            </w:r>
          </w:p>
        </w:tc>
      </w:tr>
      <w:tr w:rsidR="00942496" w:rsidRPr="003720AF" w14:paraId="50F69F08" w14:textId="77777777" w:rsidTr="007A37D7">
        <w:trPr>
          <w:trHeight w:hRule="exact" w:val="312"/>
        </w:trPr>
        <w:tc>
          <w:tcPr>
            <w:tcW w:w="3256" w:type="dxa"/>
            <w:shd w:val="clear" w:color="auto" w:fill="auto"/>
          </w:tcPr>
          <w:p w14:paraId="31671BF2" w14:textId="77777777" w:rsidR="00942496" w:rsidRPr="003720AF" w:rsidRDefault="00942496" w:rsidP="00942496">
            <w:pPr>
              <w:spacing w:after="100"/>
              <w:ind w:left="992"/>
              <w:rPr>
                <w:rFonts w:cs="Arial"/>
                <w:b/>
                <w:sz w:val="18"/>
                <w:szCs w:val="18"/>
              </w:rPr>
            </w:pPr>
            <w:r w:rsidRPr="003720AF">
              <w:rPr>
                <w:rFonts w:cs="Arial"/>
                <w:b/>
                <w:sz w:val="18"/>
                <w:szCs w:val="18"/>
              </w:rPr>
              <w:t>PREPARED FOR:</w:t>
            </w:r>
          </w:p>
        </w:tc>
        <w:tc>
          <w:tcPr>
            <w:tcW w:w="6552" w:type="dxa"/>
            <w:shd w:val="clear" w:color="auto" w:fill="auto"/>
          </w:tcPr>
          <w:p w14:paraId="5BA7D72C" w14:textId="4FFD2EF5" w:rsidR="00942496" w:rsidRPr="003720AF" w:rsidRDefault="00E87F7E" w:rsidP="00942496">
            <w:pPr>
              <w:spacing w:after="100"/>
              <w:ind w:left="34"/>
              <w:rPr>
                <w:rFonts w:cs="Arial"/>
                <w:b/>
                <w:sz w:val="18"/>
                <w:szCs w:val="18"/>
              </w:rPr>
            </w:pPr>
            <w:r w:rsidRPr="003720AF">
              <w:rPr>
                <w:rFonts w:cs="Arial"/>
                <w:b/>
                <w:sz w:val="18"/>
                <w:szCs w:val="18"/>
              </w:rPr>
              <w:t>The Ministry of Health</w:t>
            </w:r>
          </w:p>
        </w:tc>
      </w:tr>
      <w:tr w:rsidR="00942496" w:rsidRPr="003720AF" w14:paraId="205BF4FF" w14:textId="77777777" w:rsidTr="007A37D7">
        <w:trPr>
          <w:trHeight w:hRule="exact" w:val="312"/>
        </w:trPr>
        <w:tc>
          <w:tcPr>
            <w:tcW w:w="3256" w:type="dxa"/>
            <w:shd w:val="clear" w:color="auto" w:fill="auto"/>
          </w:tcPr>
          <w:p w14:paraId="203FCCE6" w14:textId="77777777" w:rsidR="00942496" w:rsidRPr="003720AF" w:rsidRDefault="00942496" w:rsidP="00942496">
            <w:pPr>
              <w:spacing w:after="100"/>
              <w:ind w:left="992"/>
              <w:rPr>
                <w:rFonts w:cs="Arial"/>
                <w:b/>
                <w:sz w:val="18"/>
                <w:szCs w:val="18"/>
              </w:rPr>
            </w:pPr>
            <w:r w:rsidRPr="003720AF">
              <w:rPr>
                <w:rFonts w:cs="Arial"/>
                <w:b/>
                <w:sz w:val="18"/>
                <w:szCs w:val="18"/>
              </w:rPr>
              <w:t>CLIENT REPORT No:</w:t>
            </w:r>
          </w:p>
        </w:tc>
        <w:tc>
          <w:tcPr>
            <w:tcW w:w="6552" w:type="dxa"/>
            <w:shd w:val="clear" w:color="auto" w:fill="auto"/>
          </w:tcPr>
          <w:p w14:paraId="4AA468F9" w14:textId="760D1320" w:rsidR="00942496" w:rsidRPr="003720AF" w:rsidRDefault="00C62B05" w:rsidP="00942496">
            <w:pPr>
              <w:spacing w:after="100"/>
              <w:ind w:left="34"/>
              <w:rPr>
                <w:rFonts w:cs="Arial"/>
                <w:b/>
                <w:sz w:val="18"/>
                <w:szCs w:val="18"/>
              </w:rPr>
            </w:pPr>
            <w:r w:rsidRPr="003720AF">
              <w:rPr>
                <w:rFonts w:cs="Arial"/>
                <w:b/>
                <w:sz w:val="18"/>
                <w:szCs w:val="18"/>
              </w:rPr>
              <w:t>FW</w:t>
            </w:r>
            <w:r w:rsidR="00DC6A1C" w:rsidRPr="003720AF">
              <w:rPr>
                <w:rFonts w:cs="Arial"/>
                <w:b/>
                <w:sz w:val="18"/>
                <w:szCs w:val="18"/>
              </w:rPr>
              <w:t>16039</w:t>
            </w:r>
          </w:p>
        </w:tc>
      </w:tr>
      <w:tr w:rsidR="00942496" w:rsidRPr="003720AF" w14:paraId="08A39E64" w14:textId="77777777" w:rsidTr="007A37D7">
        <w:trPr>
          <w:trHeight w:hRule="exact" w:val="312"/>
        </w:trPr>
        <w:tc>
          <w:tcPr>
            <w:tcW w:w="3256" w:type="dxa"/>
            <w:shd w:val="clear" w:color="auto" w:fill="auto"/>
          </w:tcPr>
          <w:p w14:paraId="02D29AA1" w14:textId="77777777" w:rsidR="00942496" w:rsidRPr="003720AF" w:rsidRDefault="00942496" w:rsidP="00942496">
            <w:pPr>
              <w:spacing w:after="100"/>
              <w:ind w:left="992"/>
              <w:rPr>
                <w:rFonts w:cs="Arial"/>
                <w:b/>
                <w:sz w:val="18"/>
                <w:szCs w:val="18"/>
              </w:rPr>
            </w:pPr>
            <w:r w:rsidRPr="003720AF">
              <w:rPr>
                <w:rFonts w:cs="Arial"/>
                <w:b/>
                <w:sz w:val="18"/>
                <w:szCs w:val="18"/>
              </w:rPr>
              <w:t>REVIEWED BY:</w:t>
            </w:r>
          </w:p>
        </w:tc>
        <w:tc>
          <w:tcPr>
            <w:tcW w:w="6552" w:type="dxa"/>
            <w:shd w:val="clear" w:color="auto" w:fill="auto"/>
          </w:tcPr>
          <w:p w14:paraId="6482CA9C" w14:textId="5C7534E9" w:rsidR="00942496" w:rsidRPr="003720AF" w:rsidRDefault="00DC6A1C" w:rsidP="00942496">
            <w:pPr>
              <w:spacing w:after="100"/>
              <w:ind w:left="34"/>
              <w:rPr>
                <w:rFonts w:cs="Arial"/>
                <w:b/>
                <w:sz w:val="18"/>
                <w:szCs w:val="18"/>
              </w:rPr>
            </w:pPr>
            <w:r w:rsidRPr="003720AF">
              <w:rPr>
                <w:rFonts w:cs="Arial"/>
                <w:b/>
                <w:sz w:val="18"/>
                <w:szCs w:val="18"/>
              </w:rPr>
              <w:t>Peter Cressey; David Morgott</w:t>
            </w:r>
          </w:p>
        </w:tc>
      </w:tr>
      <w:tr w:rsidR="00942496" w:rsidRPr="003720AF" w14:paraId="05E6F64C" w14:textId="77777777" w:rsidTr="007A37D7">
        <w:trPr>
          <w:trHeight w:val="1049"/>
        </w:trPr>
        <w:tc>
          <w:tcPr>
            <w:tcW w:w="9808" w:type="dxa"/>
            <w:gridSpan w:val="2"/>
            <w:shd w:val="clear" w:color="auto" w:fill="auto"/>
          </w:tcPr>
          <w:p w14:paraId="08001309" w14:textId="77777777" w:rsidR="00942496" w:rsidRPr="003720AF" w:rsidRDefault="00942496" w:rsidP="00942496">
            <w:pPr>
              <w:spacing w:after="100"/>
              <w:ind w:left="34"/>
              <w:rPr>
                <w:rFonts w:cs="Arial"/>
                <w:sz w:val="18"/>
                <w:szCs w:val="18"/>
              </w:rPr>
            </w:pPr>
          </w:p>
        </w:tc>
      </w:tr>
    </w:tbl>
    <w:p w14:paraId="088373AA" w14:textId="77777777" w:rsidR="00193636" w:rsidRPr="003720AF" w:rsidRDefault="00193636" w:rsidP="00193636">
      <w:r w:rsidRPr="003720AF">
        <w:br w:type="page"/>
      </w:r>
    </w:p>
    <w:p w14:paraId="35F9011F" w14:textId="77777777" w:rsidR="004D17C2" w:rsidRPr="003720AF" w:rsidRDefault="004D17C2"/>
    <w:p w14:paraId="2CACDD3A" w14:textId="77777777" w:rsidR="00B57531" w:rsidRPr="003720AF" w:rsidRDefault="00B57531">
      <w:pPr>
        <w:sectPr w:rsidR="00B57531" w:rsidRPr="003720AF" w:rsidSect="00B57531">
          <w:footerReference w:type="default" r:id="rId12"/>
          <w:headerReference w:type="first" r:id="rId13"/>
          <w:footerReference w:type="first" r:id="rId14"/>
          <w:pgSz w:w="11906" w:h="16838"/>
          <w:pgMar w:top="1985" w:right="1440" w:bottom="284" w:left="1440" w:header="709" w:footer="709" w:gutter="0"/>
          <w:cols w:space="708"/>
          <w:titlePg/>
          <w:docGrid w:linePitch="360"/>
        </w:sectPr>
      </w:pPr>
    </w:p>
    <w:p w14:paraId="7EAFC12C" w14:textId="77777777" w:rsidR="00FE59AE" w:rsidRPr="003720AF" w:rsidRDefault="00FE59AE" w:rsidP="00204667">
      <w:pPr>
        <w:pStyle w:val="Heading1NoTOCs"/>
      </w:pPr>
      <w:r w:rsidRPr="003720AF">
        <w:lastRenderedPageBreak/>
        <w:t>ACKNOWLEDGEMENTS</w:t>
      </w:r>
    </w:p>
    <w:p w14:paraId="3792C3A6" w14:textId="77777777" w:rsidR="00FE59AE" w:rsidRPr="003720AF" w:rsidRDefault="00FE59AE" w:rsidP="00FE59AE">
      <w:pPr>
        <w:pStyle w:val="ESRBodyText"/>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1"/>
        <w:gridCol w:w="234"/>
        <w:gridCol w:w="2822"/>
        <w:gridCol w:w="235"/>
        <w:gridCol w:w="2914"/>
      </w:tblGrid>
      <w:tr w:rsidR="00FE59AE" w:rsidRPr="003720AF" w14:paraId="78F297BD" w14:textId="77777777" w:rsidTr="00693345">
        <w:trPr>
          <w:trHeight w:val="754"/>
        </w:trPr>
        <w:tc>
          <w:tcPr>
            <w:tcW w:w="1563" w:type="pct"/>
            <w:vAlign w:val="center"/>
          </w:tcPr>
          <w:p w14:paraId="14688B27" w14:textId="0BF744AF" w:rsidR="00FE59AE" w:rsidRPr="003720AF" w:rsidRDefault="00365C89" w:rsidP="00FE59AE">
            <w:pPr>
              <w:pStyle w:val="ESRBodyText"/>
              <w:jc w:val="center"/>
              <w:rPr>
                <w:noProof/>
              </w:rPr>
            </w:pPr>
            <w:r w:rsidRPr="003720AF">
              <w:rPr>
                <w:noProof/>
              </w:rPr>
              <w:t>Management</w:t>
            </w:r>
          </w:p>
        </w:tc>
        <w:tc>
          <w:tcPr>
            <w:tcW w:w="130" w:type="pct"/>
          </w:tcPr>
          <w:p w14:paraId="09AF1477" w14:textId="77777777" w:rsidR="00FE59AE" w:rsidRPr="003720AF" w:rsidRDefault="00FE59AE" w:rsidP="00FE59AE">
            <w:pPr>
              <w:pStyle w:val="ESRBodyText"/>
              <w:jc w:val="center"/>
              <w:rPr>
                <w:noProof/>
              </w:rPr>
            </w:pPr>
          </w:p>
        </w:tc>
        <w:tc>
          <w:tcPr>
            <w:tcW w:w="1563" w:type="pct"/>
            <w:vAlign w:val="center"/>
          </w:tcPr>
          <w:p w14:paraId="1CB0BCAD" w14:textId="77777777" w:rsidR="00FE59AE" w:rsidRPr="003720AF" w:rsidRDefault="00FE59AE" w:rsidP="00FE59AE">
            <w:pPr>
              <w:pStyle w:val="ESRBodyText"/>
              <w:jc w:val="center"/>
              <w:rPr>
                <w:noProof/>
              </w:rPr>
            </w:pPr>
            <w:r w:rsidRPr="003720AF">
              <w:rPr>
                <w:noProof/>
              </w:rPr>
              <w:t>Peer reviewer</w:t>
            </w:r>
          </w:p>
        </w:tc>
        <w:tc>
          <w:tcPr>
            <w:tcW w:w="130" w:type="pct"/>
          </w:tcPr>
          <w:p w14:paraId="4342E91A" w14:textId="77777777" w:rsidR="00FE59AE" w:rsidRPr="003720AF" w:rsidRDefault="00FE59AE" w:rsidP="00FE59AE">
            <w:pPr>
              <w:pStyle w:val="ESRBodyText"/>
              <w:jc w:val="center"/>
              <w:rPr>
                <w:noProof/>
              </w:rPr>
            </w:pPr>
          </w:p>
        </w:tc>
        <w:tc>
          <w:tcPr>
            <w:tcW w:w="1614" w:type="pct"/>
            <w:vAlign w:val="center"/>
          </w:tcPr>
          <w:p w14:paraId="78F56362" w14:textId="300BC05B" w:rsidR="00FE59AE" w:rsidRPr="003720AF" w:rsidRDefault="00DC6A1C" w:rsidP="00FE59AE">
            <w:pPr>
              <w:pStyle w:val="ESRBodyText"/>
              <w:jc w:val="center"/>
              <w:rPr>
                <w:noProof/>
              </w:rPr>
            </w:pPr>
            <w:r w:rsidRPr="003720AF">
              <w:rPr>
                <w:noProof/>
              </w:rPr>
              <w:t>Peer reviewer</w:t>
            </w:r>
          </w:p>
        </w:tc>
      </w:tr>
      <w:tr w:rsidR="00FE59AE" w:rsidRPr="003720AF" w14:paraId="6835307F" w14:textId="77777777" w:rsidTr="00693345">
        <w:sdt>
          <w:sdtPr>
            <w:rPr>
              <w:noProof/>
            </w:rPr>
            <w:alias w:val="Sig"/>
            <w:tag w:val="Sig"/>
            <w:id w:val="-956869289"/>
            <w:showingPlcHdr/>
            <w:picture/>
          </w:sdtPr>
          <w:sdtEndPr/>
          <w:sdtContent>
            <w:tc>
              <w:tcPr>
                <w:tcW w:w="1563" w:type="pct"/>
              </w:tcPr>
              <w:p w14:paraId="0DB438A8" w14:textId="77777777" w:rsidR="00FE59AE" w:rsidRPr="003720AF" w:rsidRDefault="00FE59AE" w:rsidP="00FE59AE">
                <w:pPr>
                  <w:jc w:val="center"/>
                  <w:rPr>
                    <w:noProof/>
                  </w:rPr>
                </w:pPr>
                <w:r w:rsidRPr="003720AF">
                  <w:rPr>
                    <w:noProof/>
                    <w:lang w:eastAsia="en-NZ"/>
                  </w:rPr>
                  <w:drawing>
                    <wp:inline distT="0" distB="0" distL="0" distR="0" wp14:anchorId="24928134" wp14:editId="237369E8">
                      <wp:extent cx="1622066" cy="685800"/>
                      <wp:effectExtent l="0" t="0" r="0" b="0"/>
                      <wp:docPr id="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22066" cy="685800"/>
                              </a:xfrm>
                              <a:prstGeom prst="rect">
                                <a:avLst/>
                              </a:prstGeom>
                              <a:noFill/>
                              <a:ln>
                                <a:noFill/>
                              </a:ln>
                            </pic:spPr>
                          </pic:pic>
                        </a:graphicData>
                      </a:graphic>
                    </wp:inline>
                  </w:drawing>
                </w:r>
              </w:p>
            </w:tc>
          </w:sdtContent>
        </w:sdt>
        <w:tc>
          <w:tcPr>
            <w:tcW w:w="130" w:type="pct"/>
          </w:tcPr>
          <w:p w14:paraId="55EE3668" w14:textId="77777777" w:rsidR="00FE59AE" w:rsidRPr="003720AF" w:rsidRDefault="00FE59AE" w:rsidP="00FE59AE">
            <w:pPr>
              <w:jc w:val="center"/>
              <w:rPr>
                <w:noProof/>
              </w:rPr>
            </w:pPr>
          </w:p>
        </w:tc>
        <w:sdt>
          <w:sdtPr>
            <w:rPr>
              <w:noProof/>
            </w:rPr>
            <w:alias w:val="Sig"/>
            <w:tag w:val="Sig"/>
            <w:id w:val="1626650746"/>
            <w:showingPlcHdr/>
            <w:picture/>
          </w:sdtPr>
          <w:sdtEndPr/>
          <w:sdtContent>
            <w:tc>
              <w:tcPr>
                <w:tcW w:w="1563" w:type="pct"/>
              </w:tcPr>
              <w:p w14:paraId="2EAA2885" w14:textId="77777777" w:rsidR="00FE59AE" w:rsidRPr="003720AF" w:rsidRDefault="00FE59AE" w:rsidP="00FE59AE">
                <w:pPr>
                  <w:jc w:val="center"/>
                  <w:rPr>
                    <w:noProof/>
                  </w:rPr>
                </w:pPr>
                <w:r w:rsidRPr="003720AF">
                  <w:rPr>
                    <w:noProof/>
                    <w:lang w:eastAsia="en-NZ"/>
                  </w:rPr>
                  <w:drawing>
                    <wp:inline distT="0" distB="0" distL="0" distR="0" wp14:anchorId="1DB29DBC" wp14:editId="6859EE77">
                      <wp:extent cx="1623600" cy="680400"/>
                      <wp:effectExtent l="0" t="0" r="0" b="5715"/>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23600" cy="680400"/>
                              </a:xfrm>
                              <a:prstGeom prst="rect">
                                <a:avLst/>
                              </a:prstGeom>
                              <a:noFill/>
                              <a:ln>
                                <a:noFill/>
                              </a:ln>
                            </pic:spPr>
                          </pic:pic>
                        </a:graphicData>
                      </a:graphic>
                    </wp:inline>
                  </w:drawing>
                </w:r>
              </w:p>
            </w:tc>
          </w:sdtContent>
        </w:sdt>
        <w:tc>
          <w:tcPr>
            <w:tcW w:w="130" w:type="pct"/>
          </w:tcPr>
          <w:p w14:paraId="50E15001" w14:textId="77777777" w:rsidR="00FE59AE" w:rsidRPr="003720AF" w:rsidRDefault="00FE59AE" w:rsidP="00FE59AE">
            <w:pPr>
              <w:jc w:val="center"/>
              <w:rPr>
                <w:noProof/>
              </w:rPr>
            </w:pPr>
          </w:p>
        </w:tc>
        <w:sdt>
          <w:sdtPr>
            <w:rPr>
              <w:noProof/>
            </w:rPr>
            <w:alias w:val="Sig"/>
            <w:tag w:val="Sig"/>
            <w:id w:val="-2128085051"/>
            <w:showingPlcHdr/>
            <w:picture/>
          </w:sdtPr>
          <w:sdtEndPr/>
          <w:sdtContent>
            <w:tc>
              <w:tcPr>
                <w:tcW w:w="1614" w:type="pct"/>
              </w:tcPr>
              <w:p w14:paraId="6EC72076" w14:textId="77777777" w:rsidR="00FE59AE" w:rsidRPr="003720AF" w:rsidRDefault="00FE59AE" w:rsidP="00FE59AE">
                <w:pPr>
                  <w:jc w:val="center"/>
                  <w:rPr>
                    <w:noProof/>
                  </w:rPr>
                </w:pPr>
                <w:r w:rsidRPr="003720AF">
                  <w:rPr>
                    <w:noProof/>
                    <w:lang w:eastAsia="en-NZ"/>
                  </w:rPr>
                  <w:drawing>
                    <wp:inline distT="0" distB="0" distL="0" distR="0" wp14:anchorId="5D1E3BC5" wp14:editId="6BE7EE06">
                      <wp:extent cx="1623600" cy="684000"/>
                      <wp:effectExtent l="0" t="0" r="0" b="1905"/>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23600" cy="684000"/>
                              </a:xfrm>
                              <a:prstGeom prst="rect">
                                <a:avLst/>
                              </a:prstGeom>
                              <a:noFill/>
                              <a:ln>
                                <a:noFill/>
                              </a:ln>
                            </pic:spPr>
                          </pic:pic>
                        </a:graphicData>
                      </a:graphic>
                    </wp:inline>
                  </w:drawing>
                </w:r>
              </w:p>
            </w:tc>
          </w:sdtContent>
        </w:sdt>
      </w:tr>
      <w:tr w:rsidR="00FE59AE" w:rsidRPr="003720AF" w14:paraId="34F464E4" w14:textId="77777777" w:rsidTr="00693345">
        <w:trPr>
          <w:trHeight w:val="480"/>
        </w:trPr>
        <w:tc>
          <w:tcPr>
            <w:tcW w:w="1563" w:type="pct"/>
            <w:vAlign w:val="center"/>
          </w:tcPr>
          <w:p w14:paraId="5B926C0D" w14:textId="2A66D163" w:rsidR="00FE59AE" w:rsidRPr="003720AF" w:rsidRDefault="00DC6A1C" w:rsidP="00DC6A1C">
            <w:pPr>
              <w:jc w:val="center"/>
              <w:rPr>
                <w:noProof/>
                <w:sz w:val="18"/>
                <w:szCs w:val="18"/>
              </w:rPr>
            </w:pPr>
            <w:r w:rsidRPr="003720AF">
              <w:rPr>
                <w:noProof/>
                <w:sz w:val="18"/>
                <w:szCs w:val="18"/>
              </w:rPr>
              <w:t>Chris Nokes</w:t>
            </w:r>
          </w:p>
        </w:tc>
        <w:tc>
          <w:tcPr>
            <w:tcW w:w="130" w:type="pct"/>
          </w:tcPr>
          <w:p w14:paraId="1B48087D" w14:textId="77777777" w:rsidR="00FE59AE" w:rsidRPr="003720AF" w:rsidRDefault="00FE59AE" w:rsidP="00FE59AE">
            <w:pPr>
              <w:jc w:val="center"/>
              <w:rPr>
                <w:noProof/>
                <w:sz w:val="18"/>
                <w:szCs w:val="18"/>
              </w:rPr>
            </w:pPr>
          </w:p>
        </w:tc>
        <w:tc>
          <w:tcPr>
            <w:tcW w:w="1563" w:type="pct"/>
            <w:vAlign w:val="center"/>
          </w:tcPr>
          <w:p w14:paraId="357A6E1D" w14:textId="1F9F8B18" w:rsidR="00FE59AE" w:rsidRPr="003720AF" w:rsidRDefault="00DC6A1C" w:rsidP="00DC6A1C">
            <w:pPr>
              <w:jc w:val="center"/>
              <w:rPr>
                <w:noProof/>
                <w:sz w:val="18"/>
                <w:szCs w:val="18"/>
              </w:rPr>
            </w:pPr>
            <w:r w:rsidRPr="003720AF">
              <w:rPr>
                <w:noProof/>
                <w:sz w:val="18"/>
                <w:szCs w:val="18"/>
              </w:rPr>
              <w:t>Peter Cressey</w:t>
            </w:r>
          </w:p>
        </w:tc>
        <w:tc>
          <w:tcPr>
            <w:tcW w:w="130" w:type="pct"/>
          </w:tcPr>
          <w:p w14:paraId="34DF2C0C" w14:textId="77777777" w:rsidR="00FE59AE" w:rsidRPr="003720AF" w:rsidRDefault="00FE59AE" w:rsidP="00FE59AE">
            <w:pPr>
              <w:jc w:val="center"/>
              <w:rPr>
                <w:noProof/>
                <w:sz w:val="18"/>
                <w:szCs w:val="18"/>
              </w:rPr>
            </w:pPr>
          </w:p>
        </w:tc>
        <w:tc>
          <w:tcPr>
            <w:tcW w:w="1614" w:type="pct"/>
            <w:vAlign w:val="center"/>
          </w:tcPr>
          <w:p w14:paraId="70A99635" w14:textId="4B14FB7E" w:rsidR="00FE59AE" w:rsidRPr="003720AF" w:rsidRDefault="00DC6A1C" w:rsidP="00DC6A1C">
            <w:pPr>
              <w:jc w:val="center"/>
              <w:rPr>
                <w:noProof/>
                <w:sz w:val="18"/>
                <w:szCs w:val="18"/>
              </w:rPr>
            </w:pPr>
            <w:r w:rsidRPr="003720AF">
              <w:rPr>
                <w:noProof/>
                <w:sz w:val="18"/>
                <w:szCs w:val="18"/>
              </w:rPr>
              <w:t>David Morgott</w:t>
            </w:r>
          </w:p>
        </w:tc>
      </w:tr>
      <w:tr w:rsidR="00FE59AE" w:rsidRPr="003720AF" w14:paraId="5C68AAB4" w14:textId="77777777" w:rsidTr="00693345">
        <w:trPr>
          <w:trHeight w:val="431"/>
        </w:trPr>
        <w:tc>
          <w:tcPr>
            <w:tcW w:w="1563" w:type="pct"/>
            <w:vAlign w:val="center"/>
          </w:tcPr>
          <w:p w14:paraId="1ECF5F90" w14:textId="73E20099" w:rsidR="00FE59AE" w:rsidRPr="003720AF" w:rsidRDefault="00DC6A1C" w:rsidP="00DC6A1C">
            <w:pPr>
              <w:jc w:val="center"/>
              <w:rPr>
                <w:noProof/>
                <w:sz w:val="18"/>
                <w:szCs w:val="18"/>
              </w:rPr>
            </w:pPr>
            <w:r w:rsidRPr="003720AF">
              <w:rPr>
                <w:noProof/>
                <w:sz w:val="18"/>
                <w:szCs w:val="18"/>
              </w:rPr>
              <w:t>Science Leader, Risk and Response Group</w:t>
            </w:r>
          </w:p>
        </w:tc>
        <w:tc>
          <w:tcPr>
            <w:tcW w:w="130" w:type="pct"/>
          </w:tcPr>
          <w:p w14:paraId="1491DDE6" w14:textId="77777777" w:rsidR="00FE59AE" w:rsidRPr="003720AF" w:rsidRDefault="00FE59AE" w:rsidP="00FE59AE">
            <w:pPr>
              <w:jc w:val="center"/>
              <w:rPr>
                <w:noProof/>
                <w:sz w:val="18"/>
                <w:szCs w:val="18"/>
              </w:rPr>
            </w:pPr>
          </w:p>
        </w:tc>
        <w:tc>
          <w:tcPr>
            <w:tcW w:w="1563" w:type="pct"/>
            <w:vAlign w:val="center"/>
          </w:tcPr>
          <w:p w14:paraId="3AFA7814" w14:textId="08EC132A" w:rsidR="00FE59AE" w:rsidRPr="003720AF" w:rsidRDefault="00DC6A1C" w:rsidP="00DC6A1C">
            <w:pPr>
              <w:jc w:val="center"/>
              <w:rPr>
                <w:noProof/>
                <w:sz w:val="18"/>
                <w:szCs w:val="18"/>
              </w:rPr>
            </w:pPr>
            <w:r w:rsidRPr="003720AF">
              <w:rPr>
                <w:noProof/>
                <w:sz w:val="18"/>
                <w:szCs w:val="18"/>
              </w:rPr>
              <w:t>Senior Scientist, Risk and Response Group</w:t>
            </w:r>
          </w:p>
        </w:tc>
        <w:tc>
          <w:tcPr>
            <w:tcW w:w="130" w:type="pct"/>
          </w:tcPr>
          <w:p w14:paraId="35DD6198" w14:textId="77777777" w:rsidR="00FE59AE" w:rsidRPr="003720AF" w:rsidRDefault="00FE59AE" w:rsidP="00FE59AE">
            <w:pPr>
              <w:jc w:val="center"/>
              <w:rPr>
                <w:noProof/>
                <w:sz w:val="18"/>
                <w:szCs w:val="18"/>
              </w:rPr>
            </w:pPr>
          </w:p>
        </w:tc>
        <w:tc>
          <w:tcPr>
            <w:tcW w:w="1614" w:type="pct"/>
            <w:vAlign w:val="center"/>
          </w:tcPr>
          <w:p w14:paraId="08F5E541" w14:textId="433D8E84" w:rsidR="00FE59AE" w:rsidRPr="003720AF" w:rsidRDefault="00DC6A1C" w:rsidP="00DC6A1C">
            <w:pPr>
              <w:jc w:val="center"/>
              <w:rPr>
                <w:noProof/>
                <w:sz w:val="18"/>
                <w:szCs w:val="18"/>
              </w:rPr>
            </w:pPr>
            <w:r w:rsidRPr="003720AF">
              <w:rPr>
                <w:noProof/>
                <w:sz w:val="18"/>
                <w:szCs w:val="18"/>
              </w:rPr>
              <w:t>PennsPort Consulting, LLC</w:t>
            </w:r>
          </w:p>
        </w:tc>
      </w:tr>
    </w:tbl>
    <w:p w14:paraId="3669AF28" w14:textId="77777777" w:rsidR="00FE59AE" w:rsidRPr="003720AF" w:rsidRDefault="00FE59AE" w:rsidP="00FE59AE">
      <w:pPr>
        <w:pStyle w:val="ESRBodyText"/>
        <w:rPr>
          <w:noProof/>
        </w:rPr>
      </w:pP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22"/>
        <w:gridCol w:w="235"/>
        <w:gridCol w:w="2822"/>
        <w:gridCol w:w="235"/>
        <w:gridCol w:w="2912"/>
      </w:tblGrid>
      <w:tr w:rsidR="00DC6A1C" w:rsidRPr="003720AF" w14:paraId="526BC861" w14:textId="77777777" w:rsidTr="00DC6A1C">
        <w:trPr>
          <w:trHeight w:val="754"/>
        </w:trPr>
        <w:tc>
          <w:tcPr>
            <w:tcW w:w="1563" w:type="pct"/>
            <w:vAlign w:val="center"/>
          </w:tcPr>
          <w:p w14:paraId="71B82956" w14:textId="1C53794F" w:rsidR="00DC6A1C" w:rsidRPr="003720AF" w:rsidRDefault="00DC6A1C" w:rsidP="00DC6A1C">
            <w:pPr>
              <w:pStyle w:val="ESRBodyText"/>
              <w:jc w:val="center"/>
              <w:rPr>
                <w:noProof/>
              </w:rPr>
            </w:pPr>
            <w:r w:rsidRPr="003720AF">
              <w:rPr>
                <w:noProof/>
              </w:rPr>
              <w:t>Author</w:t>
            </w:r>
          </w:p>
        </w:tc>
        <w:tc>
          <w:tcPr>
            <w:tcW w:w="130" w:type="pct"/>
          </w:tcPr>
          <w:p w14:paraId="490F9325" w14:textId="77777777" w:rsidR="00DC6A1C" w:rsidRPr="003720AF" w:rsidRDefault="00DC6A1C" w:rsidP="00DC6A1C">
            <w:pPr>
              <w:pStyle w:val="ESRBodyText"/>
              <w:jc w:val="center"/>
              <w:rPr>
                <w:noProof/>
              </w:rPr>
            </w:pPr>
          </w:p>
        </w:tc>
        <w:tc>
          <w:tcPr>
            <w:tcW w:w="1563" w:type="pct"/>
            <w:vAlign w:val="center"/>
          </w:tcPr>
          <w:p w14:paraId="758CC622" w14:textId="607821D6" w:rsidR="00DC6A1C" w:rsidRPr="003720AF" w:rsidRDefault="00DC6A1C" w:rsidP="00DC6A1C">
            <w:pPr>
              <w:pStyle w:val="ESRBodyText"/>
              <w:jc w:val="center"/>
              <w:rPr>
                <w:noProof/>
              </w:rPr>
            </w:pPr>
            <w:r w:rsidRPr="003720AF">
              <w:rPr>
                <w:noProof/>
              </w:rPr>
              <w:t>Author</w:t>
            </w:r>
          </w:p>
        </w:tc>
        <w:tc>
          <w:tcPr>
            <w:tcW w:w="130" w:type="pct"/>
          </w:tcPr>
          <w:p w14:paraId="349A026F" w14:textId="77777777" w:rsidR="00DC6A1C" w:rsidRPr="003720AF" w:rsidRDefault="00DC6A1C" w:rsidP="00DC6A1C">
            <w:pPr>
              <w:pStyle w:val="ESRBodyText"/>
              <w:jc w:val="center"/>
              <w:rPr>
                <w:noProof/>
              </w:rPr>
            </w:pPr>
          </w:p>
        </w:tc>
        <w:tc>
          <w:tcPr>
            <w:tcW w:w="1613" w:type="pct"/>
            <w:vAlign w:val="center"/>
          </w:tcPr>
          <w:p w14:paraId="135C2E60" w14:textId="77777777" w:rsidR="00DC6A1C" w:rsidRPr="003720AF" w:rsidRDefault="00DC6A1C" w:rsidP="00DC6A1C">
            <w:pPr>
              <w:pStyle w:val="ESRBodyText"/>
              <w:jc w:val="center"/>
              <w:rPr>
                <w:noProof/>
              </w:rPr>
            </w:pPr>
            <w:r w:rsidRPr="003720AF">
              <w:rPr>
                <w:noProof/>
              </w:rPr>
              <w:t>Author</w:t>
            </w:r>
          </w:p>
        </w:tc>
      </w:tr>
      <w:tr w:rsidR="00DC6A1C" w:rsidRPr="003720AF" w14:paraId="35D954D9" w14:textId="77777777" w:rsidTr="00DC6A1C">
        <w:sdt>
          <w:sdtPr>
            <w:rPr>
              <w:noProof/>
            </w:rPr>
            <w:alias w:val="Sig"/>
            <w:tag w:val="Sig"/>
            <w:id w:val="-1832748454"/>
            <w:showingPlcHdr/>
            <w:picture/>
          </w:sdtPr>
          <w:sdtEndPr/>
          <w:sdtContent>
            <w:tc>
              <w:tcPr>
                <w:tcW w:w="1563" w:type="pct"/>
              </w:tcPr>
              <w:p w14:paraId="1DCD6083" w14:textId="12333C1E" w:rsidR="00DC6A1C" w:rsidRPr="003720AF" w:rsidRDefault="00DC6A1C" w:rsidP="00DC6A1C">
                <w:pPr>
                  <w:jc w:val="center"/>
                  <w:rPr>
                    <w:noProof/>
                  </w:rPr>
                </w:pPr>
                <w:r w:rsidRPr="003720AF">
                  <w:rPr>
                    <w:noProof/>
                    <w:lang w:eastAsia="en-NZ"/>
                  </w:rPr>
                  <w:drawing>
                    <wp:inline distT="0" distB="0" distL="0" distR="0" wp14:anchorId="52960E7C" wp14:editId="61B67EBD">
                      <wp:extent cx="1623600" cy="680400"/>
                      <wp:effectExtent l="0" t="0" r="0" b="5715"/>
                      <wp:docPr id="2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23600" cy="680400"/>
                              </a:xfrm>
                              <a:prstGeom prst="rect">
                                <a:avLst/>
                              </a:prstGeom>
                              <a:noFill/>
                              <a:ln>
                                <a:noFill/>
                              </a:ln>
                            </pic:spPr>
                          </pic:pic>
                        </a:graphicData>
                      </a:graphic>
                    </wp:inline>
                  </w:drawing>
                </w:r>
              </w:p>
            </w:tc>
          </w:sdtContent>
        </w:sdt>
        <w:tc>
          <w:tcPr>
            <w:tcW w:w="130" w:type="pct"/>
          </w:tcPr>
          <w:p w14:paraId="06E88556" w14:textId="77777777" w:rsidR="00DC6A1C" w:rsidRPr="003720AF" w:rsidRDefault="00DC6A1C" w:rsidP="00DC6A1C">
            <w:pPr>
              <w:jc w:val="center"/>
              <w:rPr>
                <w:noProof/>
              </w:rPr>
            </w:pPr>
          </w:p>
        </w:tc>
        <w:sdt>
          <w:sdtPr>
            <w:rPr>
              <w:noProof/>
            </w:rPr>
            <w:alias w:val="Sig"/>
            <w:tag w:val="Sig"/>
            <w:id w:val="184483565"/>
            <w:showingPlcHdr/>
            <w:picture/>
          </w:sdtPr>
          <w:sdtEndPr/>
          <w:sdtContent>
            <w:tc>
              <w:tcPr>
                <w:tcW w:w="1563" w:type="pct"/>
              </w:tcPr>
              <w:p w14:paraId="214FEE9D" w14:textId="77777777" w:rsidR="00DC6A1C" w:rsidRPr="003720AF" w:rsidRDefault="00DC6A1C" w:rsidP="00DC6A1C">
                <w:pPr>
                  <w:jc w:val="center"/>
                  <w:rPr>
                    <w:noProof/>
                  </w:rPr>
                </w:pPr>
                <w:r w:rsidRPr="003720AF">
                  <w:rPr>
                    <w:noProof/>
                    <w:lang w:eastAsia="en-NZ"/>
                  </w:rPr>
                  <w:drawing>
                    <wp:inline distT="0" distB="0" distL="0" distR="0" wp14:anchorId="2090D0FF" wp14:editId="6EAE8F51">
                      <wp:extent cx="1623600" cy="680400"/>
                      <wp:effectExtent l="0" t="0" r="0" b="5715"/>
                      <wp:docPr id="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23600" cy="680400"/>
                              </a:xfrm>
                              <a:prstGeom prst="rect">
                                <a:avLst/>
                              </a:prstGeom>
                              <a:noFill/>
                              <a:ln>
                                <a:noFill/>
                              </a:ln>
                            </pic:spPr>
                          </pic:pic>
                        </a:graphicData>
                      </a:graphic>
                    </wp:inline>
                  </w:drawing>
                </w:r>
              </w:p>
            </w:tc>
          </w:sdtContent>
        </w:sdt>
        <w:tc>
          <w:tcPr>
            <w:tcW w:w="130" w:type="pct"/>
          </w:tcPr>
          <w:p w14:paraId="1281C39F" w14:textId="77777777" w:rsidR="00DC6A1C" w:rsidRPr="003720AF" w:rsidRDefault="00DC6A1C" w:rsidP="00DC6A1C">
            <w:pPr>
              <w:jc w:val="center"/>
              <w:rPr>
                <w:noProof/>
              </w:rPr>
            </w:pPr>
          </w:p>
        </w:tc>
        <w:sdt>
          <w:sdtPr>
            <w:rPr>
              <w:noProof/>
            </w:rPr>
            <w:alias w:val="Sig"/>
            <w:tag w:val="Sig"/>
            <w:id w:val="1064921445"/>
            <w:showingPlcHdr/>
            <w:picture/>
          </w:sdtPr>
          <w:sdtEndPr/>
          <w:sdtContent>
            <w:tc>
              <w:tcPr>
                <w:tcW w:w="1613" w:type="pct"/>
              </w:tcPr>
              <w:p w14:paraId="173A6249" w14:textId="77777777" w:rsidR="00DC6A1C" w:rsidRPr="003720AF" w:rsidRDefault="00DC6A1C" w:rsidP="00DC6A1C">
                <w:pPr>
                  <w:jc w:val="center"/>
                  <w:rPr>
                    <w:noProof/>
                  </w:rPr>
                </w:pPr>
                <w:r w:rsidRPr="003720AF">
                  <w:rPr>
                    <w:noProof/>
                    <w:lang w:eastAsia="en-NZ"/>
                  </w:rPr>
                  <w:drawing>
                    <wp:inline distT="0" distB="0" distL="0" distR="0" wp14:anchorId="39BCF79C" wp14:editId="2173E5C7">
                      <wp:extent cx="1623600" cy="684000"/>
                      <wp:effectExtent l="0" t="0" r="0" b="1905"/>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1623600" cy="684000"/>
                              </a:xfrm>
                              <a:prstGeom prst="rect">
                                <a:avLst/>
                              </a:prstGeom>
                              <a:noFill/>
                              <a:ln>
                                <a:noFill/>
                              </a:ln>
                            </pic:spPr>
                          </pic:pic>
                        </a:graphicData>
                      </a:graphic>
                    </wp:inline>
                  </w:drawing>
                </w:r>
              </w:p>
            </w:tc>
          </w:sdtContent>
        </w:sdt>
      </w:tr>
      <w:tr w:rsidR="00DC6A1C" w:rsidRPr="003720AF" w14:paraId="0435D5AB" w14:textId="77777777" w:rsidTr="00DC6A1C">
        <w:trPr>
          <w:trHeight w:val="480"/>
        </w:trPr>
        <w:tc>
          <w:tcPr>
            <w:tcW w:w="1563" w:type="pct"/>
            <w:vAlign w:val="center"/>
          </w:tcPr>
          <w:p w14:paraId="6A27AC5A" w14:textId="7D938BF4" w:rsidR="00DC6A1C" w:rsidRPr="003720AF" w:rsidRDefault="00DC6A1C" w:rsidP="00DC6A1C">
            <w:pPr>
              <w:jc w:val="center"/>
              <w:rPr>
                <w:noProof/>
                <w:sz w:val="18"/>
                <w:szCs w:val="18"/>
              </w:rPr>
            </w:pPr>
            <w:r w:rsidRPr="003720AF">
              <w:rPr>
                <w:noProof/>
                <w:sz w:val="18"/>
                <w:szCs w:val="18"/>
              </w:rPr>
              <w:t>Jeff Fowles</w:t>
            </w:r>
          </w:p>
        </w:tc>
        <w:tc>
          <w:tcPr>
            <w:tcW w:w="130" w:type="pct"/>
          </w:tcPr>
          <w:p w14:paraId="1E50A5BE" w14:textId="77777777" w:rsidR="00DC6A1C" w:rsidRPr="003720AF" w:rsidRDefault="00DC6A1C" w:rsidP="00DC6A1C">
            <w:pPr>
              <w:jc w:val="center"/>
              <w:rPr>
                <w:noProof/>
                <w:sz w:val="18"/>
                <w:szCs w:val="18"/>
              </w:rPr>
            </w:pPr>
          </w:p>
        </w:tc>
        <w:tc>
          <w:tcPr>
            <w:tcW w:w="1563" w:type="pct"/>
            <w:vAlign w:val="center"/>
          </w:tcPr>
          <w:p w14:paraId="16F33794" w14:textId="7F36401E" w:rsidR="00DC6A1C" w:rsidRPr="003720AF" w:rsidRDefault="00DC6A1C" w:rsidP="00DC6A1C">
            <w:pPr>
              <w:jc w:val="center"/>
              <w:rPr>
                <w:noProof/>
                <w:sz w:val="18"/>
                <w:szCs w:val="18"/>
              </w:rPr>
            </w:pPr>
            <w:r w:rsidRPr="003720AF">
              <w:rPr>
                <w:noProof/>
                <w:sz w:val="18"/>
                <w:szCs w:val="18"/>
              </w:rPr>
              <w:t>Janet Kester</w:t>
            </w:r>
          </w:p>
        </w:tc>
        <w:tc>
          <w:tcPr>
            <w:tcW w:w="130" w:type="pct"/>
          </w:tcPr>
          <w:p w14:paraId="0BA7DC2C" w14:textId="77777777" w:rsidR="00DC6A1C" w:rsidRPr="003720AF" w:rsidRDefault="00DC6A1C" w:rsidP="00DC6A1C">
            <w:pPr>
              <w:jc w:val="center"/>
              <w:rPr>
                <w:noProof/>
                <w:sz w:val="18"/>
                <w:szCs w:val="18"/>
              </w:rPr>
            </w:pPr>
          </w:p>
        </w:tc>
        <w:tc>
          <w:tcPr>
            <w:tcW w:w="1613" w:type="pct"/>
            <w:vAlign w:val="center"/>
          </w:tcPr>
          <w:p w14:paraId="41B62853" w14:textId="5D4AE9A7" w:rsidR="00DC6A1C" w:rsidRPr="003720AF" w:rsidRDefault="005A5625" w:rsidP="005F6C0B">
            <w:pPr>
              <w:jc w:val="center"/>
              <w:rPr>
                <w:noProof/>
                <w:sz w:val="18"/>
                <w:szCs w:val="18"/>
              </w:rPr>
            </w:pPr>
            <w:r w:rsidRPr="003720AF">
              <w:rPr>
                <w:noProof/>
                <w:sz w:val="18"/>
                <w:szCs w:val="18"/>
              </w:rPr>
              <w:t>James Dey</w:t>
            </w:r>
            <w:r w:rsidR="005F6C0B" w:rsidRPr="003720AF">
              <w:rPr>
                <w:noProof/>
                <w:sz w:val="18"/>
                <w:szCs w:val="18"/>
              </w:rPr>
              <w:t>o</w:t>
            </w:r>
          </w:p>
        </w:tc>
      </w:tr>
      <w:tr w:rsidR="00DC6A1C" w:rsidRPr="003720AF" w14:paraId="5FA1B19E" w14:textId="77777777" w:rsidTr="00DC6A1C">
        <w:trPr>
          <w:trHeight w:val="431"/>
        </w:trPr>
        <w:tc>
          <w:tcPr>
            <w:tcW w:w="1563" w:type="pct"/>
            <w:vAlign w:val="center"/>
          </w:tcPr>
          <w:p w14:paraId="573639CC" w14:textId="670DCA1F" w:rsidR="00DC6A1C" w:rsidRPr="003720AF" w:rsidRDefault="00DC6A1C" w:rsidP="00DC6A1C">
            <w:pPr>
              <w:jc w:val="center"/>
              <w:rPr>
                <w:noProof/>
                <w:sz w:val="18"/>
                <w:szCs w:val="18"/>
              </w:rPr>
            </w:pPr>
            <w:r w:rsidRPr="003720AF">
              <w:rPr>
                <w:noProof/>
                <w:sz w:val="18"/>
                <w:szCs w:val="18"/>
              </w:rPr>
              <w:t>Toxlogic, LLC</w:t>
            </w:r>
          </w:p>
        </w:tc>
        <w:tc>
          <w:tcPr>
            <w:tcW w:w="130" w:type="pct"/>
          </w:tcPr>
          <w:p w14:paraId="1E1B37F3" w14:textId="77777777" w:rsidR="00DC6A1C" w:rsidRPr="003720AF" w:rsidRDefault="00DC6A1C" w:rsidP="00DC6A1C">
            <w:pPr>
              <w:jc w:val="center"/>
              <w:rPr>
                <w:noProof/>
                <w:sz w:val="18"/>
                <w:szCs w:val="18"/>
              </w:rPr>
            </w:pPr>
          </w:p>
        </w:tc>
        <w:tc>
          <w:tcPr>
            <w:tcW w:w="1563" w:type="pct"/>
            <w:vAlign w:val="center"/>
          </w:tcPr>
          <w:p w14:paraId="153E1F80" w14:textId="54C13A44" w:rsidR="00DC6A1C" w:rsidRPr="003720AF" w:rsidRDefault="0031242C" w:rsidP="0031242C">
            <w:pPr>
              <w:jc w:val="center"/>
              <w:rPr>
                <w:noProof/>
                <w:sz w:val="18"/>
                <w:szCs w:val="18"/>
              </w:rPr>
            </w:pPr>
            <w:r w:rsidRPr="003720AF">
              <w:rPr>
                <w:noProof/>
                <w:sz w:val="18"/>
                <w:szCs w:val="18"/>
              </w:rPr>
              <w:t>NewFields Consulting</w:t>
            </w:r>
          </w:p>
        </w:tc>
        <w:tc>
          <w:tcPr>
            <w:tcW w:w="130" w:type="pct"/>
          </w:tcPr>
          <w:p w14:paraId="0B4B2A26" w14:textId="77777777" w:rsidR="00DC6A1C" w:rsidRPr="003720AF" w:rsidRDefault="00DC6A1C" w:rsidP="00DC6A1C">
            <w:pPr>
              <w:jc w:val="center"/>
              <w:rPr>
                <w:noProof/>
                <w:sz w:val="18"/>
                <w:szCs w:val="18"/>
              </w:rPr>
            </w:pPr>
          </w:p>
        </w:tc>
        <w:tc>
          <w:tcPr>
            <w:tcW w:w="1613" w:type="pct"/>
            <w:vAlign w:val="center"/>
          </w:tcPr>
          <w:p w14:paraId="5D9CB391" w14:textId="659D2A85" w:rsidR="00DC6A1C" w:rsidRPr="003720AF" w:rsidRDefault="0031242C" w:rsidP="0031242C">
            <w:pPr>
              <w:jc w:val="center"/>
              <w:rPr>
                <w:noProof/>
                <w:sz w:val="18"/>
                <w:szCs w:val="18"/>
              </w:rPr>
            </w:pPr>
            <w:r w:rsidRPr="003720AF">
              <w:rPr>
                <w:noProof/>
                <w:sz w:val="18"/>
                <w:szCs w:val="18"/>
              </w:rPr>
              <w:t>JAD Toxicology, LLC</w:t>
            </w:r>
          </w:p>
        </w:tc>
      </w:tr>
    </w:tbl>
    <w:p w14:paraId="0F715D5D" w14:textId="77777777" w:rsidR="00756722" w:rsidRPr="003720AF" w:rsidRDefault="00756722" w:rsidP="00FE59AE">
      <w:pPr>
        <w:pStyle w:val="ESRBodyText"/>
      </w:pPr>
    </w:p>
    <w:p w14:paraId="0B17655F" w14:textId="77777777" w:rsidR="00580201" w:rsidRPr="003720AF" w:rsidRDefault="00580201" w:rsidP="00FE59AE">
      <w:pPr>
        <w:pStyle w:val="ESRBodyText"/>
      </w:pPr>
    </w:p>
    <w:p w14:paraId="1B98A3EA" w14:textId="03A7E325" w:rsidR="00384F74" w:rsidRPr="003720AF" w:rsidRDefault="00384F74"/>
    <w:p w14:paraId="01B03271" w14:textId="77777777" w:rsidR="00580201" w:rsidRPr="003720AF" w:rsidRDefault="00580201" w:rsidP="00FE59AE">
      <w:pPr>
        <w:pStyle w:val="ESRBodyText"/>
        <w:sectPr w:rsidR="00580201" w:rsidRPr="003720AF" w:rsidSect="00193636">
          <w:headerReference w:type="default" r:id="rId16"/>
          <w:footerReference w:type="default" r:id="rId17"/>
          <w:headerReference w:type="first" r:id="rId18"/>
          <w:footerReference w:type="first" r:id="rId19"/>
          <w:pgSz w:w="11906" w:h="16838" w:code="9"/>
          <w:pgMar w:top="1440" w:right="1440" w:bottom="1440" w:left="1440" w:header="709" w:footer="709" w:gutter="0"/>
          <w:pgNumType w:start="1"/>
          <w:cols w:space="708"/>
          <w:titlePg/>
          <w:docGrid w:linePitch="360"/>
        </w:sectPr>
      </w:pPr>
    </w:p>
    <w:p w14:paraId="54B786AE" w14:textId="77777777" w:rsidR="00384F74" w:rsidRPr="003720AF" w:rsidRDefault="00384F74">
      <w:pPr>
        <w:rPr>
          <w:caps/>
          <w:noProof/>
          <w:color w:val="0097DB"/>
          <w:sz w:val="44"/>
        </w:rPr>
      </w:pPr>
      <w:r w:rsidRPr="003720AF">
        <w:rPr>
          <w:noProof/>
        </w:rPr>
        <w:lastRenderedPageBreak/>
        <w:br w:type="page"/>
      </w:r>
    </w:p>
    <w:p w14:paraId="695657A3" w14:textId="5AC1B7DD" w:rsidR="00FA2F89" w:rsidRPr="003720AF" w:rsidRDefault="00FE59AE" w:rsidP="00204667">
      <w:pPr>
        <w:pStyle w:val="Heading1NoTOCs"/>
        <w:rPr>
          <w:noProof/>
        </w:rPr>
      </w:pPr>
      <w:r w:rsidRPr="003720AF">
        <w:rPr>
          <w:noProof/>
        </w:rPr>
        <w:lastRenderedPageBreak/>
        <w:t>CONTENTS</w:t>
      </w:r>
    </w:p>
    <w:p w14:paraId="43F82F4D" w14:textId="77777777" w:rsidR="00AF4872" w:rsidRPr="003720AF" w:rsidRDefault="00FA2F89">
      <w:pPr>
        <w:pStyle w:val="TOC1"/>
        <w:rPr>
          <w:rFonts w:asciiTheme="minorHAnsi" w:eastAsiaTheme="minorEastAsia" w:hAnsiTheme="minorHAnsi"/>
          <w:b w:val="0"/>
          <w:color w:val="auto"/>
          <w:sz w:val="22"/>
          <w:lang w:eastAsia="en-NZ"/>
        </w:rPr>
      </w:pPr>
      <w:r w:rsidRPr="003720AF">
        <w:fldChar w:fldCharType="begin"/>
      </w:r>
      <w:r w:rsidRPr="003720AF">
        <w:instrText xml:space="preserve"> TOC \o "1-3" \h \z \u </w:instrText>
      </w:r>
      <w:r w:rsidRPr="003720AF">
        <w:fldChar w:fldCharType="separate"/>
      </w:r>
      <w:hyperlink w:anchor="_Toc463856025" w:history="1">
        <w:r w:rsidR="00AF4872" w:rsidRPr="003720AF">
          <w:rPr>
            <w:rStyle w:val="Hyperlink"/>
          </w:rPr>
          <w:t>EXECUTIVE SUMMARY</w:t>
        </w:r>
        <w:r w:rsidR="00AF4872" w:rsidRPr="003720AF">
          <w:rPr>
            <w:webHidden/>
          </w:rPr>
          <w:tab/>
        </w:r>
        <w:r w:rsidR="00AF4872" w:rsidRPr="003720AF">
          <w:rPr>
            <w:webHidden/>
          </w:rPr>
          <w:fldChar w:fldCharType="begin"/>
        </w:r>
        <w:r w:rsidR="00AF4872" w:rsidRPr="003720AF">
          <w:rPr>
            <w:webHidden/>
          </w:rPr>
          <w:instrText xml:space="preserve"> PAGEREF _Toc463856025 \h </w:instrText>
        </w:r>
        <w:r w:rsidR="00AF4872" w:rsidRPr="003720AF">
          <w:rPr>
            <w:webHidden/>
          </w:rPr>
        </w:r>
        <w:r w:rsidR="00AF4872" w:rsidRPr="003720AF">
          <w:rPr>
            <w:webHidden/>
          </w:rPr>
          <w:fldChar w:fldCharType="separate"/>
        </w:r>
        <w:r w:rsidR="00F6014F">
          <w:rPr>
            <w:webHidden/>
          </w:rPr>
          <w:t>1</w:t>
        </w:r>
        <w:r w:rsidR="00AF4872" w:rsidRPr="003720AF">
          <w:rPr>
            <w:webHidden/>
          </w:rPr>
          <w:fldChar w:fldCharType="end"/>
        </w:r>
      </w:hyperlink>
    </w:p>
    <w:p w14:paraId="233B65A8" w14:textId="77777777" w:rsidR="00AF4872" w:rsidRPr="003720AF" w:rsidRDefault="00154F49">
      <w:pPr>
        <w:pStyle w:val="TOC1"/>
        <w:rPr>
          <w:rFonts w:asciiTheme="minorHAnsi" w:eastAsiaTheme="minorEastAsia" w:hAnsiTheme="minorHAnsi"/>
          <w:b w:val="0"/>
          <w:color w:val="auto"/>
          <w:sz w:val="22"/>
          <w:lang w:eastAsia="en-NZ"/>
        </w:rPr>
      </w:pPr>
      <w:hyperlink w:anchor="_Toc463856026" w:history="1">
        <w:r w:rsidR="00AF4872" w:rsidRPr="003720AF">
          <w:rPr>
            <w:rStyle w:val="Hyperlink"/>
            <w:u w:color="0097DB"/>
          </w:rPr>
          <w:t>1.</w:t>
        </w:r>
        <w:r w:rsidR="00AF4872" w:rsidRPr="003720AF">
          <w:rPr>
            <w:rFonts w:asciiTheme="minorHAnsi" w:eastAsiaTheme="minorEastAsia" w:hAnsiTheme="minorHAnsi"/>
            <w:b w:val="0"/>
            <w:color w:val="auto"/>
            <w:sz w:val="22"/>
            <w:lang w:eastAsia="en-NZ"/>
          </w:rPr>
          <w:tab/>
        </w:r>
        <w:r w:rsidR="00AF4872" w:rsidRPr="003720AF">
          <w:rPr>
            <w:rStyle w:val="Hyperlink"/>
          </w:rPr>
          <w:t>INTRODUCTION</w:t>
        </w:r>
        <w:r w:rsidR="00AF4872" w:rsidRPr="003720AF">
          <w:rPr>
            <w:webHidden/>
          </w:rPr>
          <w:tab/>
        </w:r>
        <w:r w:rsidR="00AF4872" w:rsidRPr="003720AF">
          <w:rPr>
            <w:webHidden/>
          </w:rPr>
          <w:fldChar w:fldCharType="begin"/>
        </w:r>
        <w:r w:rsidR="00AF4872" w:rsidRPr="003720AF">
          <w:rPr>
            <w:webHidden/>
          </w:rPr>
          <w:instrText xml:space="preserve"> PAGEREF _Toc463856026 \h </w:instrText>
        </w:r>
        <w:r w:rsidR="00AF4872" w:rsidRPr="003720AF">
          <w:rPr>
            <w:webHidden/>
          </w:rPr>
        </w:r>
        <w:r w:rsidR="00AF4872" w:rsidRPr="003720AF">
          <w:rPr>
            <w:webHidden/>
          </w:rPr>
          <w:fldChar w:fldCharType="separate"/>
        </w:r>
        <w:r w:rsidR="00F6014F">
          <w:rPr>
            <w:webHidden/>
          </w:rPr>
          <w:t>3</w:t>
        </w:r>
        <w:r w:rsidR="00AF4872" w:rsidRPr="003720AF">
          <w:rPr>
            <w:webHidden/>
          </w:rPr>
          <w:fldChar w:fldCharType="end"/>
        </w:r>
      </w:hyperlink>
    </w:p>
    <w:p w14:paraId="38B798DA" w14:textId="77777777" w:rsidR="00AF4872" w:rsidRPr="003720AF" w:rsidRDefault="00154F49">
      <w:pPr>
        <w:pStyle w:val="TOC1"/>
        <w:rPr>
          <w:rFonts w:asciiTheme="minorHAnsi" w:eastAsiaTheme="minorEastAsia" w:hAnsiTheme="minorHAnsi"/>
          <w:b w:val="0"/>
          <w:color w:val="auto"/>
          <w:sz w:val="22"/>
          <w:lang w:eastAsia="en-NZ"/>
        </w:rPr>
      </w:pPr>
      <w:hyperlink w:anchor="_Toc463856027" w:history="1">
        <w:r w:rsidR="00AF4872" w:rsidRPr="003720AF">
          <w:rPr>
            <w:rStyle w:val="Hyperlink"/>
            <w:u w:color="0097DB"/>
          </w:rPr>
          <w:t>2.</w:t>
        </w:r>
        <w:r w:rsidR="00AF4872" w:rsidRPr="003720AF">
          <w:rPr>
            <w:rFonts w:asciiTheme="minorHAnsi" w:eastAsiaTheme="minorEastAsia" w:hAnsiTheme="minorHAnsi"/>
            <w:b w:val="0"/>
            <w:color w:val="auto"/>
            <w:sz w:val="22"/>
            <w:lang w:eastAsia="en-NZ"/>
          </w:rPr>
          <w:tab/>
        </w:r>
        <w:r w:rsidR="00AF4872" w:rsidRPr="003720AF">
          <w:rPr>
            <w:rStyle w:val="Hyperlink"/>
          </w:rPr>
          <w:t>EXISTING CLANDESTINE LABORATORY GUIDELINES</w:t>
        </w:r>
        <w:r w:rsidR="00AF4872" w:rsidRPr="003720AF">
          <w:rPr>
            <w:webHidden/>
          </w:rPr>
          <w:tab/>
        </w:r>
        <w:r w:rsidR="00AF4872" w:rsidRPr="003720AF">
          <w:rPr>
            <w:webHidden/>
          </w:rPr>
          <w:fldChar w:fldCharType="begin"/>
        </w:r>
        <w:r w:rsidR="00AF4872" w:rsidRPr="003720AF">
          <w:rPr>
            <w:webHidden/>
          </w:rPr>
          <w:instrText xml:space="preserve"> PAGEREF _Toc463856027 \h </w:instrText>
        </w:r>
        <w:r w:rsidR="00AF4872" w:rsidRPr="003720AF">
          <w:rPr>
            <w:webHidden/>
          </w:rPr>
        </w:r>
        <w:r w:rsidR="00AF4872" w:rsidRPr="003720AF">
          <w:rPr>
            <w:webHidden/>
          </w:rPr>
          <w:fldChar w:fldCharType="separate"/>
        </w:r>
        <w:r w:rsidR="00F6014F">
          <w:rPr>
            <w:webHidden/>
          </w:rPr>
          <w:t>5</w:t>
        </w:r>
        <w:r w:rsidR="00AF4872" w:rsidRPr="003720AF">
          <w:rPr>
            <w:webHidden/>
          </w:rPr>
          <w:fldChar w:fldCharType="end"/>
        </w:r>
      </w:hyperlink>
    </w:p>
    <w:p w14:paraId="766FAD39"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28" w:history="1">
        <w:r w:rsidR="00AF4872" w:rsidRPr="003720AF">
          <w:rPr>
            <w:rStyle w:val="Hyperlink"/>
          </w:rPr>
          <w:t>2.1</w:t>
        </w:r>
        <w:r w:rsidR="00AF4872" w:rsidRPr="003720AF">
          <w:rPr>
            <w:rFonts w:asciiTheme="minorHAnsi" w:eastAsiaTheme="minorEastAsia" w:hAnsiTheme="minorHAnsi"/>
            <w:b w:val="0"/>
            <w:caps w:val="0"/>
            <w:lang w:eastAsia="en-NZ"/>
          </w:rPr>
          <w:tab/>
        </w:r>
        <w:r w:rsidR="00AF4872" w:rsidRPr="003720AF">
          <w:rPr>
            <w:rStyle w:val="Hyperlink"/>
          </w:rPr>
          <w:t>Analytical vs Health-Based Standards</w:t>
        </w:r>
        <w:r w:rsidR="00AF4872" w:rsidRPr="003720AF">
          <w:rPr>
            <w:webHidden/>
          </w:rPr>
          <w:tab/>
        </w:r>
        <w:r w:rsidR="00AF4872" w:rsidRPr="003720AF">
          <w:rPr>
            <w:webHidden/>
          </w:rPr>
          <w:fldChar w:fldCharType="begin"/>
        </w:r>
        <w:r w:rsidR="00AF4872" w:rsidRPr="003720AF">
          <w:rPr>
            <w:webHidden/>
          </w:rPr>
          <w:instrText xml:space="preserve"> PAGEREF _Toc463856028 \h </w:instrText>
        </w:r>
        <w:r w:rsidR="00AF4872" w:rsidRPr="003720AF">
          <w:rPr>
            <w:webHidden/>
          </w:rPr>
        </w:r>
        <w:r w:rsidR="00AF4872" w:rsidRPr="003720AF">
          <w:rPr>
            <w:webHidden/>
          </w:rPr>
          <w:fldChar w:fldCharType="separate"/>
        </w:r>
        <w:r w:rsidR="00F6014F">
          <w:rPr>
            <w:webHidden/>
          </w:rPr>
          <w:t>5</w:t>
        </w:r>
        <w:r w:rsidR="00AF4872" w:rsidRPr="003720AF">
          <w:rPr>
            <w:webHidden/>
          </w:rPr>
          <w:fldChar w:fldCharType="end"/>
        </w:r>
      </w:hyperlink>
    </w:p>
    <w:p w14:paraId="35554F3B"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29" w:history="1">
        <w:r w:rsidR="00AF4872" w:rsidRPr="003720AF">
          <w:rPr>
            <w:rStyle w:val="Hyperlink"/>
          </w:rPr>
          <w:t>2.2</w:t>
        </w:r>
        <w:r w:rsidR="00AF4872" w:rsidRPr="003720AF">
          <w:rPr>
            <w:rFonts w:asciiTheme="minorHAnsi" w:eastAsiaTheme="minorEastAsia" w:hAnsiTheme="minorHAnsi"/>
            <w:b w:val="0"/>
            <w:caps w:val="0"/>
            <w:lang w:eastAsia="en-NZ"/>
          </w:rPr>
          <w:tab/>
        </w:r>
        <w:r w:rsidR="00AF4872" w:rsidRPr="003720AF">
          <w:rPr>
            <w:rStyle w:val="Hyperlink"/>
          </w:rPr>
          <w:t>New Zealand</w:t>
        </w:r>
        <w:r w:rsidR="00AF4872" w:rsidRPr="003720AF">
          <w:rPr>
            <w:webHidden/>
          </w:rPr>
          <w:tab/>
        </w:r>
        <w:r w:rsidR="00AF4872" w:rsidRPr="003720AF">
          <w:rPr>
            <w:webHidden/>
          </w:rPr>
          <w:fldChar w:fldCharType="begin"/>
        </w:r>
        <w:r w:rsidR="00AF4872" w:rsidRPr="003720AF">
          <w:rPr>
            <w:webHidden/>
          </w:rPr>
          <w:instrText xml:space="preserve"> PAGEREF _Toc463856029 \h </w:instrText>
        </w:r>
        <w:r w:rsidR="00AF4872" w:rsidRPr="003720AF">
          <w:rPr>
            <w:webHidden/>
          </w:rPr>
        </w:r>
        <w:r w:rsidR="00AF4872" w:rsidRPr="003720AF">
          <w:rPr>
            <w:webHidden/>
          </w:rPr>
          <w:fldChar w:fldCharType="separate"/>
        </w:r>
        <w:r w:rsidR="00F6014F">
          <w:rPr>
            <w:webHidden/>
          </w:rPr>
          <w:t>8</w:t>
        </w:r>
        <w:r w:rsidR="00AF4872" w:rsidRPr="003720AF">
          <w:rPr>
            <w:webHidden/>
          </w:rPr>
          <w:fldChar w:fldCharType="end"/>
        </w:r>
      </w:hyperlink>
    </w:p>
    <w:p w14:paraId="24CD5716"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30" w:history="1">
        <w:r w:rsidR="00AF4872" w:rsidRPr="003720AF">
          <w:rPr>
            <w:rStyle w:val="Hyperlink"/>
          </w:rPr>
          <w:t>2.3</w:t>
        </w:r>
        <w:r w:rsidR="00AF4872" w:rsidRPr="003720AF">
          <w:rPr>
            <w:rFonts w:asciiTheme="minorHAnsi" w:eastAsiaTheme="minorEastAsia" w:hAnsiTheme="minorHAnsi"/>
            <w:b w:val="0"/>
            <w:caps w:val="0"/>
            <w:lang w:eastAsia="en-NZ"/>
          </w:rPr>
          <w:tab/>
        </w:r>
        <w:r w:rsidR="00AF4872" w:rsidRPr="003720AF">
          <w:rPr>
            <w:rStyle w:val="Hyperlink"/>
          </w:rPr>
          <w:t>AUSTRALIA</w:t>
        </w:r>
        <w:r w:rsidR="00AF4872" w:rsidRPr="003720AF">
          <w:rPr>
            <w:webHidden/>
          </w:rPr>
          <w:tab/>
        </w:r>
        <w:r w:rsidR="00AF4872" w:rsidRPr="003720AF">
          <w:rPr>
            <w:webHidden/>
          </w:rPr>
          <w:fldChar w:fldCharType="begin"/>
        </w:r>
        <w:r w:rsidR="00AF4872" w:rsidRPr="003720AF">
          <w:rPr>
            <w:webHidden/>
          </w:rPr>
          <w:instrText xml:space="preserve"> PAGEREF _Toc463856030 \h </w:instrText>
        </w:r>
        <w:r w:rsidR="00AF4872" w:rsidRPr="003720AF">
          <w:rPr>
            <w:webHidden/>
          </w:rPr>
        </w:r>
        <w:r w:rsidR="00AF4872" w:rsidRPr="003720AF">
          <w:rPr>
            <w:webHidden/>
          </w:rPr>
          <w:fldChar w:fldCharType="separate"/>
        </w:r>
        <w:r w:rsidR="00F6014F">
          <w:rPr>
            <w:webHidden/>
          </w:rPr>
          <w:t>9</w:t>
        </w:r>
        <w:r w:rsidR="00AF4872" w:rsidRPr="003720AF">
          <w:rPr>
            <w:webHidden/>
          </w:rPr>
          <w:fldChar w:fldCharType="end"/>
        </w:r>
      </w:hyperlink>
    </w:p>
    <w:p w14:paraId="7492B9DC"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31" w:history="1">
        <w:r w:rsidR="00AF4872" w:rsidRPr="003720AF">
          <w:rPr>
            <w:rStyle w:val="Hyperlink"/>
          </w:rPr>
          <w:t>2.4</w:t>
        </w:r>
        <w:r w:rsidR="00AF4872" w:rsidRPr="003720AF">
          <w:rPr>
            <w:rFonts w:asciiTheme="minorHAnsi" w:eastAsiaTheme="minorEastAsia" w:hAnsiTheme="minorHAnsi"/>
            <w:b w:val="0"/>
            <w:caps w:val="0"/>
            <w:lang w:eastAsia="en-NZ"/>
          </w:rPr>
          <w:tab/>
        </w:r>
        <w:r w:rsidR="00AF4872" w:rsidRPr="003720AF">
          <w:rPr>
            <w:rStyle w:val="Hyperlink"/>
          </w:rPr>
          <w:t>USA</w:t>
        </w:r>
        <w:r w:rsidR="00AF4872" w:rsidRPr="003720AF">
          <w:rPr>
            <w:webHidden/>
          </w:rPr>
          <w:tab/>
        </w:r>
        <w:r w:rsidR="00AF4872" w:rsidRPr="003720AF">
          <w:rPr>
            <w:webHidden/>
          </w:rPr>
          <w:fldChar w:fldCharType="begin"/>
        </w:r>
        <w:r w:rsidR="00AF4872" w:rsidRPr="003720AF">
          <w:rPr>
            <w:webHidden/>
          </w:rPr>
          <w:instrText xml:space="preserve"> PAGEREF _Toc463856031 \h </w:instrText>
        </w:r>
        <w:r w:rsidR="00AF4872" w:rsidRPr="003720AF">
          <w:rPr>
            <w:webHidden/>
          </w:rPr>
        </w:r>
        <w:r w:rsidR="00AF4872" w:rsidRPr="003720AF">
          <w:rPr>
            <w:webHidden/>
          </w:rPr>
          <w:fldChar w:fldCharType="separate"/>
        </w:r>
        <w:r w:rsidR="00F6014F">
          <w:rPr>
            <w:webHidden/>
          </w:rPr>
          <w:t>9</w:t>
        </w:r>
        <w:r w:rsidR="00AF4872" w:rsidRPr="003720AF">
          <w:rPr>
            <w:webHidden/>
          </w:rPr>
          <w:fldChar w:fldCharType="end"/>
        </w:r>
      </w:hyperlink>
    </w:p>
    <w:p w14:paraId="3BF12914" w14:textId="77777777" w:rsidR="00AF4872" w:rsidRPr="003720AF" w:rsidRDefault="00154F49">
      <w:pPr>
        <w:pStyle w:val="TOC3"/>
        <w:tabs>
          <w:tab w:val="left" w:pos="1843"/>
        </w:tabs>
        <w:rPr>
          <w:rFonts w:asciiTheme="minorHAnsi" w:eastAsiaTheme="minorEastAsia" w:hAnsiTheme="minorHAnsi" w:cstheme="minorBidi"/>
          <w:b w:val="0"/>
          <w:noProof/>
          <w:szCs w:val="22"/>
          <w:lang w:eastAsia="en-NZ"/>
        </w:rPr>
      </w:pPr>
      <w:hyperlink w:anchor="_Toc463856032" w:history="1">
        <w:r w:rsidR="00AF4872" w:rsidRPr="003720AF">
          <w:rPr>
            <w:rStyle w:val="Hyperlink"/>
            <w:rFonts w:ascii="Arial Bold" w:hAnsi="Arial Bold"/>
          </w:rPr>
          <w:t>2.4.1</w:t>
        </w:r>
        <w:r w:rsidR="00AF4872" w:rsidRPr="003720AF">
          <w:rPr>
            <w:rFonts w:asciiTheme="minorHAnsi" w:eastAsiaTheme="minorEastAsia" w:hAnsiTheme="minorHAnsi" w:cstheme="minorBidi"/>
            <w:b w:val="0"/>
            <w:noProof/>
            <w:szCs w:val="22"/>
            <w:lang w:eastAsia="en-NZ"/>
          </w:rPr>
          <w:tab/>
        </w:r>
        <w:r w:rsidR="00AF4872" w:rsidRPr="003720AF">
          <w:rPr>
            <w:rStyle w:val="Hyperlink"/>
          </w:rPr>
          <w:t>California</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_Toc463856032 \h </w:instrText>
        </w:r>
        <w:r w:rsidR="00AF4872" w:rsidRPr="003720AF">
          <w:rPr>
            <w:noProof/>
            <w:webHidden/>
          </w:rPr>
        </w:r>
        <w:r w:rsidR="00AF4872" w:rsidRPr="003720AF">
          <w:rPr>
            <w:noProof/>
            <w:webHidden/>
          </w:rPr>
          <w:fldChar w:fldCharType="separate"/>
        </w:r>
        <w:r w:rsidR="00F6014F">
          <w:rPr>
            <w:noProof/>
            <w:webHidden/>
          </w:rPr>
          <w:t>10</w:t>
        </w:r>
        <w:r w:rsidR="00AF4872" w:rsidRPr="003720AF">
          <w:rPr>
            <w:noProof/>
            <w:webHidden/>
          </w:rPr>
          <w:fldChar w:fldCharType="end"/>
        </w:r>
      </w:hyperlink>
    </w:p>
    <w:p w14:paraId="2DC1BD5B" w14:textId="77777777" w:rsidR="00AF4872" w:rsidRPr="003720AF" w:rsidRDefault="00154F49">
      <w:pPr>
        <w:pStyle w:val="TOC3"/>
        <w:tabs>
          <w:tab w:val="left" w:pos="1843"/>
        </w:tabs>
        <w:rPr>
          <w:rFonts w:asciiTheme="minorHAnsi" w:eastAsiaTheme="minorEastAsia" w:hAnsiTheme="minorHAnsi" w:cstheme="minorBidi"/>
          <w:b w:val="0"/>
          <w:noProof/>
          <w:szCs w:val="22"/>
          <w:lang w:eastAsia="en-NZ"/>
        </w:rPr>
      </w:pPr>
      <w:hyperlink w:anchor="_Toc463856033" w:history="1">
        <w:r w:rsidR="00AF4872" w:rsidRPr="003720AF">
          <w:rPr>
            <w:rStyle w:val="Hyperlink"/>
            <w:rFonts w:ascii="Arial Bold" w:hAnsi="Arial Bold"/>
          </w:rPr>
          <w:t>2.4.2</w:t>
        </w:r>
        <w:r w:rsidR="00AF4872" w:rsidRPr="003720AF">
          <w:rPr>
            <w:rFonts w:asciiTheme="minorHAnsi" w:eastAsiaTheme="minorEastAsia" w:hAnsiTheme="minorHAnsi" w:cstheme="minorBidi"/>
            <w:b w:val="0"/>
            <w:noProof/>
            <w:szCs w:val="22"/>
            <w:lang w:eastAsia="en-NZ"/>
          </w:rPr>
          <w:tab/>
        </w:r>
        <w:r w:rsidR="00AF4872" w:rsidRPr="003720AF">
          <w:rPr>
            <w:rStyle w:val="Hyperlink"/>
          </w:rPr>
          <w:t>Colorado</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_Toc463856033 \h </w:instrText>
        </w:r>
        <w:r w:rsidR="00AF4872" w:rsidRPr="003720AF">
          <w:rPr>
            <w:noProof/>
            <w:webHidden/>
          </w:rPr>
        </w:r>
        <w:r w:rsidR="00AF4872" w:rsidRPr="003720AF">
          <w:rPr>
            <w:noProof/>
            <w:webHidden/>
          </w:rPr>
          <w:fldChar w:fldCharType="separate"/>
        </w:r>
        <w:r w:rsidR="00F6014F">
          <w:rPr>
            <w:noProof/>
            <w:webHidden/>
          </w:rPr>
          <w:t>12</w:t>
        </w:r>
        <w:r w:rsidR="00AF4872" w:rsidRPr="003720AF">
          <w:rPr>
            <w:noProof/>
            <w:webHidden/>
          </w:rPr>
          <w:fldChar w:fldCharType="end"/>
        </w:r>
      </w:hyperlink>
    </w:p>
    <w:p w14:paraId="7C8A24C5" w14:textId="77777777" w:rsidR="00AF4872" w:rsidRPr="003720AF" w:rsidRDefault="00154F49">
      <w:pPr>
        <w:pStyle w:val="TOC1"/>
        <w:rPr>
          <w:rFonts w:asciiTheme="minorHAnsi" w:eastAsiaTheme="minorEastAsia" w:hAnsiTheme="minorHAnsi"/>
          <w:b w:val="0"/>
          <w:color w:val="auto"/>
          <w:sz w:val="22"/>
          <w:lang w:eastAsia="en-NZ"/>
        </w:rPr>
      </w:pPr>
      <w:hyperlink w:anchor="_Toc463856034" w:history="1">
        <w:r w:rsidR="00AF4872" w:rsidRPr="003720AF">
          <w:rPr>
            <w:rStyle w:val="Hyperlink"/>
            <w:u w:color="0097DB"/>
          </w:rPr>
          <w:t>3.</w:t>
        </w:r>
        <w:r w:rsidR="00AF4872" w:rsidRPr="003720AF">
          <w:rPr>
            <w:rFonts w:asciiTheme="minorHAnsi" w:eastAsiaTheme="minorEastAsia" w:hAnsiTheme="minorHAnsi"/>
            <w:b w:val="0"/>
            <w:color w:val="auto"/>
            <w:sz w:val="22"/>
            <w:lang w:eastAsia="en-NZ"/>
          </w:rPr>
          <w:tab/>
        </w:r>
        <w:r w:rsidR="00AF4872" w:rsidRPr="003720AF">
          <w:rPr>
            <w:rStyle w:val="Hyperlink"/>
          </w:rPr>
          <w:t>CLAN LABS VS NON-LABORATORY REMEDIATED HOUSES</w:t>
        </w:r>
        <w:r w:rsidR="00AF4872" w:rsidRPr="003720AF">
          <w:rPr>
            <w:webHidden/>
          </w:rPr>
          <w:tab/>
        </w:r>
        <w:r w:rsidR="00AF4872" w:rsidRPr="003720AF">
          <w:rPr>
            <w:webHidden/>
          </w:rPr>
          <w:fldChar w:fldCharType="begin"/>
        </w:r>
        <w:r w:rsidR="00AF4872" w:rsidRPr="003720AF">
          <w:rPr>
            <w:webHidden/>
          </w:rPr>
          <w:instrText xml:space="preserve"> PAGEREF _Toc463856034 \h </w:instrText>
        </w:r>
        <w:r w:rsidR="00AF4872" w:rsidRPr="003720AF">
          <w:rPr>
            <w:webHidden/>
          </w:rPr>
        </w:r>
        <w:r w:rsidR="00AF4872" w:rsidRPr="003720AF">
          <w:rPr>
            <w:webHidden/>
          </w:rPr>
          <w:fldChar w:fldCharType="separate"/>
        </w:r>
        <w:r w:rsidR="00F6014F">
          <w:rPr>
            <w:webHidden/>
          </w:rPr>
          <w:t>13</w:t>
        </w:r>
        <w:r w:rsidR="00AF4872" w:rsidRPr="003720AF">
          <w:rPr>
            <w:webHidden/>
          </w:rPr>
          <w:fldChar w:fldCharType="end"/>
        </w:r>
      </w:hyperlink>
    </w:p>
    <w:p w14:paraId="5AB19C2A" w14:textId="77777777" w:rsidR="00AF4872" w:rsidRPr="003720AF" w:rsidRDefault="00154F49">
      <w:pPr>
        <w:pStyle w:val="TOC1"/>
        <w:rPr>
          <w:rFonts w:asciiTheme="minorHAnsi" w:eastAsiaTheme="minorEastAsia" w:hAnsiTheme="minorHAnsi"/>
          <w:b w:val="0"/>
          <w:color w:val="auto"/>
          <w:sz w:val="22"/>
          <w:lang w:eastAsia="en-NZ"/>
        </w:rPr>
      </w:pPr>
      <w:hyperlink w:anchor="_Toc463856035" w:history="1">
        <w:r w:rsidR="00AF4872" w:rsidRPr="003720AF">
          <w:rPr>
            <w:rStyle w:val="Hyperlink"/>
            <w:u w:color="0097DB"/>
          </w:rPr>
          <w:t>4.</w:t>
        </w:r>
        <w:r w:rsidR="00AF4872" w:rsidRPr="003720AF">
          <w:rPr>
            <w:rFonts w:asciiTheme="minorHAnsi" w:eastAsiaTheme="minorEastAsia" w:hAnsiTheme="minorHAnsi"/>
            <w:b w:val="0"/>
            <w:color w:val="auto"/>
            <w:sz w:val="22"/>
            <w:lang w:eastAsia="en-NZ"/>
          </w:rPr>
          <w:tab/>
        </w:r>
        <w:r w:rsidR="00AF4872" w:rsidRPr="003720AF">
          <w:rPr>
            <w:rStyle w:val="Hyperlink"/>
          </w:rPr>
          <w:t>RISK ASSESSMENT</w:t>
        </w:r>
        <w:r w:rsidR="00AF4872" w:rsidRPr="003720AF">
          <w:rPr>
            <w:webHidden/>
          </w:rPr>
          <w:tab/>
        </w:r>
        <w:r w:rsidR="00AF4872" w:rsidRPr="003720AF">
          <w:rPr>
            <w:webHidden/>
          </w:rPr>
          <w:fldChar w:fldCharType="begin"/>
        </w:r>
        <w:r w:rsidR="00AF4872" w:rsidRPr="003720AF">
          <w:rPr>
            <w:webHidden/>
          </w:rPr>
          <w:instrText xml:space="preserve"> PAGEREF _Toc463856035 \h </w:instrText>
        </w:r>
        <w:r w:rsidR="00AF4872" w:rsidRPr="003720AF">
          <w:rPr>
            <w:webHidden/>
          </w:rPr>
        </w:r>
        <w:r w:rsidR="00AF4872" w:rsidRPr="003720AF">
          <w:rPr>
            <w:webHidden/>
          </w:rPr>
          <w:fldChar w:fldCharType="separate"/>
        </w:r>
        <w:r w:rsidR="00F6014F">
          <w:rPr>
            <w:webHidden/>
          </w:rPr>
          <w:t>17</w:t>
        </w:r>
        <w:r w:rsidR="00AF4872" w:rsidRPr="003720AF">
          <w:rPr>
            <w:webHidden/>
          </w:rPr>
          <w:fldChar w:fldCharType="end"/>
        </w:r>
      </w:hyperlink>
    </w:p>
    <w:p w14:paraId="6AC0E82C"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36" w:history="1">
        <w:r w:rsidR="00AF4872" w:rsidRPr="003720AF">
          <w:rPr>
            <w:rStyle w:val="Hyperlink"/>
          </w:rPr>
          <w:t>4.1</w:t>
        </w:r>
        <w:r w:rsidR="00AF4872" w:rsidRPr="003720AF">
          <w:rPr>
            <w:rFonts w:asciiTheme="minorHAnsi" w:eastAsiaTheme="minorEastAsia" w:hAnsiTheme="minorHAnsi"/>
            <w:b w:val="0"/>
            <w:caps w:val="0"/>
            <w:lang w:eastAsia="en-NZ"/>
          </w:rPr>
          <w:tab/>
        </w:r>
        <w:r w:rsidR="00AF4872" w:rsidRPr="003720AF">
          <w:rPr>
            <w:rStyle w:val="Hyperlink"/>
          </w:rPr>
          <w:t>Hazard Assessment of MA</w:t>
        </w:r>
        <w:r w:rsidR="00AF4872" w:rsidRPr="003720AF">
          <w:rPr>
            <w:webHidden/>
          </w:rPr>
          <w:tab/>
        </w:r>
        <w:r w:rsidR="00AF4872" w:rsidRPr="003720AF">
          <w:rPr>
            <w:webHidden/>
          </w:rPr>
          <w:fldChar w:fldCharType="begin"/>
        </w:r>
        <w:r w:rsidR="00AF4872" w:rsidRPr="003720AF">
          <w:rPr>
            <w:webHidden/>
          </w:rPr>
          <w:instrText xml:space="preserve"> PAGEREF _Toc463856036 \h </w:instrText>
        </w:r>
        <w:r w:rsidR="00AF4872" w:rsidRPr="003720AF">
          <w:rPr>
            <w:webHidden/>
          </w:rPr>
        </w:r>
        <w:r w:rsidR="00AF4872" w:rsidRPr="003720AF">
          <w:rPr>
            <w:webHidden/>
          </w:rPr>
          <w:fldChar w:fldCharType="separate"/>
        </w:r>
        <w:r w:rsidR="00F6014F">
          <w:rPr>
            <w:webHidden/>
          </w:rPr>
          <w:t>17</w:t>
        </w:r>
        <w:r w:rsidR="00AF4872" w:rsidRPr="003720AF">
          <w:rPr>
            <w:webHidden/>
          </w:rPr>
          <w:fldChar w:fldCharType="end"/>
        </w:r>
      </w:hyperlink>
    </w:p>
    <w:p w14:paraId="0597D5ED" w14:textId="77777777" w:rsidR="00AF4872" w:rsidRPr="003720AF" w:rsidRDefault="00154F49">
      <w:pPr>
        <w:pStyle w:val="TOC3"/>
        <w:tabs>
          <w:tab w:val="left" w:pos="1843"/>
        </w:tabs>
        <w:rPr>
          <w:rFonts w:asciiTheme="minorHAnsi" w:eastAsiaTheme="minorEastAsia" w:hAnsiTheme="minorHAnsi" w:cstheme="minorBidi"/>
          <w:b w:val="0"/>
          <w:noProof/>
          <w:szCs w:val="22"/>
          <w:lang w:eastAsia="en-NZ"/>
        </w:rPr>
      </w:pPr>
      <w:hyperlink w:anchor="_Toc463856037" w:history="1">
        <w:r w:rsidR="00AF4872" w:rsidRPr="003720AF">
          <w:rPr>
            <w:rStyle w:val="Hyperlink"/>
            <w:rFonts w:ascii="Arial Bold" w:hAnsi="Arial Bold"/>
          </w:rPr>
          <w:t>4.1.1</w:t>
        </w:r>
        <w:r w:rsidR="00AF4872" w:rsidRPr="003720AF">
          <w:rPr>
            <w:rFonts w:asciiTheme="minorHAnsi" w:eastAsiaTheme="minorEastAsia" w:hAnsiTheme="minorHAnsi" w:cstheme="minorBidi"/>
            <w:b w:val="0"/>
            <w:noProof/>
            <w:szCs w:val="22"/>
            <w:lang w:eastAsia="en-NZ"/>
          </w:rPr>
          <w:tab/>
        </w:r>
        <w:r w:rsidR="00AF4872" w:rsidRPr="003720AF">
          <w:rPr>
            <w:rStyle w:val="Hyperlink"/>
          </w:rPr>
          <w:t>Acute Toxicity</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_Toc463856037 \h </w:instrText>
        </w:r>
        <w:r w:rsidR="00AF4872" w:rsidRPr="003720AF">
          <w:rPr>
            <w:noProof/>
            <w:webHidden/>
          </w:rPr>
        </w:r>
        <w:r w:rsidR="00AF4872" w:rsidRPr="003720AF">
          <w:rPr>
            <w:noProof/>
            <w:webHidden/>
          </w:rPr>
          <w:fldChar w:fldCharType="separate"/>
        </w:r>
        <w:r w:rsidR="00F6014F">
          <w:rPr>
            <w:noProof/>
            <w:webHidden/>
          </w:rPr>
          <w:t>17</w:t>
        </w:r>
        <w:r w:rsidR="00AF4872" w:rsidRPr="003720AF">
          <w:rPr>
            <w:noProof/>
            <w:webHidden/>
          </w:rPr>
          <w:fldChar w:fldCharType="end"/>
        </w:r>
      </w:hyperlink>
    </w:p>
    <w:p w14:paraId="2CF694D4" w14:textId="77777777" w:rsidR="00AF4872" w:rsidRPr="003720AF" w:rsidRDefault="00154F49">
      <w:pPr>
        <w:pStyle w:val="TOC3"/>
        <w:tabs>
          <w:tab w:val="left" w:pos="1843"/>
        </w:tabs>
        <w:rPr>
          <w:rFonts w:asciiTheme="minorHAnsi" w:eastAsiaTheme="minorEastAsia" w:hAnsiTheme="minorHAnsi" w:cstheme="minorBidi"/>
          <w:b w:val="0"/>
          <w:noProof/>
          <w:szCs w:val="22"/>
          <w:lang w:eastAsia="en-NZ"/>
        </w:rPr>
      </w:pPr>
      <w:hyperlink w:anchor="_Toc463856038" w:history="1">
        <w:r w:rsidR="00AF4872" w:rsidRPr="003720AF">
          <w:rPr>
            <w:rStyle w:val="Hyperlink"/>
            <w:rFonts w:ascii="Arial Bold" w:hAnsi="Arial Bold"/>
          </w:rPr>
          <w:t>4.1.2</w:t>
        </w:r>
        <w:r w:rsidR="00AF4872" w:rsidRPr="003720AF">
          <w:rPr>
            <w:rFonts w:asciiTheme="minorHAnsi" w:eastAsiaTheme="minorEastAsia" w:hAnsiTheme="minorHAnsi" w:cstheme="minorBidi"/>
            <w:b w:val="0"/>
            <w:noProof/>
            <w:szCs w:val="22"/>
            <w:lang w:eastAsia="en-NZ"/>
          </w:rPr>
          <w:tab/>
        </w:r>
        <w:r w:rsidR="00AF4872" w:rsidRPr="003720AF">
          <w:rPr>
            <w:rStyle w:val="Hyperlink"/>
          </w:rPr>
          <w:t>Carcinogenicity/Mutagenicity</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_Toc463856038 \h </w:instrText>
        </w:r>
        <w:r w:rsidR="00AF4872" w:rsidRPr="003720AF">
          <w:rPr>
            <w:noProof/>
            <w:webHidden/>
          </w:rPr>
        </w:r>
        <w:r w:rsidR="00AF4872" w:rsidRPr="003720AF">
          <w:rPr>
            <w:noProof/>
            <w:webHidden/>
          </w:rPr>
          <w:fldChar w:fldCharType="separate"/>
        </w:r>
        <w:r w:rsidR="00F6014F">
          <w:rPr>
            <w:noProof/>
            <w:webHidden/>
          </w:rPr>
          <w:t>17</w:t>
        </w:r>
        <w:r w:rsidR="00AF4872" w:rsidRPr="003720AF">
          <w:rPr>
            <w:noProof/>
            <w:webHidden/>
          </w:rPr>
          <w:fldChar w:fldCharType="end"/>
        </w:r>
      </w:hyperlink>
    </w:p>
    <w:p w14:paraId="0AB8578B" w14:textId="77777777" w:rsidR="00AF4872" w:rsidRPr="003720AF" w:rsidRDefault="00154F49">
      <w:pPr>
        <w:pStyle w:val="TOC3"/>
        <w:tabs>
          <w:tab w:val="left" w:pos="1843"/>
        </w:tabs>
        <w:rPr>
          <w:rFonts w:asciiTheme="minorHAnsi" w:eastAsiaTheme="minorEastAsia" w:hAnsiTheme="minorHAnsi" w:cstheme="minorBidi"/>
          <w:b w:val="0"/>
          <w:noProof/>
          <w:szCs w:val="22"/>
          <w:lang w:eastAsia="en-NZ"/>
        </w:rPr>
      </w:pPr>
      <w:hyperlink w:anchor="_Toc463856039" w:history="1">
        <w:r w:rsidR="00AF4872" w:rsidRPr="003720AF">
          <w:rPr>
            <w:rStyle w:val="Hyperlink"/>
            <w:rFonts w:ascii="Arial Bold" w:hAnsi="Arial Bold"/>
          </w:rPr>
          <w:t>4.1.3</w:t>
        </w:r>
        <w:r w:rsidR="00AF4872" w:rsidRPr="003720AF">
          <w:rPr>
            <w:rFonts w:asciiTheme="minorHAnsi" w:eastAsiaTheme="minorEastAsia" w:hAnsiTheme="minorHAnsi" w:cstheme="minorBidi"/>
            <w:b w:val="0"/>
            <w:noProof/>
            <w:szCs w:val="22"/>
            <w:lang w:eastAsia="en-NZ"/>
          </w:rPr>
          <w:tab/>
        </w:r>
        <w:r w:rsidR="00AF4872" w:rsidRPr="003720AF">
          <w:rPr>
            <w:rStyle w:val="Hyperlink"/>
          </w:rPr>
          <w:t>Developmental and Reproductive Toxicity</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_Toc463856039 \h </w:instrText>
        </w:r>
        <w:r w:rsidR="00AF4872" w:rsidRPr="003720AF">
          <w:rPr>
            <w:noProof/>
            <w:webHidden/>
          </w:rPr>
        </w:r>
        <w:r w:rsidR="00AF4872" w:rsidRPr="003720AF">
          <w:rPr>
            <w:noProof/>
            <w:webHidden/>
          </w:rPr>
          <w:fldChar w:fldCharType="separate"/>
        </w:r>
        <w:r w:rsidR="00F6014F">
          <w:rPr>
            <w:noProof/>
            <w:webHidden/>
          </w:rPr>
          <w:t>17</w:t>
        </w:r>
        <w:r w:rsidR="00AF4872" w:rsidRPr="003720AF">
          <w:rPr>
            <w:noProof/>
            <w:webHidden/>
          </w:rPr>
          <w:fldChar w:fldCharType="end"/>
        </w:r>
      </w:hyperlink>
    </w:p>
    <w:p w14:paraId="5D0330C2"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40" w:history="1">
        <w:r w:rsidR="00AF4872" w:rsidRPr="003720AF">
          <w:rPr>
            <w:rStyle w:val="Hyperlink"/>
          </w:rPr>
          <w:t>4.2</w:t>
        </w:r>
        <w:r w:rsidR="00AF4872" w:rsidRPr="003720AF">
          <w:rPr>
            <w:rFonts w:asciiTheme="minorHAnsi" w:eastAsiaTheme="minorEastAsia" w:hAnsiTheme="minorHAnsi"/>
            <w:b w:val="0"/>
            <w:caps w:val="0"/>
            <w:lang w:eastAsia="en-NZ"/>
          </w:rPr>
          <w:tab/>
        </w:r>
        <w:r w:rsidR="00AF4872" w:rsidRPr="003720AF">
          <w:rPr>
            <w:rStyle w:val="Hyperlink"/>
          </w:rPr>
          <w:t>Reference Dose for MA</w:t>
        </w:r>
        <w:r w:rsidR="00AF4872" w:rsidRPr="003720AF">
          <w:rPr>
            <w:webHidden/>
          </w:rPr>
          <w:tab/>
        </w:r>
        <w:r w:rsidR="00AF4872" w:rsidRPr="003720AF">
          <w:rPr>
            <w:webHidden/>
          </w:rPr>
          <w:fldChar w:fldCharType="begin"/>
        </w:r>
        <w:r w:rsidR="00AF4872" w:rsidRPr="003720AF">
          <w:rPr>
            <w:webHidden/>
          </w:rPr>
          <w:instrText xml:space="preserve"> PAGEREF _Toc463856040 \h </w:instrText>
        </w:r>
        <w:r w:rsidR="00AF4872" w:rsidRPr="003720AF">
          <w:rPr>
            <w:webHidden/>
          </w:rPr>
        </w:r>
        <w:r w:rsidR="00AF4872" w:rsidRPr="003720AF">
          <w:rPr>
            <w:webHidden/>
          </w:rPr>
          <w:fldChar w:fldCharType="separate"/>
        </w:r>
        <w:r w:rsidR="00F6014F">
          <w:rPr>
            <w:webHidden/>
          </w:rPr>
          <w:t>19</w:t>
        </w:r>
        <w:r w:rsidR="00AF4872" w:rsidRPr="003720AF">
          <w:rPr>
            <w:webHidden/>
          </w:rPr>
          <w:fldChar w:fldCharType="end"/>
        </w:r>
      </w:hyperlink>
    </w:p>
    <w:p w14:paraId="5E726455" w14:textId="77777777" w:rsidR="00AF4872" w:rsidRPr="003720AF" w:rsidRDefault="00154F49">
      <w:pPr>
        <w:pStyle w:val="TOC3"/>
        <w:tabs>
          <w:tab w:val="left" w:pos="1843"/>
        </w:tabs>
        <w:rPr>
          <w:rFonts w:asciiTheme="minorHAnsi" w:eastAsiaTheme="minorEastAsia" w:hAnsiTheme="minorHAnsi" w:cstheme="minorBidi"/>
          <w:b w:val="0"/>
          <w:noProof/>
          <w:szCs w:val="22"/>
          <w:lang w:eastAsia="en-NZ"/>
        </w:rPr>
      </w:pPr>
      <w:hyperlink w:anchor="_Toc463856041" w:history="1">
        <w:r w:rsidR="00AF4872" w:rsidRPr="003720AF">
          <w:rPr>
            <w:rStyle w:val="Hyperlink"/>
            <w:rFonts w:ascii="Arial Bold" w:hAnsi="Arial Bold"/>
          </w:rPr>
          <w:t>4.2.1</w:t>
        </w:r>
        <w:r w:rsidR="00AF4872" w:rsidRPr="003720AF">
          <w:rPr>
            <w:rFonts w:asciiTheme="minorHAnsi" w:eastAsiaTheme="minorEastAsia" w:hAnsiTheme="minorHAnsi" w:cstheme="minorBidi"/>
            <w:b w:val="0"/>
            <w:noProof/>
            <w:szCs w:val="22"/>
            <w:lang w:eastAsia="en-NZ"/>
          </w:rPr>
          <w:tab/>
        </w:r>
        <w:r w:rsidR="00AF4872" w:rsidRPr="003720AF">
          <w:rPr>
            <w:rStyle w:val="Hyperlink"/>
          </w:rPr>
          <w:t>Reference Dose (RfD)/HBEV</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_Toc463856041 \h </w:instrText>
        </w:r>
        <w:r w:rsidR="00AF4872" w:rsidRPr="003720AF">
          <w:rPr>
            <w:noProof/>
            <w:webHidden/>
          </w:rPr>
        </w:r>
        <w:r w:rsidR="00AF4872" w:rsidRPr="003720AF">
          <w:rPr>
            <w:noProof/>
            <w:webHidden/>
          </w:rPr>
          <w:fldChar w:fldCharType="separate"/>
        </w:r>
        <w:r w:rsidR="00F6014F">
          <w:rPr>
            <w:noProof/>
            <w:webHidden/>
          </w:rPr>
          <w:t>21</w:t>
        </w:r>
        <w:r w:rsidR="00AF4872" w:rsidRPr="003720AF">
          <w:rPr>
            <w:noProof/>
            <w:webHidden/>
          </w:rPr>
          <w:fldChar w:fldCharType="end"/>
        </w:r>
      </w:hyperlink>
    </w:p>
    <w:p w14:paraId="657FF342" w14:textId="77777777" w:rsidR="00AF4872" w:rsidRPr="003720AF" w:rsidRDefault="00154F49">
      <w:pPr>
        <w:pStyle w:val="TOC3"/>
        <w:tabs>
          <w:tab w:val="left" w:pos="1843"/>
        </w:tabs>
        <w:rPr>
          <w:rFonts w:asciiTheme="minorHAnsi" w:eastAsiaTheme="minorEastAsia" w:hAnsiTheme="minorHAnsi" w:cstheme="minorBidi"/>
          <w:b w:val="0"/>
          <w:noProof/>
          <w:szCs w:val="22"/>
          <w:lang w:eastAsia="en-NZ"/>
        </w:rPr>
      </w:pPr>
      <w:hyperlink w:anchor="_Toc463856042" w:history="1">
        <w:r w:rsidR="00AF4872" w:rsidRPr="003720AF">
          <w:rPr>
            <w:rStyle w:val="Hyperlink"/>
            <w:rFonts w:ascii="Arial Bold" w:hAnsi="Arial Bold"/>
          </w:rPr>
          <w:t>4.2.2</w:t>
        </w:r>
        <w:r w:rsidR="00AF4872" w:rsidRPr="003720AF">
          <w:rPr>
            <w:rFonts w:asciiTheme="minorHAnsi" w:eastAsiaTheme="minorEastAsia" w:hAnsiTheme="minorHAnsi" w:cstheme="minorBidi"/>
            <w:b w:val="0"/>
            <w:noProof/>
            <w:szCs w:val="22"/>
            <w:lang w:eastAsia="en-NZ"/>
          </w:rPr>
          <w:tab/>
        </w:r>
        <w:r w:rsidR="00AF4872" w:rsidRPr="003720AF">
          <w:rPr>
            <w:rStyle w:val="Hyperlink"/>
          </w:rPr>
          <w:t>RfD Summary and Conclusions</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_Toc463856042 \h </w:instrText>
        </w:r>
        <w:r w:rsidR="00AF4872" w:rsidRPr="003720AF">
          <w:rPr>
            <w:noProof/>
            <w:webHidden/>
          </w:rPr>
        </w:r>
        <w:r w:rsidR="00AF4872" w:rsidRPr="003720AF">
          <w:rPr>
            <w:noProof/>
            <w:webHidden/>
          </w:rPr>
          <w:fldChar w:fldCharType="separate"/>
        </w:r>
        <w:r w:rsidR="00F6014F">
          <w:rPr>
            <w:noProof/>
            <w:webHidden/>
          </w:rPr>
          <w:t>24</w:t>
        </w:r>
        <w:r w:rsidR="00AF4872" w:rsidRPr="003720AF">
          <w:rPr>
            <w:noProof/>
            <w:webHidden/>
          </w:rPr>
          <w:fldChar w:fldCharType="end"/>
        </w:r>
      </w:hyperlink>
    </w:p>
    <w:p w14:paraId="78A417C5"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43" w:history="1">
        <w:r w:rsidR="00AF4872" w:rsidRPr="003720AF">
          <w:rPr>
            <w:rStyle w:val="Hyperlink"/>
          </w:rPr>
          <w:t>4.3</w:t>
        </w:r>
        <w:r w:rsidR="00AF4872" w:rsidRPr="003720AF">
          <w:rPr>
            <w:rFonts w:asciiTheme="minorHAnsi" w:eastAsiaTheme="minorEastAsia" w:hAnsiTheme="minorHAnsi"/>
            <w:b w:val="0"/>
            <w:caps w:val="0"/>
            <w:lang w:eastAsia="en-NZ"/>
          </w:rPr>
          <w:tab/>
        </w:r>
        <w:r w:rsidR="00AF4872" w:rsidRPr="003720AF">
          <w:rPr>
            <w:rStyle w:val="Hyperlink"/>
          </w:rPr>
          <w:t>Exposure Assessment</w:t>
        </w:r>
        <w:r w:rsidR="00AF4872" w:rsidRPr="003720AF">
          <w:rPr>
            <w:webHidden/>
          </w:rPr>
          <w:tab/>
        </w:r>
        <w:r w:rsidR="00AF4872" w:rsidRPr="003720AF">
          <w:rPr>
            <w:webHidden/>
          </w:rPr>
          <w:fldChar w:fldCharType="begin"/>
        </w:r>
        <w:r w:rsidR="00AF4872" w:rsidRPr="003720AF">
          <w:rPr>
            <w:webHidden/>
          </w:rPr>
          <w:instrText xml:space="preserve"> PAGEREF _Toc463856043 \h </w:instrText>
        </w:r>
        <w:r w:rsidR="00AF4872" w:rsidRPr="003720AF">
          <w:rPr>
            <w:webHidden/>
          </w:rPr>
        </w:r>
        <w:r w:rsidR="00AF4872" w:rsidRPr="003720AF">
          <w:rPr>
            <w:webHidden/>
          </w:rPr>
          <w:fldChar w:fldCharType="separate"/>
        </w:r>
        <w:r w:rsidR="00F6014F">
          <w:rPr>
            <w:webHidden/>
          </w:rPr>
          <w:t>25</w:t>
        </w:r>
        <w:r w:rsidR="00AF4872" w:rsidRPr="003720AF">
          <w:rPr>
            <w:webHidden/>
          </w:rPr>
          <w:fldChar w:fldCharType="end"/>
        </w:r>
      </w:hyperlink>
    </w:p>
    <w:p w14:paraId="4A30D6E1" w14:textId="77777777" w:rsidR="00AF4872" w:rsidRPr="003720AF" w:rsidRDefault="00154F49">
      <w:pPr>
        <w:pStyle w:val="TOC1"/>
        <w:rPr>
          <w:rFonts w:asciiTheme="minorHAnsi" w:eastAsiaTheme="minorEastAsia" w:hAnsiTheme="minorHAnsi"/>
          <w:b w:val="0"/>
          <w:color w:val="auto"/>
          <w:sz w:val="22"/>
          <w:lang w:eastAsia="en-NZ"/>
        </w:rPr>
      </w:pPr>
      <w:hyperlink w:anchor="_Toc463856044" w:history="1">
        <w:r w:rsidR="00AF4872" w:rsidRPr="003720AF">
          <w:rPr>
            <w:rStyle w:val="Hyperlink"/>
            <w:u w:color="0097DB"/>
          </w:rPr>
          <w:t>5.</w:t>
        </w:r>
        <w:r w:rsidR="00AF4872" w:rsidRPr="003720AF">
          <w:rPr>
            <w:rFonts w:asciiTheme="minorHAnsi" w:eastAsiaTheme="minorEastAsia" w:hAnsiTheme="minorHAnsi"/>
            <w:b w:val="0"/>
            <w:color w:val="auto"/>
            <w:sz w:val="22"/>
            <w:lang w:eastAsia="en-NZ"/>
          </w:rPr>
          <w:tab/>
        </w:r>
        <w:r w:rsidR="00AF4872" w:rsidRPr="003720AF">
          <w:rPr>
            <w:rStyle w:val="Hyperlink"/>
          </w:rPr>
          <w:t>PROPOSED MA STANDARD</w:t>
        </w:r>
        <w:r w:rsidR="00AF4872" w:rsidRPr="003720AF">
          <w:rPr>
            <w:webHidden/>
          </w:rPr>
          <w:tab/>
        </w:r>
        <w:r w:rsidR="00AF4872" w:rsidRPr="003720AF">
          <w:rPr>
            <w:webHidden/>
          </w:rPr>
          <w:fldChar w:fldCharType="begin"/>
        </w:r>
        <w:r w:rsidR="00AF4872" w:rsidRPr="003720AF">
          <w:rPr>
            <w:webHidden/>
          </w:rPr>
          <w:instrText xml:space="preserve"> PAGEREF _Toc463856044 \h </w:instrText>
        </w:r>
        <w:r w:rsidR="00AF4872" w:rsidRPr="003720AF">
          <w:rPr>
            <w:webHidden/>
          </w:rPr>
        </w:r>
        <w:r w:rsidR="00AF4872" w:rsidRPr="003720AF">
          <w:rPr>
            <w:webHidden/>
          </w:rPr>
          <w:fldChar w:fldCharType="separate"/>
        </w:r>
        <w:r w:rsidR="00F6014F">
          <w:rPr>
            <w:webHidden/>
          </w:rPr>
          <w:t>27</w:t>
        </w:r>
        <w:r w:rsidR="00AF4872" w:rsidRPr="003720AF">
          <w:rPr>
            <w:webHidden/>
          </w:rPr>
          <w:fldChar w:fldCharType="end"/>
        </w:r>
      </w:hyperlink>
    </w:p>
    <w:p w14:paraId="4EB04862"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45" w:history="1">
        <w:r w:rsidR="00AF4872" w:rsidRPr="003720AF">
          <w:rPr>
            <w:rStyle w:val="Hyperlink"/>
          </w:rPr>
          <w:t>5.1</w:t>
        </w:r>
        <w:r w:rsidR="00AF4872" w:rsidRPr="003720AF">
          <w:rPr>
            <w:rFonts w:asciiTheme="minorHAnsi" w:eastAsiaTheme="minorEastAsia" w:hAnsiTheme="minorHAnsi"/>
            <w:b w:val="0"/>
            <w:caps w:val="0"/>
            <w:lang w:eastAsia="en-NZ"/>
          </w:rPr>
          <w:tab/>
        </w:r>
        <w:r w:rsidR="00AF4872" w:rsidRPr="003720AF">
          <w:rPr>
            <w:rStyle w:val="Hyperlink"/>
          </w:rPr>
          <w:t>Remediated Clan Labs</w:t>
        </w:r>
        <w:r w:rsidR="00AF4872" w:rsidRPr="003720AF">
          <w:rPr>
            <w:webHidden/>
          </w:rPr>
          <w:tab/>
        </w:r>
        <w:r w:rsidR="00AF4872" w:rsidRPr="003720AF">
          <w:rPr>
            <w:webHidden/>
          </w:rPr>
          <w:fldChar w:fldCharType="begin"/>
        </w:r>
        <w:r w:rsidR="00AF4872" w:rsidRPr="003720AF">
          <w:rPr>
            <w:webHidden/>
          </w:rPr>
          <w:instrText xml:space="preserve"> PAGEREF _Toc463856045 \h </w:instrText>
        </w:r>
        <w:r w:rsidR="00AF4872" w:rsidRPr="003720AF">
          <w:rPr>
            <w:webHidden/>
          </w:rPr>
        </w:r>
        <w:r w:rsidR="00AF4872" w:rsidRPr="003720AF">
          <w:rPr>
            <w:webHidden/>
          </w:rPr>
          <w:fldChar w:fldCharType="separate"/>
        </w:r>
        <w:r w:rsidR="00F6014F">
          <w:rPr>
            <w:webHidden/>
          </w:rPr>
          <w:t>27</w:t>
        </w:r>
        <w:r w:rsidR="00AF4872" w:rsidRPr="003720AF">
          <w:rPr>
            <w:webHidden/>
          </w:rPr>
          <w:fldChar w:fldCharType="end"/>
        </w:r>
      </w:hyperlink>
    </w:p>
    <w:p w14:paraId="5BD5BEDA"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46" w:history="1">
        <w:r w:rsidR="00AF4872" w:rsidRPr="003720AF">
          <w:rPr>
            <w:rStyle w:val="Hyperlink"/>
          </w:rPr>
          <w:t>5.2</w:t>
        </w:r>
        <w:r w:rsidR="00AF4872" w:rsidRPr="003720AF">
          <w:rPr>
            <w:rFonts w:asciiTheme="minorHAnsi" w:eastAsiaTheme="minorEastAsia" w:hAnsiTheme="minorHAnsi"/>
            <w:b w:val="0"/>
            <w:caps w:val="0"/>
            <w:lang w:eastAsia="en-NZ"/>
          </w:rPr>
          <w:tab/>
        </w:r>
        <w:r w:rsidR="00AF4872" w:rsidRPr="003720AF">
          <w:rPr>
            <w:rStyle w:val="Hyperlink"/>
          </w:rPr>
          <w:t>Remediated (Non-Lab) Houses of MA Use</w:t>
        </w:r>
        <w:r w:rsidR="00AF4872" w:rsidRPr="003720AF">
          <w:rPr>
            <w:webHidden/>
          </w:rPr>
          <w:tab/>
        </w:r>
        <w:r w:rsidR="00AF4872" w:rsidRPr="003720AF">
          <w:rPr>
            <w:webHidden/>
          </w:rPr>
          <w:fldChar w:fldCharType="begin"/>
        </w:r>
        <w:r w:rsidR="00AF4872" w:rsidRPr="003720AF">
          <w:rPr>
            <w:webHidden/>
          </w:rPr>
          <w:instrText xml:space="preserve"> PAGEREF _Toc463856046 \h </w:instrText>
        </w:r>
        <w:r w:rsidR="00AF4872" w:rsidRPr="003720AF">
          <w:rPr>
            <w:webHidden/>
          </w:rPr>
        </w:r>
        <w:r w:rsidR="00AF4872" w:rsidRPr="003720AF">
          <w:rPr>
            <w:webHidden/>
          </w:rPr>
          <w:fldChar w:fldCharType="separate"/>
        </w:r>
        <w:r w:rsidR="00F6014F">
          <w:rPr>
            <w:webHidden/>
          </w:rPr>
          <w:t>27</w:t>
        </w:r>
        <w:r w:rsidR="00AF4872" w:rsidRPr="003720AF">
          <w:rPr>
            <w:webHidden/>
          </w:rPr>
          <w:fldChar w:fldCharType="end"/>
        </w:r>
      </w:hyperlink>
    </w:p>
    <w:p w14:paraId="32079693" w14:textId="77777777" w:rsidR="00AF4872" w:rsidRPr="003720AF" w:rsidRDefault="00154F49">
      <w:pPr>
        <w:pStyle w:val="TOC1"/>
        <w:rPr>
          <w:rFonts w:asciiTheme="minorHAnsi" w:eastAsiaTheme="minorEastAsia" w:hAnsiTheme="minorHAnsi"/>
          <w:b w:val="0"/>
          <w:color w:val="auto"/>
          <w:sz w:val="22"/>
          <w:lang w:eastAsia="en-NZ"/>
        </w:rPr>
      </w:pPr>
      <w:hyperlink w:anchor="_Toc463856047" w:history="1">
        <w:r w:rsidR="00AF4872" w:rsidRPr="003720AF">
          <w:rPr>
            <w:rStyle w:val="Hyperlink"/>
            <w:u w:color="0097DB"/>
          </w:rPr>
          <w:t>6.</w:t>
        </w:r>
        <w:r w:rsidR="00AF4872" w:rsidRPr="003720AF">
          <w:rPr>
            <w:rFonts w:asciiTheme="minorHAnsi" w:eastAsiaTheme="minorEastAsia" w:hAnsiTheme="minorHAnsi"/>
            <w:b w:val="0"/>
            <w:color w:val="auto"/>
            <w:sz w:val="22"/>
            <w:lang w:eastAsia="en-NZ"/>
          </w:rPr>
          <w:tab/>
        </w:r>
        <w:r w:rsidR="00AF4872" w:rsidRPr="003720AF">
          <w:rPr>
            <w:rStyle w:val="Hyperlink"/>
          </w:rPr>
          <w:t>DISCUSSION</w:t>
        </w:r>
        <w:r w:rsidR="00AF4872" w:rsidRPr="003720AF">
          <w:rPr>
            <w:webHidden/>
          </w:rPr>
          <w:tab/>
        </w:r>
        <w:r w:rsidR="00AF4872" w:rsidRPr="003720AF">
          <w:rPr>
            <w:webHidden/>
          </w:rPr>
          <w:fldChar w:fldCharType="begin"/>
        </w:r>
        <w:r w:rsidR="00AF4872" w:rsidRPr="003720AF">
          <w:rPr>
            <w:webHidden/>
          </w:rPr>
          <w:instrText xml:space="preserve"> PAGEREF _Toc463856047 \h </w:instrText>
        </w:r>
        <w:r w:rsidR="00AF4872" w:rsidRPr="003720AF">
          <w:rPr>
            <w:webHidden/>
          </w:rPr>
        </w:r>
        <w:r w:rsidR="00AF4872" w:rsidRPr="003720AF">
          <w:rPr>
            <w:webHidden/>
          </w:rPr>
          <w:fldChar w:fldCharType="separate"/>
        </w:r>
        <w:r w:rsidR="00F6014F">
          <w:rPr>
            <w:webHidden/>
          </w:rPr>
          <w:t>29</w:t>
        </w:r>
        <w:r w:rsidR="00AF4872" w:rsidRPr="003720AF">
          <w:rPr>
            <w:webHidden/>
          </w:rPr>
          <w:fldChar w:fldCharType="end"/>
        </w:r>
      </w:hyperlink>
    </w:p>
    <w:p w14:paraId="68285606" w14:textId="77777777" w:rsidR="00AF4872" w:rsidRPr="003720AF" w:rsidRDefault="00154F49">
      <w:pPr>
        <w:pStyle w:val="TOC1"/>
        <w:rPr>
          <w:rFonts w:asciiTheme="minorHAnsi" w:eastAsiaTheme="minorEastAsia" w:hAnsiTheme="minorHAnsi"/>
          <w:b w:val="0"/>
          <w:color w:val="auto"/>
          <w:sz w:val="22"/>
          <w:lang w:eastAsia="en-NZ"/>
        </w:rPr>
      </w:pPr>
      <w:hyperlink w:anchor="_Toc463856048" w:history="1">
        <w:r w:rsidR="00AF4872" w:rsidRPr="003720AF">
          <w:rPr>
            <w:rStyle w:val="Hyperlink"/>
          </w:rPr>
          <w:t>REFERENCES</w:t>
        </w:r>
        <w:r w:rsidR="00AF4872" w:rsidRPr="003720AF">
          <w:rPr>
            <w:webHidden/>
          </w:rPr>
          <w:tab/>
        </w:r>
        <w:r w:rsidR="00AF4872" w:rsidRPr="003720AF">
          <w:rPr>
            <w:webHidden/>
          </w:rPr>
          <w:fldChar w:fldCharType="begin"/>
        </w:r>
        <w:r w:rsidR="00AF4872" w:rsidRPr="003720AF">
          <w:rPr>
            <w:webHidden/>
          </w:rPr>
          <w:instrText xml:space="preserve"> PAGEREF _Toc463856048 \h </w:instrText>
        </w:r>
        <w:r w:rsidR="00AF4872" w:rsidRPr="003720AF">
          <w:rPr>
            <w:webHidden/>
          </w:rPr>
        </w:r>
        <w:r w:rsidR="00AF4872" w:rsidRPr="003720AF">
          <w:rPr>
            <w:webHidden/>
          </w:rPr>
          <w:fldChar w:fldCharType="separate"/>
        </w:r>
        <w:r w:rsidR="00F6014F">
          <w:rPr>
            <w:webHidden/>
          </w:rPr>
          <w:t>31</w:t>
        </w:r>
        <w:r w:rsidR="00AF4872" w:rsidRPr="003720AF">
          <w:rPr>
            <w:webHidden/>
          </w:rPr>
          <w:fldChar w:fldCharType="end"/>
        </w:r>
      </w:hyperlink>
    </w:p>
    <w:p w14:paraId="6E790F1A" w14:textId="77777777" w:rsidR="00AF4872" w:rsidRPr="003720AF" w:rsidRDefault="00154F49">
      <w:pPr>
        <w:pStyle w:val="TOC1"/>
        <w:rPr>
          <w:rFonts w:asciiTheme="minorHAnsi" w:eastAsiaTheme="minorEastAsia" w:hAnsiTheme="minorHAnsi"/>
          <w:b w:val="0"/>
          <w:color w:val="auto"/>
          <w:sz w:val="22"/>
          <w:lang w:eastAsia="en-NZ"/>
        </w:rPr>
      </w:pPr>
      <w:hyperlink w:anchor="_Toc463856049" w:history="1">
        <w:r w:rsidR="00AF4872" w:rsidRPr="003720AF">
          <w:rPr>
            <w:rStyle w:val="Hyperlink"/>
          </w:rPr>
          <w:t>APPENDIX</w:t>
        </w:r>
        <w:r w:rsidR="00AF4872" w:rsidRPr="003720AF">
          <w:rPr>
            <w:webHidden/>
          </w:rPr>
          <w:tab/>
        </w:r>
        <w:r w:rsidR="00AF4872" w:rsidRPr="003720AF">
          <w:rPr>
            <w:webHidden/>
          </w:rPr>
          <w:fldChar w:fldCharType="begin"/>
        </w:r>
        <w:r w:rsidR="00AF4872" w:rsidRPr="003720AF">
          <w:rPr>
            <w:webHidden/>
          </w:rPr>
          <w:instrText xml:space="preserve"> PAGEREF _Toc463856049 \h </w:instrText>
        </w:r>
        <w:r w:rsidR="00AF4872" w:rsidRPr="003720AF">
          <w:rPr>
            <w:webHidden/>
          </w:rPr>
        </w:r>
        <w:r w:rsidR="00AF4872" w:rsidRPr="003720AF">
          <w:rPr>
            <w:webHidden/>
          </w:rPr>
          <w:fldChar w:fldCharType="separate"/>
        </w:r>
        <w:r w:rsidR="00F6014F">
          <w:rPr>
            <w:webHidden/>
          </w:rPr>
          <w:t>35</w:t>
        </w:r>
        <w:r w:rsidR="00AF4872" w:rsidRPr="003720AF">
          <w:rPr>
            <w:webHidden/>
          </w:rPr>
          <w:fldChar w:fldCharType="end"/>
        </w:r>
      </w:hyperlink>
    </w:p>
    <w:p w14:paraId="35453A01"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50" w:history="1">
        <w:r w:rsidR="00AF4872" w:rsidRPr="003720AF">
          <w:rPr>
            <w:rStyle w:val="Hyperlink"/>
          </w:rPr>
          <w:t>A.1</w:t>
        </w:r>
        <w:r w:rsidR="00AF4872" w:rsidRPr="003720AF">
          <w:rPr>
            <w:rFonts w:asciiTheme="minorHAnsi" w:eastAsiaTheme="minorEastAsia" w:hAnsiTheme="minorHAnsi"/>
            <w:b w:val="0"/>
            <w:caps w:val="0"/>
            <w:lang w:eastAsia="en-NZ"/>
          </w:rPr>
          <w:tab/>
        </w:r>
        <w:r w:rsidR="00AF4872" w:rsidRPr="003720AF">
          <w:rPr>
            <w:rStyle w:val="Hyperlink"/>
          </w:rPr>
          <w:t>Introduction</w:t>
        </w:r>
        <w:r w:rsidR="00AF4872" w:rsidRPr="003720AF">
          <w:rPr>
            <w:webHidden/>
          </w:rPr>
          <w:tab/>
        </w:r>
        <w:r w:rsidR="00AF4872" w:rsidRPr="003720AF">
          <w:rPr>
            <w:webHidden/>
          </w:rPr>
          <w:fldChar w:fldCharType="begin"/>
        </w:r>
        <w:r w:rsidR="00AF4872" w:rsidRPr="003720AF">
          <w:rPr>
            <w:webHidden/>
          </w:rPr>
          <w:instrText xml:space="preserve"> PAGEREF _Toc463856050 \h </w:instrText>
        </w:r>
        <w:r w:rsidR="00AF4872" w:rsidRPr="003720AF">
          <w:rPr>
            <w:webHidden/>
          </w:rPr>
        </w:r>
        <w:r w:rsidR="00AF4872" w:rsidRPr="003720AF">
          <w:rPr>
            <w:webHidden/>
          </w:rPr>
          <w:fldChar w:fldCharType="separate"/>
        </w:r>
        <w:r w:rsidR="00F6014F">
          <w:rPr>
            <w:webHidden/>
          </w:rPr>
          <w:t>35</w:t>
        </w:r>
        <w:r w:rsidR="00AF4872" w:rsidRPr="003720AF">
          <w:rPr>
            <w:webHidden/>
          </w:rPr>
          <w:fldChar w:fldCharType="end"/>
        </w:r>
      </w:hyperlink>
    </w:p>
    <w:p w14:paraId="3BCEFF05"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51" w:history="1">
        <w:r w:rsidR="00AF4872" w:rsidRPr="003720AF">
          <w:rPr>
            <w:rStyle w:val="Hyperlink"/>
          </w:rPr>
          <w:t>A.2</w:t>
        </w:r>
        <w:r w:rsidR="00AF4872" w:rsidRPr="003720AF">
          <w:rPr>
            <w:rFonts w:asciiTheme="minorHAnsi" w:eastAsiaTheme="minorEastAsia" w:hAnsiTheme="minorHAnsi"/>
            <w:b w:val="0"/>
            <w:caps w:val="0"/>
            <w:lang w:eastAsia="en-NZ"/>
          </w:rPr>
          <w:tab/>
        </w:r>
        <w:r w:rsidR="00AF4872" w:rsidRPr="003720AF">
          <w:rPr>
            <w:rStyle w:val="Hyperlink"/>
          </w:rPr>
          <w:t>Overview of California and Colorado methamphetamine exposure models</w:t>
        </w:r>
        <w:r w:rsidR="00AF4872" w:rsidRPr="003720AF">
          <w:rPr>
            <w:webHidden/>
          </w:rPr>
          <w:tab/>
        </w:r>
        <w:r w:rsidR="00AF4872" w:rsidRPr="003720AF">
          <w:rPr>
            <w:webHidden/>
          </w:rPr>
          <w:fldChar w:fldCharType="begin"/>
        </w:r>
        <w:r w:rsidR="00AF4872" w:rsidRPr="003720AF">
          <w:rPr>
            <w:webHidden/>
          </w:rPr>
          <w:instrText xml:space="preserve"> PAGEREF _Toc463856051 \h </w:instrText>
        </w:r>
        <w:r w:rsidR="00AF4872" w:rsidRPr="003720AF">
          <w:rPr>
            <w:webHidden/>
          </w:rPr>
        </w:r>
        <w:r w:rsidR="00AF4872" w:rsidRPr="003720AF">
          <w:rPr>
            <w:webHidden/>
          </w:rPr>
          <w:fldChar w:fldCharType="separate"/>
        </w:r>
        <w:r w:rsidR="00F6014F">
          <w:rPr>
            <w:webHidden/>
          </w:rPr>
          <w:t>35</w:t>
        </w:r>
        <w:r w:rsidR="00AF4872" w:rsidRPr="003720AF">
          <w:rPr>
            <w:webHidden/>
          </w:rPr>
          <w:fldChar w:fldCharType="end"/>
        </w:r>
      </w:hyperlink>
    </w:p>
    <w:p w14:paraId="0F1A47AC"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52" w:history="1">
        <w:r w:rsidR="00AF4872" w:rsidRPr="003720AF">
          <w:rPr>
            <w:rStyle w:val="Hyperlink"/>
          </w:rPr>
          <w:t>A.3</w:t>
        </w:r>
        <w:r w:rsidR="00AF4872" w:rsidRPr="003720AF">
          <w:rPr>
            <w:rFonts w:asciiTheme="minorHAnsi" w:eastAsiaTheme="minorEastAsia" w:hAnsiTheme="minorHAnsi"/>
            <w:b w:val="0"/>
            <w:caps w:val="0"/>
            <w:lang w:eastAsia="en-NZ"/>
          </w:rPr>
          <w:tab/>
        </w:r>
        <w:r w:rsidR="00AF4872" w:rsidRPr="003720AF">
          <w:rPr>
            <w:rStyle w:val="Hyperlink"/>
          </w:rPr>
          <w:t>Suggested approach to characterizing post-remediation methamphetamine exposure in New Zealand</w:t>
        </w:r>
        <w:r w:rsidR="00AF4872" w:rsidRPr="003720AF">
          <w:rPr>
            <w:webHidden/>
          </w:rPr>
          <w:tab/>
        </w:r>
        <w:r w:rsidR="00AF4872" w:rsidRPr="003720AF">
          <w:rPr>
            <w:webHidden/>
          </w:rPr>
          <w:fldChar w:fldCharType="begin"/>
        </w:r>
        <w:r w:rsidR="00AF4872" w:rsidRPr="003720AF">
          <w:rPr>
            <w:webHidden/>
          </w:rPr>
          <w:instrText xml:space="preserve"> PAGEREF _Toc463856052 \h </w:instrText>
        </w:r>
        <w:r w:rsidR="00AF4872" w:rsidRPr="003720AF">
          <w:rPr>
            <w:webHidden/>
          </w:rPr>
        </w:r>
        <w:r w:rsidR="00AF4872" w:rsidRPr="003720AF">
          <w:rPr>
            <w:webHidden/>
          </w:rPr>
          <w:fldChar w:fldCharType="separate"/>
        </w:r>
        <w:r w:rsidR="00F6014F">
          <w:rPr>
            <w:webHidden/>
          </w:rPr>
          <w:t>37</w:t>
        </w:r>
        <w:r w:rsidR="00AF4872" w:rsidRPr="003720AF">
          <w:rPr>
            <w:webHidden/>
          </w:rPr>
          <w:fldChar w:fldCharType="end"/>
        </w:r>
      </w:hyperlink>
    </w:p>
    <w:p w14:paraId="7E3C57B0" w14:textId="77777777" w:rsidR="00AF4872" w:rsidRPr="003720AF" w:rsidRDefault="00154F49">
      <w:pPr>
        <w:pStyle w:val="TOC3"/>
        <w:tabs>
          <w:tab w:val="left" w:pos="1880"/>
        </w:tabs>
        <w:rPr>
          <w:rFonts w:asciiTheme="minorHAnsi" w:eastAsiaTheme="minorEastAsia" w:hAnsiTheme="minorHAnsi" w:cstheme="minorBidi"/>
          <w:b w:val="0"/>
          <w:noProof/>
          <w:szCs w:val="22"/>
          <w:lang w:eastAsia="en-NZ"/>
        </w:rPr>
      </w:pPr>
      <w:hyperlink w:anchor="_Toc463856053" w:history="1">
        <w:r w:rsidR="00AF4872" w:rsidRPr="003720AF">
          <w:rPr>
            <w:rStyle w:val="Hyperlink"/>
          </w:rPr>
          <w:t>A.3.1</w:t>
        </w:r>
        <w:r w:rsidR="00AF4872" w:rsidRPr="003720AF">
          <w:rPr>
            <w:rFonts w:asciiTheme="minorHAnsi" w:eastAsiaTheme="minorEastAsia" w:hAnsiTheme="minorHAnsi" w:cstheme="minorBidi"/>
            <w:b w:val="0"/>
            <w:noProof/>
            <w:szCs w:val="22"/>
            <w:lang w:eastAsia="en-NZ"/>
          </w:rPr>
          <w:tab/>
        </w:r>
        <w:r w:rsidR="00AF4872" w:rsidRPr="003720AF">
          <w:rPr>
            <w:rStyle w:val="Hyperlink"/>
          </w:rPr>
          <w:t>Receptors and exposure pathways</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_Toc463856053 \h </w:instrText>
        </w:r>
        <w:r w:rsidR="00AF4872" w:rsidRPr="003720AF">
          <w:rPr>
            <w:noProof/>
            <w:webHidden/>
          </w:rPr>
        </w:r>
        <w:r w:rsidR="00AF4872" w:rsidRPr="003720AF">
          <w:rPr>
            <w:noProof/>
            <w:webHidden/>
          </w:rPr>
          <w:fldChar w:fldCharType="separate"/>
        </w:r>
        <w:r w:rsidR="00F6014F">
          <w:rPr>
            <w:noProof/>
            <w:webHidden/>
          </w:rPr>
          <w:t>38</w:t>
        </w:r>
        <w:r w:rsidR="00AF4872" w:rsidRPr="003720AF">
          <w:rPr>
            <w:noProof/>
            <w:webHidden/>
          </w:rPr>
          <w:fldChar w:fldCharType="end"/>
        </w:r>
      </w:hyperlink>
    </w:p>
    <w:p w14:paraId="6BFD02B5" w14:textId="77777777" w:rsidR="00AF4872" w:rsidRPr="003720AF" w:rsidRDefault="00154F49">
      <w:pPr>
        <w:pStyle w:val="TOC3"/>
        <w:tabs>
          <w:tab w:val="left" w:pos="1880"/>
        </w:tabs>
        <w:rPr>
          <w:rFonts w:asciiTheme="minorHAnsi" w:eastAsiaTheme="minorEastAsia" w:hAnsiTheme="minorHAnsi" w:cstheme="minorBidi"/>
          <w:b w:val="0"/>
          <w:noProof/>
          <w:szCs w:val="22"/>
          <w:lang w:eastAsia="en-NZ"/>
        </w:rPr>
      </w:pPr>
      <w:hyperlink w:anchor="_Toc463856054" w:history="1">
        <w:r w:rsidR="00AF4872" w:rsidRPr="003720AF">
          <w:rPr>
            <w:rStyle w:val="Hyperlink"/>
          </w:rPr>
          <w:t>A.3.2</w:t>
        </w:r>
        <w:r w:rsidR="00AF4872" w:rsidRPr="003720AF">
          <w:rPr>
            <w:rFonts w:asciiTheme="minorHAnsi" w:eastAsiaTheme="minorEastAsia" w:hAnsiTheme="minorHAnsi" w:cstheme="minorBidi"/>
            <w:b w:val="0"/>
            <w:noProof/>
            <w:szCs w:val="22"/>
            <w:lang w:eastAsia="en-NZ"/>
          </w:rPr>
          <w:tab/>
        </w:r>
        <w:r w:rsidR="00AF4872" w:rsidRPr="003720AF">
          <w:rPr>
            <w:rStyle w:val="Hyperlink"/>
          </w:rPr>
          <w:t>Exposure equations</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_Toc463856054 \h </w:instrText>
        </w:r>
        <w:r w:rsidR="00AF4872" w:rsidRPr="003720AF">
          <w:rPr>
            <w:noProof/>
            <w:webHidden/>
          </w:rPr>
        </w:r>
        <w:r w:rsidR="00AF4872" w:rsidRPr="003720AF">
          <w:rPr>
            <w:noProof/>
            <w:webHidden/>
          </w:rPr>
          <w:fldChar w:fldCharType="separate"/>
        </w:r>
        <w:r w:rsidR="00F6014F">
          <w:rPr>
            <w:noProof/>
            <w:webHidden/>
          </w:rPr>
          <w:t>39</w:t>
        </w:r>
        <w:r w:rsidR="00AF4872" w:rsidRPr="003720AF">
          <w:rPr>
            <w:noProof/>
            <w:webHidden/>
          </w:rPr>
          <w:fldChar w:fldCharType="end"/>
        </w:r>
      </w:hyperlink>
    </w:p>
    <w:p w14:paraId="645DB8B0" w14:textId="77777777" w:rsidR="00AF4872" w:rsidRPr="003720AF" w:rsidRDefault="00154F49">
      <w:pPr>
        <w:pStyle w:val="TOC3"/>
        <w:tabs>
          <w:tab w:val="left" w:pos="1880"/>
        </w:tabs>
        <w:rPr>
          <w:rFonts w:asciiTheme="minorHAnsi" w:eastAsiaTheme="minorEastAsia" w:hAnsiTheme="minorHAnsi" w:cstheme="minorBidi"/>
          <w:b w:val="0"/>
          <w:noProof/>
          <w:szCs w:val="22"/>
          <w:lang w:eastAsia="en-NZ"/>
        </w:rPr>
      </w:pPr>
      <w:hyperlink w:anchor="_Toc463856055" w:history="1">
        <w:r w:rsidR="00AF4872" w:rsidRPr="003720AF">
          <w:rPr>
            <w:rStyle w:val="Hyperlink"/>
          </w:rPr>
          <w:t>A.3.3</w:t>
        </w:r>
        <w:r w:rsidR="00AF4872" w:rsidRPr="003720AF">
          <w:rPr>
            <w:rFonts w:asciiTheme="minorHAnsi" w:eastAsiaTheme="minorEastAsia" w:hAnsiTheme="minorHAnsi" w:cstheme="minorBidi"/>
            <w:b w:val="0"/>
            <w:noProof/>
            <w:szCs w:val="22"/>
            <w:lang w:eastAsia="en-NZ"/>
          </w:rPr>
          <w:tab/>
        </w:r>
        <w:r w:rsidR="00AF4872" w:rsidRPr="003720AF">
          <w:rPr>
            <w:rStyle w:val="Hyperlink"/>
          </w:rPr>
          <w:t>Exposure parameter values</w:t>
        </w:r>
        <w:r w:rsidR="00AF4872" w:rsidRPr="003720AF">
          <w:rPr>
            <w:noProof/>
            <w:webHidden/>
          </w:rPr>
          <w:tab/>
        </w:r>
        <w:r w:rsidR="00AF4872" w:rsidRPr="003720AF">
          <w:rPr>
            <w:noProof/>
            <w:webHidden/>
          </w:rPr>
          <w:fldChar w:fldCharType="begin"/>
        </w:r>
        <w:r w:rsidR="00AF4872" w:rsidRPr="003720AF">
          <w:rPr>
            <w:noProof/>
            <w:webHidden/>
          </w:rPr>
          <w:instrText xml:space="preserve"> PAGEREF _Toc463856055 \h </w:instrText>
        </w:r>
        <w:r w:rsidR="00AF4872" w:rsidRPr="003720AF">
          <w:rPr>
            <w:noProof/>
            <w:webHidden/>
          </w:rPr>
        </w:r>
        <w:r w:rsidR="00AF4872" w:rsidRPr="003720AF">
          <w:rPr>
            <w:noProof/>
            <w:webHidden/>
          </w:rPr>
          <w:fldChar w:fldCharType="separate"/>
        </w:r>
        <w:r w:rsidR="00F6014F">
          <w:rPr>
            <w:noProof/>
            <w:webHidden/>
          </w:rPr>
          <w:t>40</w:t>
        </w:r>
        <w:r w:rsidR="00AF4872" w:rsidRPr="003720AF">
          <w:rPr>
            <w:noProof/>
            <w:webHidden/>
          </w:rPr>
          <w:fldChar w:fldCharType="end"/>
        </w:r>
      </w:hyperlink>
    </w:p>
    <w:p w14:paraId="7A83172B" w14:textId="77777777" w:rsidR="00AF4872" w:rsidRPr="003720AF" w:rsidRDefault="00154F49">
      <w:pPr>
        <w:pStyle w:val="TOC2"/>
        <w:tabs>
          <w:tab w:val="left" w:pos="1134"/>
        </w:tabs>
        <w:rPr>
          <w:rFonts w:asciiTheme="minorHAnsi" w:eastAsiaTheme="minorEastAsia" w:hAnsiTheme="minorHAnsi"/>
          <w:b w:val="0"/>
          <w:caps w:val="0"/>
          <w:lang w:eastAsia="en-NZ"/>
        </w:rPr>
      </w:pPr>
      <w:hyperlink w:anchor="_Toc463856056" w:history="1">
        <w:r w:rsidR="00AF4872" w:rsidRPr="003720AF">
          <w:rPr>
            <w:rStyle w:val="Hyperlink"/>
          </w:rPr>
          <w:t>A.4</w:t>
        </w:r>
        <w:r w:rsidR="00AF4872" w:rsidRPr="003720AF">
          <w:rPr>
            <w:rFonts w:asciiTheme="minorHAnsi" w:eastAsiaTheme="minorEastAsia" w:hAnsiTheme="minorHAnsi"/>
            <w:b w:val="0"/>
            <w:caps w:val="0"/>
            <w:lang w:eastAsia="en-NZ"/>
          </w:rPr>
          <w:tab/>
        </w:r>
        <w:r w:rsidR="00AF4872" w:rsidRPr="003720AF">
          <w:rPr>
            <w:rStyle w:val="Hyperlink"/>
          </w:rPr>
          <w:t>Conclusion</w:t>
        </w:r>
        <w:r w:rsidR="00AF4872" w:rsidRPr="003720AF">
          <w:rPr>
            <w:webHidden/>
          </w:rPr>
          <w:tab/>
        </w:r>
        <w:r w:rsidR="00AF4872" w:rsidRPr="003720AF">
          <w:rPr>
            <w:webHidden/>
          </w:rPr>
          <w:fldChar w:fldCharType="begin"/>
        </w:r>
        <w:r w:rsidR="00AF4872" w:rsidRPr="003720AF">
          <w:rPr>
            <w:webHidden/>
          </w:rPr>
          <w:instrText xml:space="preserve"> PAGEREF _Toc463856056 \h </w:instrText>
        </w:r>
        <w:r w:rsidR="00AF4872" w:rsidRPr="003720AF">
          <w:rPr>
            <w:webHidden/>
          </w:rPr>
        </w:r>
        <w:r w:rsidR="00AF4872" w:rsidRPr="003720AF">
          <w:rPr>
            <w:webHidden/>
          </w:rPr>
          <w:fldChar w:fldCharType="separate"/>
        </w:r>
        <w:r w:rsidR="00F6014F">
          <w:rPr>
            <w:webHidden/>
          </w:rPr>
          <w:t>44</w:t>
        </w:r>
        <w:r w:rsidR="00AF4872" w:rsidRPr="003720AF">
          <w:rPr>
            <w:webHidden/>
          </w:rPr>
          <w:fldChar w:fldCharType="end"/>
        </w:r>
      </w:hyperlink>
    </w:p>
    <w:p w14:paraId="121CC7A8" w14:textId="77777777" w:rsidR="00AF4872" w:rsidRPr="003720AF" w:rsidRDefault="00154F49">
      <w:pPr>
        <w:pStyle w:val="TOC2"/>
        <w:rPr>
          <w:rFonts w:asciiTheme="minorHAnsi" w:eastAsiaTheme="minorEastAsia" w:hAnsiTheme="minorHAnsi"/>
          <w:b w:val="0"/>
          <w:caps w:val="0"/>
          <w:lang w:eastAsia="en-NZ"/>
        </w:rPr>
      </w:pPr>
      <w:hyperlink w:anchor="_Toc463856057" w:history="1">
        <w:r w:rsidR="00AF4872" w:rsidRPr="003720AF">
          <w:rPr>
            <w:rStyle w:val="Hyperlink"/>
          </w:rPr>
          <w:t>Appendix References</w:t>
        </w:r>
        <w:r w:rsidR="00AF4872" w:rsidRPr="003720AF">
          <w:rPr>
            <w:webHidden/>
          </w:rPr>
          <w:tab/>
        </w:r>
        <w:r w:rsidR="00AF4872" w:rsidRPr="003720AF">
          <w:rPr>
            <w:webHidden/>
          </w:rPr>
          <w:fldChar w:fldCharType="begin"/>
        </w:r>
        <w:r w:rsidR="00AF4872" w:rsidRPr="003720AF">
          <w:rPr>
            <w:webHidden/>
          </w:rPr>
          <w:instrText xml:space="preserve"> PAGEREF _Toc463856057 \h </w:instrText>
        </w:r>
        <w:r w:rsidR="00AF4872" w:rsidRPr="003720AF">
          <w:rPr>
            <w:webHidden/>
          </w:rPr>
        </w:r>
        <w:r w:rsidR="00AF4872" w:rsidRPr="003720AF">
          <w:rPr>
            <w:webHidden/>
          </w:rPr>
          <w:fldChar w:fldCharType="separate"/>
        </w:r>
        <w:r w:rsidR="00F6014F">
          <w:rPr>
            <w:webHidden/>
          </w:rPr>
          <w:t>47</w:t>
        </w:r>
        <w:r w:rsidR="00AF4872" w:rsidRPr="003720AF">
          <w:rPr>
            <w:webHidden/>
          </w:rPr>
          <w:fldChar w:fldCharType="end"/>
        </w:r>
      </w:hyperlink>
    </w:p>
    <w:p w14:paraId="7CEF77EF" w14:textId="77777777" w:rsidR="00FE59AE" w:rsidRPr="003720AF" w:rsidRDefault="00FA2F89" w:rsidP="00FA2F89">
      <w:r w:rsidRPr="003720AF">
        <w:fldChar w:fldCharType="end"/>
      </w:r>
    </w:p>
    <w:p w14:paraId="4457811F" w14:textId="77777777" w:rsidR="00FE59AE" w:rsidRPr="003720AF" w:rsidRDefault="00FE59AE" w:rsidP="00FE59AE">
      <w:pPr>
        <w:spacing w:line="240" w:lineRule="auto"/>
        <w:rPr>
          <w:color w:val="0097DB"/>
          <w:sz w:val="28"/>
        </w:rPr>
      </w:pPr>
      <w:r w:rsidRPr="003720AF">
        <w:rPr>
          <w:color w:val="0097DB"/>
          <w:sz w:val="28"/>
        </w:rPr>
        <w:t>LIST OF TABLES</w:t>
      </w:r>
    </w:p>
    <w:p w14:paraId="4B10FB17" w14:textId="77777777" w:rsidR="006A7725" w:rsidRPr="003720AF" w:rsidRDefault="00F312C2">
      <w:pPr>
        <w:pStyle w:val="TableofFigures"/>
        <w:rPr>
          <w:rFonts w:asciiTheme="minorHAnsi" w:eastAsiaTheme="minorEastAsia" w:hAnsiTheme="minorHAnsi" w:cstheme="minorBidi"/>
          <w:lang w:eastAsia="en-NZ"/>
        </w:rPr>
      </w:pPr>
      <w:r w:rsidRPr="003720AF">
        <w:fldChar w:fldCharType="begin"/>
      </w:r>
      <w:r w:rsidRPr="003720AF">
        <w:instrText xml:space="preserve"> TOC \h \z \c "Table" </w:instrText>
      </w:r>
      <w:r w:rsidRPr="003720AF">
        <w:fldChar w:fldCharType="separate"/>
      </w:r>
      <w:hyperlink w:anchor="_Toc463799351" w:history="1">
        <w:r w:rsidR="006A7725" w:rsidRPr="003720AF">
          <w:rPr>
            <w:rStyle w:val="Hyperlink"/>
          </w:rPr>
          <w:t>Table 1:</w:t>
        </w:r>
        <w:r w:rsidR="006A7725" w:rsidRPr="003720AF">
          <w:rPr>
            <w:rFonts w:asciiTheme="minorHAnsi" w:eastAsiaTheme="minorEastAsia" w:hAnsiTheme="minorHAnsi" w:cstheme="minorBidi"/>
            <w:lang w:eastAsia="en-NZ"/>
          </w:rPr>
          <w:tab/>
        </w:r>
        <w:r w:rsidR="006A7725" w:rsidRPr="003720AF">
          <w:rPr>
            <w:rStyle w:val="Hyperlink"/>
          </w:rPr>
          <w:t>Methamphetamine and its properties</w:t>
        </w:r>
        <w:r w:rsidR="006A7725" w:rsidRPr="003720AF">
          <w:rPr>
            <w:webHidden/>
          </w:rPr>
          <w:tab/>
        </w:r>
        <w:r w:rsidR="006A7725" w:rsidRPr="003720AF">
          <w:rPr>
            <w:webHidden/>
          </w:rPr>
          <w:fldChar w:fldCharType="begin"/>
        </w:r>
        <w:r w:rsidR="006A7725" w:rsidRPr="003720AF">
          <w:rPr>
            <w:webHidden/>
          </w:rPr>
          <w:instrText xml:space="preserve"> PAGEREF _Toc463799351 \h </w:instrText>
        </w:r>
        <w:r w:rsidR="006A7725" w:rsidRPr="003720AF">
          <w:rPr>
            <w:webHidden/>
          </w:rPr>
        </w:r>
        <w:r w:rsidR="006A7725" w:rsidRPr="003720AF">
          <w:rPr>
            <w:webHidden/>
          </w:rPr>
          <w:fldChar w:fldCharType="separate"/>
        </w:r>
        <w:r w:rsidR="00F6014F">
          <w:rPr>
            <w:webHidden/>
          </w:rPr>
          <w:t>4</w:t>
        </w:r>
        <w:r w:rsidR="006A7725" w:rsidRPr="003720AF">
          <w:rPr>
            <w:webHidden/>
          </w:rPr>
          <w:fldChar w:fldCharType="end"/>
        </w:r>
      </w:hyperlink>
    </w:p>
    <w:p w14:paraId="657D8E60" w14:textId="77777777" w:rsidR="006A7725" w:rsidRPr="003720AF" w:rsidRDefault="00154F49">
      <w:pPr>
        <w:pStyle w:val="TableofFigures"/>
        <w:rPr>
          <w:rFonts w:asciiTheme="minorHAnsi" w:eastAsiaTheme="minorEastAsia" w:hAnsiTheme="minorHAnsi" w:cstheme="minorBidi"/>
          <w:lang w:eastAsia="en-NZ"/>
        </w:rPr>
      </w:pPr>
      <w:hyperlink w:anchor="_Toc463799352" w:history="1">
        <w:r w:rsidR="006A7725" w:rsidRPr="003720AF">
          <w:rPr>
            <w:rStyle w:val="Hyperlink"/>
          </w:rPr>
          <w:t>Table 2:</w:t>
        </w:r>
        <w:r w:rsidR="006A7725" w:rsidRPr="003720AF">
          <w:rPr>
            <w:rFonts w:asciiTheme="minorHAnsi" w:eastAsiaTheme="minorEastAsia" w:hAnsiTheme="minorHAnsi" w:cstheme="minorBidi"/>
            <w:lang w:eastAsia="en-NZ"/>
          </w:rPr>
          <w:tab/>
        </w:r>
        <w:r w:rsidR="006A7725" w:rsidRPr="003720AF">
          <w:rPr>
            <w:rStyle w:val="Hyperlink"/>
          </w:rPr>
          <w:t>Related chemicals, starting materials, and breakdown products from MA manufacture in clan labs or from MA use.</w:t>
        </w:r>
        <w:r w:rsidR="006A7725" w:rsidRPr="003720AF">
          <w:rPr>
            <w:webHidden/>
          </w:rPr>
          <w:tab/>
        </w:r>
        <w:r w:rsidR="006A7725" w:rsidRPr="003720AF">
          <w:rPr>
            <w:webHidden/>
          </w:rPr>
          <w:fldChar w:fldCharType="begin"/>
        </w:r>
        <w:r w:rsidR="006A7725" w:rsidRPr="003720AF">
          <w:rPr>
            <w:webHidden/>
          </w:rPr>
          <w:instrText xml:space="preserve"> PAGEREF _Toc463799352 \h </w:instrText>
        </w:r>
        <w:r w:rsidR="006A7725" w:rsidRPr="003720AF">
          <w:rPr>
            <w:webHidden/>
          </w:rPr>
        </w:r>
        <w:r w:rsidR="006A7725" w:rsidRPr="003720AF">
          <w:rPr>
            <w:webHidden/>
          </w:rPr>
          <w:fldChar w:fldCharType="separate"/>
        </w:r>
        <w:r w:rsidR="00F6014F">
          <w:rPr>
            <w:webHidden/>
          </w:rPr>
          <w:t>6</w:t>
        </w:r>
        <w:r w:rsidR="006A7725" w:rsidRPr="003720AF">
          <w:rPr>
            <w:webHidden/>
          </w:rPr>
          <w:fldChar w:fldCharType="end"/>
        </w:r>
      </w:hyperlink>
    </w:p>
    <w:p w14:paraId="1CCBDDBB" w14:textId="77777777" w:rsidR="006A7725" w:rsidRPr="003720AF" w:rsidRDefault="00154F49">
      <w:pPr>
        <w:pStyle w:val="TableofFigures"/>
        <w:rPr>
          <w:rFonts w:asciiTheme="minorHAnsi" w:eastAsiaTheme="minorEastAsia" w:hAnsiTheme="minorHAnsi" w:cstheme="minorBidi"/>
          <w:lang w:eastAsia="en-NZ"/>
        </w:rPr>
      </w:pPr>
      <w:hyperlink w:anchor="_Toc463799353" w:history="1">
        <w:r w:rsidR="006A7725" w:rsidRPr="003720AF">
          <w:rPr>
            <w:rStyle w:val="Hyperlink"/>
          </w:rPr>
          <w:t>Table 3:</w:t>
        </w:r>
        <w:r w:rsidR="006A7725" w:rsidRPr="003720AF">
          <w:rPr>
            <w:rFonts w:asciiTheme="minorHAnsi" w:eastAsiaTheme="minorEastAsia" w:hAnsiTheme="minorHAnsi" w:cstheme="minorBidi"/>
            <w:lang w:eastAsia="en-NZ"/>
          </w:rPr>
          <w:tab/>
        </w:r>
        <w:r w:rsidR="006A7725" w:rsidRPr="003720AF">
          <w:rPr>
            <w:rStyle w:val="Hyperlink"/>
          </w:rPr>
          <w:t>Methamphetamine Surface Residue Decontamination Guidelines</w:t>
        </w:r>
        <w:r w:rsidR="006A7725" w:rsidRPr="003720AF">
          <w:rPr>
            <w:webHidden/>
          </w:rPr>
          <w:tab/>
        </w:r>
        <w:r w:rsidR="006A7725" w:rsidRPr="003720AF">
          <w:rPr>
            <w:webHidden/>
          </w:rPr>
          <w:fldChar w:fldCharType="begin"/>
        </w:r>
        <w:r w:rsidR="006A7725" w:rsidRPr="003720AF">
          <w:rPr>
            <w:webHidden/>
          </w:rPr>
          <w:instrText xml:space="preserve"> PAGEREF _Toc463799353 \h </w:instrText>
        </w:r>
        <w:r w:rsidR="006A7725" w:rsidRPr="003720AF">
          <w:rPr>
            <w:webHidden/>
          </w:rPr>
        </w:r>
        <w:r w:rsidR="006A7725" w:rsidRPr="003720AF">
          <w:rPr>
            <w:webHidden/>
          </w:rPr>
          <w:fldChar w:fldCharType="separate"/>
        </w:r>
        <w:r w:rsidR="00F6014F">
          <w:rPr>
            <w:webHidden/>
          </w:rPr>
          <w:t>10</w:t>
        </w:r>
        <w:r w:rsidR="006A7725" w:rsidRPr="003720AF">
          <w:rPr>
            <w:webHidden/>
          </w:rPr>
          <w:fldChar w:fldCharType="end"/>
        </w:r>
      </w:hyperlink>
    </w:p>
    <w:p w14:paraId="54061524" w14:textId="77777777" w:rsidR="006A7725" w:rsidRPr="003720AF" w:rsidRDefault="00154F49">
      <w:pPr>
        <w:pStyle w:val="TableofFigures"/>
        <w:rPr>
          <w:rFonts w:asciiTheme="minorHAnsi" w:eastAsiaTheme="minorEastAsia" w:hAnsiTheme="minorHAnsi" w:cstheme="minorBidi"/>
          <w:lang w:eastAsia="en-NZ"/>
        </w:rPr>
      </w:pPr>
      <w:hyperlink w:anchor="_Toc463799354" w:history="1">
        <w:r w:rsidR="006A7725" w:rsidRPr="003720AF">
          <w:rPr>
            <w:rStyle w:val="Hyperlink"/>
          </w:rPr>
          <w:t>Table 4:</w:t>
        </w:r>
        <w:r w:rsidR="006A7725" w:rsidRPr="003720AF">
          <w:rPr>
            <w:rFonts w:asciiTheme="minorHAnsi" w:eastAsiaTheme="minorEastAsia" w:hAnsiTheme="minorHAnsi" w:cstheme="minorBidi"/>
            <w:lang w:eastAsia="en-NZ"/>
          </w:rPr>
          <w:tab/>
        </w:r>
        <w:r w:rsidR="006A7725" w:rsidRPr="003720AF">
          <w:rPr>
            <w:rStyle w:val="Hyperlink"/>
          </w:rPr>
          <w:t>Chemical residues that may be found in former clan labs and New Zealand or Australian guideline surface concentrations for cleanup.</w:t>
        </w:r>
        <w:r w:rsidR="006A7725" w:rsidRPr="003720AF">
          <w:rPr>
            <w:webHidden/>
          </w:rPr>
          <w:tab/>
        </w:r>
        <w:r w:rsidR="006A7725" w:rsidRPr="003720AF">
          <w:rPr>
            <w:webHidden/>
          </w:rPr>
          <w:fldChar w:fldCharType="begin"/>
        </w:r>
        <w:r w:rsidR="006A7725" w:rsidRPr="003720AF">
          <w:rPr>
            <w:webHidden/>
          </w:rPr>
          <w:instrText xml:space="preserve"> PAGEREF _Toc463799354 \h </w:instrText>
        </w:r>
        <w:r w:rsidR="006A7725" w:rsidRPr="003720AF">
          <w:rPr>
            <w:webHidden/>
          </w:rPr>
        </w:r>
        <w:r w:rsidR="006A7725" w:rsidRPr="003720AF">
          <w:rPr>
            <w:webHidden/>
          </w:rPr>
          <w:fldChar w:fldCharType="separate"/>
        </w:r>
        <w:r w:rsidR="00F6014F">
          <w:rPr>
            <w:webHidden/>
          </w:rPr>
          <w:t>14</w:t>
        </w:r>
        <w:r w:rsidR="006A7725" w:rsidRPr="003720AF">
          <w:rPr>
            <w:webHidden/>
          </w:rPr>
          <w:fldChar w:fldCharType="end"/>
        </w:r>
      </w:hyperlink>
    </w:p>
    <w:p w14:paraId="0865E77D" w14:textId="77777777" w:rsidR="006A7725" w:rsidRPr="003720AF" w:rsidRDefault="00154F49">
      <w:pPr>
        <w:pStyle w:val="TableofFigures"/>
        <w:rPr>
          <w:rFonts w:asciiTheme="minorHAnsi" w:eastAsiaTheme="minorEastAsia" w:hAnsiTheme="minorHAnsi" w:cstheme="minorBidi"/>
          <w:lang w:eastAsia="en-NZ"/>
        </w:rPr>
      </w:pPr>
      <w:hyperlink w:anchor="_Toc463799355" w:history="1">
        <w:r w:rsidR="006A7725" w:rsidRPr="003720AF">
          <w:rPr>
            <w:rStyle w:val="Hyperlink"/>
          </w:rPr>
          <w:t>Table 5:</w:t>
        </w:r>
        <w:r w:rsidR="006A7725" w:rsidRPr="003720AF">
          <w:rPr>
            <w:rFonts w:asciiTheme="minorHAnsi" w:eastAsiaTheme="minorEastAsia" w:hAnsiTheme="minorHAnsi" w:cstheme="minorBidi"/>
            <w:lang w:eastAsia="en-NZ"/>
          </w:rPr>
          <w:tab/>
        </w:r>
        <w:r w:rsidR="006A7725" w:rsidRPr="003720AF">
          <w:rPr>
            <w:rStyle w:val="Hyperlink"/>
          </w:rPr>
          <w:t>Comparison of Reference Doses for MA Developed by the States of California and Colorado</w:t>
        </w:r>
        <w:r w:rsidR="006A7725" w:rsidRPr="003720AF">
          <w:rPr>
            <w:webHidden/>
          </w:rPr>
          <w:tab/>
        </w:r>
        <w:r w:rsidR="006A7725" w:rsidRPr="003720AF">
          <w:rPr>
            <w:webHidden/>
          </w:rPr>
          <w:fldChar w:fldCharType="begin"/>
        </w:r>
        <w:r w:rsidR="006A7725" w:rsidRPr="003720AF">
          <w:rPr>
            <w:webHidden/>
          </w:rPr>
          <w:instrText xml:space="preserve"> PAGEREF _Toc463799355 \h </w:instrText>
        </w:r>
        <w:r w:rsidR="006A7725" w:rsidRPr="003720AF">
          <w:rPr>
            <w:webHidden/>
          </w:rPr>
        </w:r>
        <w:r w:rsidR="006A7725" w:rsidRPr="003720AF">
          <w:rPr>
            <w:webHidden/>
          </w:rPr>
          <w:fldChar w:fldCharType="separate"/>
        </w:r>
        <w:r w:rsidR="00F6014F">
          <w:rPr>
            <w:webHidden/>
          </w:rPr>
          <w:t>21</w:t>
        </w:r>
        <w:r w:rsidR="006A7725" w:rsidRPr="003720AF">
          <w:rPr>
            <w:webHidden/>
          </w:rPr>
          <w:fldChar w:fldCharType="end"/>
        </w:r>
      </w:hyperlink>
    </w:p>
    <w:p w14:paraId="486E5EFB" w14:textId="77777777" w:rsidR="006A7725" w:rsidRPr="003720AF" w:rsidRDefault="00154F49">
      <w:pPr>
        <w:pStyle w:val="TableofFigures"/>
        <w:rPr>
          <w:rFonts w:asciiTheme="minorHAnsi" w:eastAsiaTheme="minorEastAsia" w:hAnsiTheme="minorHAnsi" w:cstheme="minorBidi"/>
          <w:lang w:eastAsia="en-NZ"/>
        </w:rPr>
      </w:pPr>
      <w:hyperlink w:anchor="_Toc463799356" w:history="1">
        <w:r w:rsidR="006A7725" w:rsidRPr="003720AF">
          <w:rPr>
            <w:rStyle w:val="Hyperlink"/>
          </w:rPr>
          <w:t>Table 6:</w:t>
        </w:r>
        <w:r w:rsidR="006A7725" w:rsidRPr="003720AF">
          <w:rPr>
            <w:rFonts w:asciiTheme="minorHAnsi" w:eastAsiaTheme="minorEastAsia" w:hAnsiTheme="minorHAnsi" w:cstheme="minorBidi"/>
            <w:lang w:eastAsia="en-NZ"/>
          </w:rPr>
          <w:tab/>
        </w:r>
        <w:r w:rsidR="006A7725" w:rsidRPr="003720AF">
          <w:rPr>
            <w:rStyle w:val="Hyperlink"/>
          </w:rPr>
          <w:t>Calculated or reported doses of MA and relevant health effects</w:t>
        </w:r>
        <w:r w:rsidR="006A7725" w:rsidRPr="003720AF">
          <w:rPr>
            <w:webHidden/>
          </w:rPr>
          <w:tab/>
        </w:r>
        <w:r w:rsidR="006A7725" w:rsidRPr="003720AF">
          <w:rPr>
            <w:webHidden/>
          </w:rPr>
          <w:fldChar w:fldCharType="begin"/>
        </w:r>
        <w:r w:rsidR="006A7725" w:rsidRPr="003720AF">
          <w:rPr>
            <w:webHidden/>
          </w:rPr>
          <w:instrText xml:space="preserve"> PAGEREF _Toc463799356 \h </w:instrText>
        </w:r>
        <w:r w:rsidR="006A7725" w:rsidRPr="003720AF">
          <w:rPr>
            <w:webHidden/>
          </w:rPr>
        </w:r>
        <w:r w:rsidR="006A7725" w:rsidRPr="003720AF">
          <w:rPr>
            <w:webHidden/>
          </w:rPr>
          <w:fldChar w:fldCharType="separate"/>
        </w:r>
        <w:r w:rsidR="00F6014F">
          <w:rPr>
            <w:webHidden/>
          </w:rPr>
          <w:t>30</w:t>
        </w:r>
        <w:r w:rsidR="006A7725" w:rsidRPr="003720AF">
          <w:rPr>
            <w:webHidden/>
          </w:rPr>
          <w:fldChar w:fldCharType="end"/>
        </w:r>
      </w:hyperlink>
    </w:p>
    <w:p w14:paraId="48BDD4EA" w14:textId="77777777" w:rsidR="00FE59AE" w:rsidRPr="003720AF" w:rsidRDefault="00F312C2" w:rsidP="00931CF2">
      <w:pPr>
        <w:pStyle w:val="TableofFigures"/>
      </w:pPr>
      <w:r w:rsidRPr="003720AF">
        <w:fldChar w:fldCharType="end"/>
      </w:r>
    </w:p>
    <w:p w14:paraId="31EB0AF6" w14:textId="77777777" w:rsidR="00384F74" w:rsidRPr="003720AF" w:rsidRDefault="006C6B16">
      <w:pPr>
        <w:pStyle w:val="TableofFigures"/>
        <w:rPr>
          <w:rFonts w:asciiTheme="minorHAnsi" w:eastAsiaTheme="minorEastAsia" w:hAnsiTheme="minorHAnsi" w:cstheme="minorBidi"/>
          <w:lang w:eastAsia="en-NZ"/>
        </w:rPr>
      </w:pPr>
      <w:r w:rsidRPr="003720AF">
        <w:fldChar w:fldCharType="begin"/>
      </w:r>
      <w:r w:rsidRPr="003720AF">
        <w:instrText xml:space="preserve"> TOC \h \z \c "Table A" </w:instrText>
      </w:r>
      <w:r w:rsidRPr="003720AF">
        <w:fldChar w:fldCharType="separate"/>
      </w:r>
      <w:hyperlink w:anchor="_Toc463798598" w:history="1">
        <w:r w:rsidR="00384F74" w:rsidRPr="003720AF">
          <w:rPr>
            <w:rStyle w:val="Hyperlink"/>
          </w:rPr>
          <w:t>Table A1:</w:t>
        </w:r>
        <w:r w:rsidR="00384F74" w:rsidRPr="003720AF">
          <w:rPr>
            <w:rFonts w:asciiTheme="minorHAnsi" w:eastAsiaTheme="minorEastAsia" w:hAnsiTheme="minorHAnsi" w:cstheme="minorBidi"/>
            <w:lang w:eastAsia="en-NZ"/>
          </w:rPr>
          <w:tab/>
        </w:r>
        <w:r w:rsidR="00384F74" w:rsidRPr="003720AF">
          <w:rPr>
            <w:rStyle w:val="Hyperlink"/>
          </w:rPr>
          <w:t>Comparison of OEHHA and CDPHE approaches to calculating risk-based cleanup levels for methamphetamine</w:t>
        </w:r>
        <w:r w:rsidR="00384F74" w:rsidRPr="003720AF">
          <w:rPr>
            <w:webHidden/>
          </w:rPr>
          <w:tab/>
        </w:r>
        <w:r w:rsidR="00384F74" w:rsidRPr="003720AF">
          <w:rPr>
            <w:webHidden/>
          </w:rPr>
          <w:fldChar w:fldCharType="begin"/>
        </w:r>
        <w:r w:rsidR="00384F74" w:rsidRPr="003720AF">
          <w:rPr>
            <w:webHidden/>
          </w:rPr>
          <w:instrText xml:space="preserve"> PAGEREF _Toc463798598 \h </w:instrText>
        </w:r>
        <w:r w:rsidR="00384F74" w:rsidRPr="003720AF">
          <w:rPr>
            <w:webHidden/>
          </w:rPr>
        </w:r>
        <w:r w:rsidR="00384F74" w:rsidRPr="003720AF">
          <w:rPr>
            <w:webHidden/>
          </w:rPr>
          <w:fldChar w:fldCharType="separate"/>
        </w:r>
        <w:r w:rsidR="00F6014F">
          <w:rPr>
            <w:webHidden/>
          </w:rPr>
          <w:t>37</w:t>
        </w:r>
        <w:r w:rsidR="00384F74" w:rsidRPr="003720AF">
          <w:rPr>
            <w:webHidden/>
          </w:rPr>
          <w:fldChar w:fldCharType="end"/>
        </w:r>
      </w:hyperlink>
    </w:p>
    <w:p w14:paraId="21103F22" w14:textId="77777777" w:rsidR="00384F74" w:rsidRPr="003720AF" w:rsidRDefault="00154F49">
      <w:pPr>
        <w:pStyle w:val="TableofFigures"/>
        <w:rPr>
          <w:rFonts w:asciiTheme="minorHAnsi" w:eastAsiaTheme="minorEastAsia" w:hAnsiTheme="minorHAnsi" w:cstheme="minorBidi"/>
          <w:lang w:eastAsia="en-NZ"/>
        </w:rPr>
      </w:pPr>
      <w:hyperlink w:anchor="_Toc463798599" w:history="1">
        <w:r w:rsidR="00384F74" w:rsidRPr="003720AF">
          <w:rPr>
            <w:rStyle w:val="Hyperlink"/>
          </w:rPr>
          <w:t>Table A2:</w:t>
        </w:r>
        <w:r w:rsidR="00384F74" w:rsidRPr="003720AF">
          <w:rPr>
            <w:rFonts w:asciiTheme="minorHAnsi" w:eastAsiaTheme="minorEastAsia" w:hAnsiTheme="minorHAnsi" w:cstheme="minorBidi"/>
            <w:lang w:eastAsia="en-NZ"/>
          </w:rPr>
          <w:tab/>
        </w:r>
        <w:r w:rsidR="00384F74" w:rsidRPr="003720AF">
          <w:rPr>
            <w:rStyle w:val="Hyperlink"/>
          </w:rPr>
          <w:t>Exposure parameter values</w:t>
        </w:r>
        <w:r w:rsidR="00384F74" w:rsidRPr="003720AF">
          <w:rPr>
            <w:webHidden/>
          </w:rPr>
          <w:tab/>
        </w:r>
        <w:r w:rsidR="00384F74" w:rsidRPr="003720AF">
          <w:rPr>
            <w:webHidden/>
          </w:rPr>
          <w:fldChar w:fldCharType="begin"/>
        </w:r>
        <w:r w:rsidR="00384F74" w:rsidRPr="003720AF">
          <w:rPr>
            <w:webHidden/>
          </w:rPr>
          <w:instrText xml:space="preserve"> PAGEREF _Toc463798599 \h </w:instrText>
        </w:r>
        <w:r w:rsidR="00384F74" w:rsidRPr="003720AF">
          <w:rPr>
            <w:webHidden/>
          </w:rPr>
        </w:r>
        <w:r w:rsidR="00384F74" w:rsidRPr="003720AF">
          <w:rPr>
            <w:webHidden/>
          </w:rPr>
          <w:fldChar w:fldCharType="separate"/>
        </w:r>
        <w:r w:rsidR="00F6014F">
          <w:rPr>
            <w:webHidden/>
          </w:rPr>
          <w:t>40</w:t>
        </w:r>
        <w:r w:rsidR="00384F74" w:rsidRPr="003720AF">
          <w:rPr>
            <w:webHidden/>
          </w:rPr>
          <w:fldChar w:fldCharType="end"/>
        </w:r>
      </w:hyperlink>
    </w:p>
    <w:p w14:paraId="0752C4EF" w14:textId="77777777" w:rsidR="00384F74" w:rsidRPr="003720AF" w:rsidRDefault="00154F49">
      <w:pPr>
        <w:pStyle w:val="TableofFigures"/>
        <w:rPr>
          <w:rFonts w:asciiTheme="minorHAnsi" w:eastAsiaTheme="minorEastAsia" w:hAnsiTheme="minorHAnsi" w:cstheme="minorBidi"/>
          <w:lang w:eastAsia="en-NZ"/>
        </w:rPr>
      </w:pPr>
      <w:hyperlink w:anchor="_Toc463798600" w:history="1">
        <w:r w:rsidR="00384F74" w:rsidRPr="003720AF">
          <w:rPr>
            <w:rStyle w:val="Hyperlink"/>
          </w:rPr>
          <w:t>Table A3:</w:t>
        </w:r>
        <w:r w:rsidR="00384F74" w:rsidRPr="003720AF">
          <w:rPr>
            <w:rFonts w:asciiTheme="minorHAnsi" w:eastAsiaTheme="minorEastAsia" w:hAnsiTheme="minorHAnsi" w:cstheme="minorBidi"/>
            <w:lang w:eastAsia="en-NZ"/>
          </w:rPr>
          <w:tab/>
        </w:r>
        <w:r w:rsidR="00384F74" w:rsidRPr="003720AF">
          <w:rPr>
            <w:rStyle w:val="Hyperlink"/>
          </w:rPr>
          <w:t>Calculated cleanup levels for deposited methamphetamine residues based on OEHHA RfD (0.0003 mg/kg-d)</w:t>
        </w:r>
        <w:r w:rsidR="00384F74" w:rsidRPr="003720AF">
          <w:rPr>
            <w:webHidden/>
          </w:rPr>
          <w:tab/>
        </w:r>
        <w:r w:rsidR="00384F74" w:rsidRPr="003720AF">
          <w:rPr>
            <w:webHidden/>
          </w:rPr>
          <w:fldChar w:fldCharType="begin"/>
        </w:r>
        <w:r w:rsidR="00384F74" w:rsidRPr="003720AF">
          <w:rPr>
            <w:webHidden/>
          </w:rPr>
          <w:instrText xml:space="preserve"> PAGEREF _Toc463798600 \h </w:instrText>
        </w:r>
        <w:r w:rsidR="00384F74" w:rsidRPr="003720AF">
          <w:rPr>
            <w:webHidden/>
          </w:rPr>
        </w:r>
        <w:r w:rsidR="00384F74" w:rsidRPr="003720AF">
          <w:rPr>
            <w:webHidden/>
          </w:rPr>
          <w:fldChar w:fldCharType="separate"/>
        </w:r>
        <w:r w:rsidR="00F6014F">
          <w:rPr>
            <w:webHidden/>
          </w:rPr>
          <w:t>44</w:t>
        </w:r>
        <w:r w:rsidR="00384F74" w:rsidRPr="003720AF">
          <w:rPr>
            <w:webHidden/>
          </w:rPr>
          <w:fldChar w:fldCharType="end"/>
        </w:r>
      </w:hyperlink>
    </w:p>
    <w:p w14:paraId="359DE3FC" w14:textId="77777777" w:rsidR="004D17C2" w:rsidRPr="003720AF" w:rsidRDefault="006C6B16" w:rsidP="00931CF2">
      <w:pPr>
        <w:pStyle w:val="TableofFigures"/>
      </w:pPr>
      <w:r w:rsidRPr="003720AF">
        <w:fldChar w:fldCharType="end"/>
      </w:r>
    </w:p>
    <w:p w14:paraId="1BEB543F" w14:textId="5BE77C87" w:rsidR="00384F74" w:rsidRPr="003720AF" w:rsidRDefault="00384F74" w:rsidP="00384F74">
      <w:pPr>
        <w:spacing w:line="240" w:lineRule="auto"/>
        <w:rPr>
          <w:color w:val="0097DB"/>
          <w:sz w:val="28"/>
        </w:rPr>
      </w:pPr>
      <w:r w:rsidRPr="003720AF">
        <w:rPr>
          <w:color w:val="0097DB"/>
          <w:sz w:val="28"/>
        </w:rPr>
        <w:t>LIST OF FIGURES</w:t>
      </w:r>
    </w:p>
    <w:p w14:paraId="4BDD4311" w14:textId="77777777" w:rsidR="00384F74" w:rsidRPr="003720AF" w:rsidRDefault="00384F74">
      <w:pPr>
        <w:pStyle w:val="TableofFigures"/>
        <w:rPr>
          <w:rFonts w:asciiTheme="minorHAnsi" w:eastAsiaTheme="minorEastAsia" w:hAnsiTheme="minorHAnsi" w:cstheme="minorBidi"/>
          <w:lang w:eastAsia="en-NZ"/>
        </w:rPr>
      </w:pPr>
      <w:r w:rsidRPr="003720AF">
        <w:fldChar w:fldCharType="begin"/>
      </w:r>
      <w:r w:rsidRPr="003720AF">
        <w:instrText xml:space="preserve"> TOC \h \z \c "Figure" </w:instrText>
      </w:r>
      <w:r w:rsidRPr="003720AF">
        <w:fldChar w:fldCharType="separate"/>
      </w:r>
      <w:hyperlink w:anchor="_Toc463798732" w:history="1">
        <w:r w:rsidRPr="003720AF">
          <w:rPr>
            <w:rStyle w:val="Hyperlink"/>
          </w:rPr>
          <w:t>Figure A1.</w:t>
        </w:r>
        <w:r w:rsidRPr="003720AF">
          <w:rPr>
            <w:rFonts w:asciiTheme="minorHAnsi" w:eastAsiaTheme="minorEastAsia" w:hAnsiTheme="minorHAnsi" w:cstheme="minorBidi"/>
            <w:lang w:eastAsia="en-NZ"/>
          </w:rPr>
          <w:tab/>
        </w:r>
        <w:r w:rsidRPr="003720AF">
          <w:rPr>
            <w:rStyle w:val="Hyperlink"/>
          </w:rPr>
          <w:t>Comparison of methamphetamine doses calculated for 1 to ≤ 2-year old children assuming deposited residue = 0.1 µg/100 cm</w:t>
        </w:r>
        <w:r w:rsidRPr="003720AF">
          <w:rPr>
            <w:rStyle w:val="Hyperlink"/>
            <w:vertAlign w:val="superscript"/>
          </w:rPr>
          <w:t>2</w:t>
        </w:r>
        <w:r w:rsidRPr="003720AF">
          <w:rPr>
            <w:webHidden/>
          </w:rPr>
          <w:tab/>
        </w:r>
        <w:r w:rsidRPr="003720AF">
          <w:rPr>
            <w:webHidden/>
          </w:rPr>
          <w:fldChar w:fldCharType="begin"/>
        </w:r>
        <w:r w:rsidRPr="003720AF">
          <w:rPr>
            <w:webHidden/>
          </w:rPr>
          <w:instrText xml:space="preserve"> PAGEREF _Toc463798732 \h </w:instrText>
        </w:r>
        <w:r w:rsidRPr="003720AF">
          <w:rPr>
            <w:webHidden/>
          </w:rPr>
        </w:r>
        <w:r w:rsidRPr="003720AF">
          <w:rPr>
            <w:webHidden/>
          </w:rPr>
          <w:fldChar w:fldCharType="separate"/>
        </w:r>
        <w:r w:rsidR="00F6014F">
          <w:rPr>
            <w:webHidden/>
          </w:rPr>
          <w:t>42</w:t>
        </w:r>
        <w:r w:rsidRPr="003720AF">
          <w:rPr>
            <w:webHidden/>
          </w:rPr>
          <w:fldChar w:fldCharType="end"/>
        </w:r>
      </w:hyperlink>
    </w:p>
    <w:p w14:paraId="0262CA0E" w14:textId="77777777" w:rsidR="00384F74" w:rsidRPr="003720AF" w:rsidRDefault="00154F49">
      <w:pPr>
        <w:pStyle w:val="TableofFigures"/>
        <w:rPr>
          <w:rFonts w:asciiTheme="minorHAnsi" w:eastAsiaTheme="minorEastAsia" w:hAnsiTheme="minorHAnsi" w:cstheme="minorBidi"/>
          <w:lang w:eastAsia="en-NZ"/>
        </w:rPr>
      </w:pPr>
      <w:hyperlink w:anchor="_Toc463798733" w:history="1">
        <w:r w:rsidR="00384F74" w:rsidRPr="003720AF">
          <w:rPr>
            <w:rStyle w:val="Hyperlink"/>
          </w:rPr>
          <w:t>Figure A2.</w:t>
        </w:r>
        <w:r w:rsidR="00384F74" w:rsidRPr="003720AF">
          <w:rPr>
            <w:rFonts w:asciiTheme="minorHAnsi" w:eastAsiaTheme="minorEastAsia" w:hAnsiTheme="minorHAnsi" w:cstheme="minorBidi"/>
            <w:lang w:eastAsia="en-NZ"/>
          </w:rPr>
          <w:tab/>
        </w:r>
        <w:r w:rsidR="00384F74" w:rsidRPr="003720AF">
          <w:rPr>
            <w:rStyle w:val="Hyperlink"/>
          </w:rPr>
          <w:t>Comparison of methamphetamine doses calculated for women assuming deposited residue = 0.1 µg/100 cm</w:t>
        </w:r>
        <w:r w:rsidR="00384F74" w:rsidRPr="003720AF">
          <w:rPr>
            <w:rStyle w:val="Hyperlink"/>
            <w:vertAlign w:val="superscript"/>
          </w:rPr>
          <w:t>2</w:t>
        </w:r>
        <w:r w:rsidR="00384F74" w:rsidRPr="003720AF">
          <w:rPr>
            <w:webHidden/>
          </w:rPr>
          <w:tab/>
        </w:r>
        <w:r w:rsidR="00384F74" w:rsidRPr="003720AF">
          <w:rPr>
            <w:webHidden/>
          </w:rPr>
          <w:fldChar w:fldCharType="begin"/>
        </w:r>
        <w:r w:rsidR="00384F74" w:rsidRPr="003720AF">
          <w:rPr>
            <w:webHidden/>
          </w:rPr>
          <w:instrText xml:space="preserve"> PAGEREF _Toc463798733 \h </w:instrText>
        </w:r>
        <w:r w:rsidR="00384F74" w:rsidRPr="003720AF">
          <w:rPr>
            <w:webHidden/>
          </w:rPr>
        </w:r>
        <w:r w:rsidR="00384F74" w:rsidRPr="003720AF">
          <w:rPr>
            <w:webHidden/>
          </w:rPr>
          <w:fldChar w:fldCharType="separate"/>
        </w:r>
        <w:r w:rsidR="00F6014F">
          <w:rPr>
            <w:webHidden/>
          </w:rPr>
          <w:t>43</w:t>
        </w:r>
        <w:r w:rsidR="00384F74" w:rsidRPr="003720AF">
          <w:rPr>
            <w:webHidden/>
          </w:rPr>
          <w:fldChar w:fldCharType="end"/>
        </w:r>
      </w:hyperlink>
    </w:p>
    <w:p w14:paraId="22EE3DA0" w14:textId="77777777" w:rsidR="00384F74" w:rsidRPr="003720AF" w:rsidRDefault="00154F49">
      <w:pPr>
        <w:pStyle w:val="TableofFigures"/>
        <w:rPr>
          <w:rFonts w:asciiTheme="minorHAnsi" w:eastAsiaTheme="minorEastAsia" w:hAnsiTheme="minorHAnsi" w:cstheme="minorBidi"/>
          <w:lang w:eastAsia="en-NZ"/>
        </w:rPr>
      </w:pPr>
      <w:hyperlink w:anchor="_Toc463798734" w:history="1">
        <w:r w:rsidR="00384F74" w:rsidRPr="003720AF">
          <w:rPr>
            <w:rStyle w:val="Hyperlink"/>
          </w:rPr>
          <w:t>Figure A3.</w:t>
        </w:r>
        <w:r w:rsidR="00384F74" w:rsidRPr="003720AF">
          <w:rPr>
            <w:rFonts w:asciiTheme="minorHAnsi" w:eastAsiaTheme="minorEastAsia" w:hAnsiTheme="minorHAnsi" w:cstheme="minorBidi"/>
            <w:lang w:eastAsia="en-NZ"/>
          </w:rPr>
          <w:tab/>
        </w:r>
        <w:r w:rsidR="00384F74" w:rsidRPr="003720AF">
          <w:rPr>
            <w:rStyle w:val="Hyperlink"/>
          </w:rPr>
          <w:t>Comparison of surface wipe concentrations in remediated clandestine methamphetamine laboratories with the New Zealand cleanup standard and the cleanup level calculated in this document (base figure from McKenzie 2014)</w:t>
        </w:r>
        <w:r w:rsidR="00384F74" w:rsidRPr="003720AF">
          <w:rPr>
            <w:webHidden/>
          </w:rPr>
          <w:tab/>
        </w:r>
        <w:r w:rsidR="00384F74" w:rsidRPr="003720AF">
          <w:rPr>
            <w:webHidden/>
          </w:rPr>
          <w:fldChar w:fldCharType="begin"/>
        </w:r>
        <w:r w:rsidR="00384F74" w:rsidRPr="003720AF">
          <w:rPr>
            <w:webHidden/>
          </w:rPr>
          <w:instrText xml:space="preserve"> PAGEREF _Toc463798734 \h </w:instrText>
        </w:r>
        <w:r w:rsidR="00384F74" w:rsidRPr="003720AF">
          <w:rPr>
            <w:webHidden/>
          </w:rPr>
        </w:r>
        <w:r w:rsidR="00384F74" w:rsidRPr="003720AF">
          <w:rPr>
            <w:webHidden/>
          </w:rPr>
          <w:fldChar w:fldCharType="separate"/>
        </w:r>
        <w:r w:rsidR="00F6014F">
          <w:rPr>
            <w:webHidden/>
          </w:rPr>
          <w:t>46</w:t>
        </w:r>
        <w:r w:rsidR="00384F74" w:rsidRPr="003720AF">
          <w:rPr>
            <w:webHidden/>
          </w:rPr>
          <w:fldChar w:fldCharType="end"/>
        </w:r>
      </w:hyperlink>
    </w:p>
    <w:p w14:paraId="053FFF43" w14:textId="77777777" w:rsidR="00942496" w:rsidRPr="003720AF" w:rsidRDefault="00384F74" w:rsidP="00931CF2">
      <w:pPr>
        <w:pStyle w:val="ESRBodyText"/>
      </w:pPr>
      <w:r w:rsidRPr="003720AF">
        <w:fldChar w:fldCharType="end"/>
      </w:r>
    </w:p>
    <w:p w14:paraId="0330501C" w14:textId="77777777" w:rsidR="00394A2F" w:rsidRPr="003720AF" w:rsidRDefault="00394A2F" w:rsidP="00FE59AE">
      <w:pPr>
        <w:pStyle w:val="ESRBodyText"/>
      </w:pPr>
    </w:p>
    <w:p w14:paraId="6F7E006F" w14:textId="77777777" w:rsidR="00394A2F" w:rsidRPr="003720AF" w:rsidRDefault="00394A2F" w:rsidP="00FE59AE">
      <w:pPr>
        <w:pStyle w:val="ESRBodyText"/>
        <w:sectPr w:rsidR="00394A2F" w:rsidRPr="003720AF" w:rsidSect="004D17C2">
          <w:footerReference w:type="default" r:id="rId20"/>
          <w:pgSz w:w="11906" w:h="16838" w:code="9"/>
          <w:pgMar w:top="1440" w:right="1440" w:bottom="1440" w:left="1440" w:header="709" w:footer="709" w:gutter="0"/>
          <w:cols w:space="708"/>
          <w:docGrid w:linePitch="360"/>
        </w:sectPr>
      </w:pPr>
    </w:p>
    <w:p w14:paraId="52F030AE" w14:textId="77777777" w:rsidR="00FE59AE" w:rsidRPr="003720AF" w:rsidRDefault="00FE59AE" w:rsidP="005F6C0B">
      <w:pPr>
        <w:pStyle w:val="Heading1"/>
        <w:numPr>
          <w:ilvl w:val="0"/>
          <w:numId w:val="0"/>
        </w:numPr>
      </w:pPr>
      <w:bookmarkStart w:id="1" w:name="_Toc410649540"/>
      <w:bookmarkStart w:id="2" w:name="_Toc414863603"/>
      <w:bookmarkStart w:id="3" w:name="_Toc444688329"/>
      <w:bookmarkStart w:id="4" w:name="_Toc445304490"/>
      <w:bookmarkStart w:id="5" w:name="_Toc463856025"/>
      <w:r w:rsidRPr="003720AF">
        <w:lastRenderedPageBreak/>
        <w:t>EXECUTIVE SUMMARY</w:t>
      </w:r>
      <w:bookmarkEnd w:id="1"/>
      <w:bookmarkEnd w:id="2"/>
      <w:bookmarkEnd w:id="3"/>
      <w:bookmarkEnd w:id="4"/>
      <w:bookmarkEnd w:id="5"/>
    </w:p>
    <w:p w14:paraId="638868A9" w14:textId="0006C488" w:rsidR="003A23AE" w:rsidRPr="003720AF" w:rsidRDefault="003A23AE" w:rsidP="003A23AE">
      <w:pPr>
        <w:spacing w:line="360" w:lineRule="auto"/>
      </w:pPr>
      <w:r w:rsidRPr="003720AF">
        <w:t>This report provides a proposed standard for methamphetamine (MA) residues in remediated houses previously used as clandestine laboratories, based on a review of published and online literature, international health authority websites, reports, and journal articles relating to health effects and exposures to MA. Risk assessments forming the b</w:t>
      </w:r>
      <w:r w:rsidR="006A7725" w:rsidRPr="003720AF">
        <w:t>asis of MA clean</w:t>
      </w:r>
      <w:r w:rsidRPr="003720AF">
        <w:t>up standards from the Australian Government, the California Environmental Protection Agency, and the Colorado Department of Public Heal</w:t>
      </w:r>
      <w:r w:rsidR="005F6C0B" w:rsidRPr="003720AF">
        <w:t xml:space="preserve">th were reviewed and compared. </w:t>
      </w:r>
      <w:r w:rsidRPr="003720AF">
        <w:t>The California Reference Dose (RfD) of 0.3 µg/kg bw/day is based on a comprehensive review of the toxicological literature, uses human data, and is the preferred comparison va</w:t>
      </w:r>
      <w:r w:rsidR="005F6C0B" w:rsidRPr="003720AF">
        <w:t xml:space="preserve">lue for a safe daily exposure. </w:t>
      </w:r>
      <w:r w:rsidRPr="003720AF">
        <w:t>Exposure scenarios were reviewed that use U</w:t>
      </w:r>
      <w:r w:rsidR="00DE3F13" w:rsidRPr="003720AF">
        <w:t>nited States</w:t>
      </w:r>
      <w:r w:rsidRPr="003720AF">
        <w:t xml:space="preserve"> E</w:t>
      </w:r>
      <w:r w:rsidR="005F6C0B" w:rsidRPr="003720AF">
        <w:t>nvir</w:t>
      </w:r>
      <w:r w:rsidR="00DE3F13" w:rsidRPr="003720AF">
        <w:t>onmental Protection Agency</w:t>
      </w:r>
      <w:r w:rsidRPr="003720AF">
        <w:t xml:space="preserve"> and New Zealand-specific exposure parameters for a typical case and high, but plausible, exposures to children 1-2 ye</w:t>
      </w:r>
      <w:r w:rsidR="005F6C0B" w:rsidRPr="003720AF">
        <w:t>ars old, and to an adult woman.</w:t>
      </w:r>
      <w:r w:rsidRPr="003720AF">
        <w:t xml:space="preserve"> A study of a New Zealand epidemiological cohort suggests that foetal exposure to MA during the third trimester via placental transfer of a mother using MA is a critical exposure period that carries potential for l</w:t>
      </w:r>
      <w:r w:rsidR="005F6C0B" w:rsidRPr="003720AF">
        <w:t xml:space="preserve">ong-term neurological effects. </w:t>
      </w:r>
      <w:r w:rsidRPr="003720AF">
        <w:t>However, the MA doses received by both mother and f</w:t>
      </w:r>
      <w:r w:rsidR="005F6C0B" w:rsidRPr="003720AF">
        <w:t>o</w:t>
      </w:r>
      <w:r w:rsidRPr="003720AF">
        <w:t>etus are high in such situations. In contrast, the exposure and risk assessment in this report shows that the estimated dose to a non-MA using woman (and by implication, her unborn baby) in a remediated home scenario,</w:t>
      </w:r>
      <w:r w:rsidR="005F6C0B" w:rsidRPr="003720AF">
        <w:t xml:space="preserve"> is orders of magnitude lower. </w:t>
      </w:r>
      <w:r w:rsidRPr="003720AF">
        <w:t>The highest calculated exposures to MA are those experienced by children under 2 years of age, due to their frequent contact with household surfaces, their low body weight, and</w:t>
      </w:r>
      <w:r w:rsidR="00BD414D" w:rsidRPr="003720AF">
        <w:t xml:space="preserve"> their hand-to-</w:t>
      </w:r>
      <w:r w:rsidR="005F6C0B" w:rsidRPr="003720AF">
        <w:t>mouth behaviour.</w:t>
      </w:r>
      <w:r w:rsidRPr="003720AF">
        <w:t xml:space="preserve"> </w:t>
      </w:r>
      <w:r w:rsidR="005F6C0B" w:rsidRPr="003720AF">
        <w:t>However, e</w:t>
      </w:r>
      <w:r w:rsidRPr="003720AF">
        <w:t xml:space="preserve">ven these exposures, using conservative exposure assumptions, fall several orders of magnitude below prescribed therapeutic daily MA </w:t>
      </w:r>
      <w:r w:rsidR="00223B59" w:rsidRPr="003720AF">
        <w:t>doses for children as young as 3</w:t>
      </w:r>
      <w:r w:rsidR="005F6C0B" w:rsidRPr="003720AF">
        <w:t xml:space="preserve"> years of age.</w:t>
      </w:r>
      <w:r w:rsidRPr="003720AF">
        <w:t xml:space="preserve"> Using conservative assumptions, an</w:t>
      </w:r>
      <w:r w:rsidR="00223B59" w:rsidRPr="003720AF">
        <w:t xml:space="preserve"> MA surface concentration of 2.0</w:t>
      </w:r>
      <w:r w:rsidRPr="003720AF">
        <w:t xml:space="preserve"> µg/100 cm</w:t>
      </w:r>
      <w:r w:rsidRPr="003720AF">
        <w:rPr>
          <w:vertAlign w:val="superscript"/>
        </w:rPr>
        <w:t>2</w:t>
      </w:r>
      <w:r w:rsidRPr="003720AF">
        <w:t xml:space="preserve"> resulted in an exposure for young children equal to the California RfD. The estimated MA concentration to a woman of child bear</w:t>
      </w:r>
      <w:r w:rsidR="00223B59" w:rsidRPr="003720AF">
        <w:t>ing age to reach the RfD was 3.8</w:t>
      </w:r>
      <w:r w:rsidRPr="003720AF">
        <w:t xml:space="preserve"> µg/</w:t>
      </w:r>
      <w:r w:rsidR="00C710D7" w:rsidRPr="003720AF">
        <w:t xml:space="preserve">100 </w:t>
      </w:r>
      <w:r w:rsidRPr="003720AF">
        <w:t>cm</w:t>
      </w:r>
      <w:r w:rsidRPr="003720AF">
        <w:rPr>
          <w:vertAlign w:val="superscript"/>
        </w:rPr>
        <w:t>2</w:t>
      </w:r>
      <w:r w:rsidR="00223B59" w:rsidRPr="003720AF">
        <w:t>. This calculation</w:t>
      </w:r>
      <w:r w:rsidRPr="003720AF">
        <w:t xml:space="preserve"> </w:t>
      </w:r>
      <w:r w:rsidR="00223B59" w:rsidRPr="003720AF">
        <w:t xml:space="preserve">slightly exceeds </w:t>
      </w:r>
      <w:r w:rsidRPr="003720AF">
        <w:t>the 2010 California MA standard of 1.5 µg/</w:t>
      </w:r>
      <w:r w:rsidR="00C710D7" w:rsidRPr="003720AF">
        <w:t xml:space="preserve">100 </w:t>
      </w:r>
      <w:r w:rsidRPr="003720AF">
        <w:t>cm</w:t>
      </w:r>
      <w:r w:rsidRPr="003720AF">
        <w:rPr>
          <w:vertAlign w:val="superscript"/>
        </w:rPr>
        <w:t xml:space="preserve">2 </w:t>
      </w:r>
      <w:r w:rsidR="004A49B0" w:rsidRPr="003720AF">
        <w:t>a</w:t>
      </w:r>
      <w:r w:rsidRPr="003720AF">
        <w:t xml:space="preserve">nd it is recommended that </w:t>
      </w:r>
      <w:r w:rsidR="00EA5B31" w:rsidRPr="003720AF">
        <w:t>the</w:t>
      </w:r>
      <w:r w:rsidR="004A49B0" w:rsidRPr="003720AF">
        <w:t xml:space="preserve"> value</w:t>
      </w:r>
      <w:r w:rsidR="00EA5B31" w:rsidRPr="003720AF">
        <w:t xml:space="preserve"> of 2.0</w:t>
      </w:r>
      <w:r w:rsidR="00B05869" w:rsidRPr="003720AF">
        <w:t> </w:t>
      </w:r>
      <w:r w:rsidR="00EA2E0D" w:rsidRPr="003720AF">
        <w:t>µg/100 cm</w:t>
      </w:r>
      <w:r w:rsidR="00EA2E0D" w:rsidRPr="003720AF">
        <w:rPr>
          <w:vertAlign w:val="superscript"/>
        </w:rPr>
        <w:t xml:space="preserve">2 </w:t>
      </w:r>
      <w:r w:rsidRPr="003720AF">
        <w:t>be adopted as the standard for maximum MA residue in remediated houses of forme</w:t>
      </w:r>
      <w:r w:rsidR="005F6C0B" w:rsidRPr="003720AF">
        <w:t xml:space="preserve">r MA users in New Zealand. </w:t>
      </w:r>
      <w:r w:rsidRPr="003720AF">
        <w:t>For former clan</w:t>
      </w:r>
      <w:r w:rsidR="005F6C0B" w:rsidRPr="003720AF">
        <w:t>destine</w:t>
      </w:r>
      <w:r w:rsidRPr="003720AF">
        <w:t xml:space="preserve"> lab</w:t>
      </w:r>
      <w:r w:rsidR="005F6C0B" w:rsidRPr="003720AF">
        <w:t>oratories</w:t>
      </w:r>
      <w:r w:rsidRPr="003720AF">
        <w:t>, the prospect of additional organic chemicals</w:t>
      </w:r>
      <w:r w:rsidR="00223B59" w:rsidRPr="003720AF">
        <w:t xml:space="preserve"> </w:t>
      </w:r>
      <w:r w:rsidRPr="003720AF">
        <w:t>that are either undetected during cleanup operations, or that have uncharacterized toxicity, but possibly add to health risk, leads to a precautionary recommendation that the existing MA standard of 0.5 µg/</w:t>
      </w:r>
      <w:r w:rsidR="00C710D7" w:rsidRPr="003720AF">
        <w:t xml:space="preserve">100 </w:t>
      </w:r>
      <w:r w:rsidRPr="003720AF">
        <w:t>cm</w:t>
      </w:r>
      <w:r w:rsidRPr="003720AF">
        <w:rPr>
          <w:vertAlign w:val="superscript"/>
        </w:rPr>
        <w:t>2</w:t>
      </w:r>
      <w:r w:rsidRPr="003720AF">
        <w:t xml:space="preserve"> be retained as a conservative sentinel value as a cleanup standard.  </w:t>
      </w:r>
    </w:p>
    <w:p w14:paraId="0324195A" w14:textId="77777777" w:rsidR="003A23AE" w:rsidRPr="003720AF" w:rsidRDefault="003A23AE" w:rsidP="003A23AE">
      <w:pPr>
        <w:spacing w:line="360" w:lineRule="auto"/>
      </w:pPr>
    </w:p>
    <w:p w14:paraId="1AED5223" w14:textId="09BC9F54" w:rsidR="003A23AE" w:rsidRPr="003720AF" w:rsidRDefault="003A23AE" w:rsidP="00373EC4">
      <w:pPr>
        <w:spacing w:line="360" w:lineRule="auto"/>
      </w:pPr>
      <w:r w:rsidRPr="003720AF">
        <w:lastRenderedPageBreak/>
        <w:t>It is further recommended that, in the case of clan</w:t>
      </w:r>
      <w:r w:rsidR="005F6C0B" w:rsidRPr="003720AF">
        <w:t>destine</w:t>
      </w:r>
      <w:r w:rsidRPr="003720AF">
        <w:t xml:space="preserve"> lab</w:t>
      </w:r>
      <w:r w:rsidR="005F6C0B" w:rsidRPr="003720AF">
        <w:t>oratories</w:t>
      </w:r>
      <w:r w:rsidRPr="003720AF">
        <w:t>, a survey of heavy metals, particularly mercury and lead, which can be present depending on the type of MA production method e</w:t>
      </w:r>
      <w:r w:rsidR="006A7725" w:rsidRPr="003720AF">
        <w:t>mployed, should accompany clean</w:t>
      </w:r>
      <w:r w:rsidRPr="003720AF">
        <w:t>up efforts to ensure elevated concentrations of persistent highly toxic heavy metals are not present resulting from the clan</w:t>
      </w:r>
      <w:r w:rsidR="005F6C0B" w:rsidRPr="003720AF">
        <w:t>destine</w:t>
      </w:r>
      <w:r w:rsidRPr="003720AF">
        <w:t xml:space="preserve"> lab</w:t>
      </w:r>
      <w:r w:rsidR="005F6C0B" w:rsidRPr="003720AF">
        <w:t xml:space="preserve">oratory materials. </w:t>
      </w:r>
      <w:r w:rsidR="006A7725" w:rsidRPr="003720AF">
        <w:t>The clean</w:t>
      </w:r>
      <w:r w:rsidRPr="003720AF">
        <w:t>up standards for MA should not be used as a proxy/substitute for potential heavy metal contaminants.</w:t>
      </w:r>
    </w:p>
    <w:p w14:paraId="242D994F" w14:textId="77777777" w:rsidR="009F0D67" w:rsidRPr="003720AF" w:rsidRDefault="009F0D67" w:rsidP="00373EC4">
      <w:pPr>
        <w:spacing w:line="360" w:lineRule="auto"/>
        <w:sectPr w:rsidR="009F0D67" w:rsidRPr="003720AF" w:rsidSect="00AF4872">
          <w:footerReference w:type="default" r:id="rId21"/>
          <w:endnotePr>
            <w:numFmt w:val="decimal"/>
          </w:endnotePr>
          <w:pgSz w:w="12240" w:h="15840" w:code="1"/>
          <w:pgMar w:top="1296" w:right="1296" w:bottom="1296" w:left="1296" w:header="432" w:footer="432" w:gutter="0"/>
          <w:pgNumType w:start="1"/>
          <w:cols w:space="720"/>
          <w:noEndnote/>
          <w:docGrid w:linePitch="326"/>
        </w:sectPr>
      </w:pPr>
    </w:p>
    <w:p w14:paraId="1D74C44A" w14:textId="77777777" w:rsidR="005857B2" w:rsidRPr="003720AF" w:rsidRDefault="00FA2F89" w:rsidP="005857B2">
      <w:pPr>
        <w:pStyle w:val="Heading1Blue"/>
      </w:pPr>
      <w:bookmarkStart w:id="6" w:name="_Toc463856026"/>
      <w:r w:rsidRPr="003720AF">
        <w:lastRenderedPageBreak/>
        <w:t>INTRODUCTION</w:t>
      </w:r>
      <w:bookmarkEnd w:id="6"/>
    </w:p>
    <w:p w14:paraId="239AFE83" w14:textId="1F12E323" w:rsidR="003A23AE" w:rsidRPr="003720AF" w:rsidRDefault="003A23AE" w:rsidP="003A23AE">
      <w:pPr>
        <w:spacing w:line="360" w:lineRule="auto"/>
      </w:pPr>
      <w:r w:rsidRPr="003720AF">
        <w:t>Methamphetamine (MA) is a drug used for the treatment of attention deficit hyperactivity disorder (</w:t>
      </w:r>
      <w:r w:rsidR="00AC530D" w:rsidRPr="003720AF">
        <w:t>ADHD) in children and adults. A</w:t>
      </w:r>
      <w:r w:rsidRPr="003720AF">
        <w:t>t higher doses of MA, a sense of euphoria is experienced, leading to the formation of addiction, with numero</w:t>
      </w:r>
      <w:r w:rsidR="00AC530D" w:rsidRPr="003720AF">
        <w:t>us accompanying health effects.</w:t>
      </w:r>
      <w:r w:rsidRPr="003720AF">
        <w:t xml:space="preserve"> MA itself is water soluble</w:t>
      </w:r>
      <w:r w:rsidR="00AC530D" w:rsidRPr="003720AF">
        <w:t xml:space="preserve"> and of low volatility. The e</w:t>
      </w:r>
      <w:r w:rsidRPr="003720AF">
        <w:t>l</w:t>
      </w:r>
      <w:r w:rsidR="00AC530D" w:rsidRPr="003720AF">
        <w:t>imination half-life is about 24</w:t>
      </w:r>
      <w:r w:rsidR="00AC530D" w:rsidRPr="003720AF">
        <w:rPr>
          <w:rFonts w:cs="Arial"/>
        </w:rPr>
        <w:t>–</w:t>
      </w:r>
      <w:r w:rsidRPr="003720AF">
        <w:t>30 hours in humans, but only about 70 minutes in rats (Table 1).</w:t>
      </w:r>
    </w:p>
    <w:p w14:paraId="0C22A0D7" w14:textId="529EBC15" w:rsidR="003A23AE" w:rsidRPr="003720AF" w:rsidRDefault="003A23AE" w:rsidP="003A23AE">
      <w:pPr>
        <w:spacing w:line="360" w:lineRule="auto"/>
        <w:rPr>
          <w:rFonts w:cs="Arial"/>
        </w:rPr>
      </w:pPr>
      <w:r w:rsidRPr="003720AF">
        <w:rPr>
          <w:rFonts w:cs="Arial"/>
        </w:rPr>
        <w:t>The production of MA in clandestine laboratories (clan labs) involves the use of chemicals and materials that can be acutely or chronically toxic, as well as explosive or corrosive. Clan labs are thus subject to a range of legislation and enforcement strategies designed to take action against the misuse of drugs and to minimise risks to the public. Particular concerns relate to children, who may incidentally contact these chemicals in current or former lab</w:t>
      </w:r>
      <w:r w:rsidR="00AC530D" w:rsidRPr="003720AF">
        <w:rPr>
          <w:rFonts w:cs="Arial"/>
        </w:rPr>
        <w:t>oratories</w:t>
      </w:r>
      <w:r w:rsidRPr="003720AF">
        <w:rPr>
          <w:rFonts w:cs="Arial"/>
        </w:rPr>
        <w:t>, or come into routine contact with chemical residues in homes previously occupied by MA users. (AIC 2007).</w:t>
      </w:r>
    </w:p>
    <w:p w14:paraId="278102E4" w14:textId="770BEDCD" w:rsidR="003A23AE" w:rsidRPr="003720AF" w:rsidRDefault="003A23AE" w:rsidP="003A23AE">
      <w:pPr>
        <w:spacing w:line="360" w:lineRule="auto"/>
        <w:rPr>
          <w:rFonts w:cs="Arial"/>
        </w:rPr>
      </w:pPr>
      <w:r w:rsidRPr="003720AF">
        <w:rPr>
          <w:rFonts w:cs="Arial"/>
        </w:rPr>
        <w:t>The New Zealand Ministry of Health, due to the rise in the number of clan labs between 2000 and 2009, recognised the growing potential risks to those li</w:t>
      </w:r>
      <w:r w:rsidR="001A63EE" w:rsidRPr="003720AF">
        <w:rPr>
          <w:rFonts w:cs="Arial"/>
        </w:rPr>
        <w:t>ving in a reoccupied house of being</w:t>
      </w:r>
      <w:r w:rsidRPr="003720AF">
        <w:rPr>
          <w:rFonts w:cs="Arial"/>
        </w:rPr>
        <w:t xml:space="preserve"> inadvertently exposed to chemical residues following remediation of a clan lab. The Ministry of Health published guidance material </w:t>
      </w:r>
      <w:r w:rsidR="006A7725" w:rsidRPr="003720AF">
        <w:rPr>
          <w:rFonts w:cs="Arial"/>
        </w:rPr>
        <w:t>for clean</w:t>
      </w:r>
      <w:r w:rsidRPr="003720AF">
        <w:rPr>
          <w:rFonts w:cs="Arial"/>
        </w:rPr>
        <w:t xml:space="preserve">up of clan labs to help manage </w:t>
      </w:r>
      <w:r w:rsidR="004A495E" w:rsidRPr="003720AF">
        <w:rPr>
          <w:rFonts w:cs="Arial"/>
        </w:rPr>
        <w:t>these risks (MoH</w:t>
      </w:r>
      <w:r w:rsidRPr="003720AF">
        <w:rPr>
          <w:rFonts w:cs="Arial"/>
        </w:rPr>
        <w:t xml:space="preserve"> 2010). Despite the increased prevalence of clan labs, at least one report found that the use of MA appears to have been on the decline since the early 2000’s, with 1.4% of the surveyed population age</w:t>
      </w:r>
      <w:r w:rsidR="001A63EE" w:rsidRPr="003720AF">
        <w:rPr>
          <w:rFonts w:cs="Arial"/>
        </w:rPr>
        <w:t>d</w:t>
      </w:r>
      <w:r w:rsidRPr="003720AF">
        <w:rPr>
          <w:rFonts w:cs="Arial"/>
        </w:rPr>
        <w:t xml:space="preserve"> </w:t>
      </w:r>
      <w:r w:rsidR="00AC530D" w:rsidRPr="003720AF">
        <w:rPr>
          <w:rFonts w:cs="Arial"/>
        </w:rPr>
        <w:t xml:space="preserve">between </w:t>
      </w:r>
      <w:r w:rsidRPr="003720AF">
        <w:rPr>
          <w:rFonts w:cs="Arial"/>
        </w:rPr>
        <w:t>15</w:t>
      </w:r>
      <w:r w:rsidR="00AC530D" w:rsidRPr="003720AF">
        <w:rPr>
          <w:rFonts w:cs="Arial"/>
        </w:rPr>
        <w:t xml:space="preserve"> and </w:t>
      </w:r>
      <w:r w:rsidRPr="003720AF">
        <w:rPr>
          <w:rFonts w:cs="Arial"/>
        </w:rPr>
        <w:t>45</w:t>
      </w:r>
      <w:r w:rsidR="00AC530D" w:rsidRPr="003720AF">
        <w:rPr>
          <w:rFonts w:cs="Arial"/>
        </w:rPr>
        <w:t xml:space="preserve"> years</w:t>
      </w:r>
      <w:r w:rsidRPr="003720AF">
        <w:rPr>
          <w:rFonts w:cs="Arial"/>
        </w:rPr>
        <w:t xml:space="preserve"> in 2009 reporting MA use, down from 4.3</w:t>
      </w:r>
      <w:r w:rsidR="004A495E" w:rsidRPr="003720AF">
        <w:rPr>
          <w:rFonts w:cs="Arial"/>
        </w:rPr>
        <w:t>% in 2006 (Wilkins and Sweetsur</w:t>
      </w:r>
      <w:r w:rsidRPr="003720AF">
        <w:rPr>
          <w:rFonts w:cs="Arial"/>
        </w:rPr>
        <w:t xml:space="preserve"> 2009). </w:t>
      </w:r>
    </w:p>
    <w:p w14:paraId="1B58B3CE" w14:textId="41AB0B4D" w:rsidR="003A23AE" w:rsidRPr="003720AF" w:rsidRDefault="003A23AE" w:rsidP="003A23AE">
      <w:pPr>
        <w:spacing w:line="360" w:lineRule="auto"/>
        <w:rPr>
          <w:rFonts w:cs="Arial"/>
        </w:rPr>
      </w:pPr>
      <w:r w:rsidRPr="003720AF">
        <w:rPr>
          <w:rFonts w:cs="Arial"/>
        </w:rPr>
        <w:t>A similar pattern for declining MA production and use is apparent</w:t>
      </w:r>
      <w:r w:rsidR="00AC530D" w:rsidRPr="003720AF">
        <w:rPr>
          <w:rFonts w:cs="Arial"/>
        </w:rPr>
        <w:t xml:space="preserve"> in much of the United States. </w:t>
      </w:r>
      <w:r w:rsidRPr="003720AF">
        <w:rPr>
          <w:rFonts w:cs="Times"/>
          <w:color w:val="262626"/>
        </w:rPr>
        <w:t xml:space="preserve">Statistics show a 23 percent decrease in </w:t>
      </w:r>
      <w:r w:rsidR="00AC530D" w:rsidRPr="003720AF">
        <w:rPr>
          <w:rFonts w:cs="Times"/>
          <w:color w:val="262626"/>
        </w:rPr>
        <w:t xml:space="preserve">clan </w:t>
      </w:r>
      <w:r w:rsidRPr="003720AF">
        <w:rPr>
          <w:rFonts w:cs="Times"/>
          <w:color w:val="262626"/>
        </w:rPr>
        <w:t>lab incidents, falling from 12,049 in 2013 to 9,306 in 2014</w:t>
      </w:r>
      <w:r w:rsidR="004A078F" w:rsidRPr="003720AF">
        <w:rPr>
          <w:rFonts w:cs="Times"/>
          <w:color w:val="262626"/>
        </w:rPr>
        <w:t xml:space="preserve"> (US</w:t>
      </w:r>
      <w:r w:rsidRPr="003720AF">
        <w:rPr>
          <w:rFonts w:cs="Times"/>
          <w:color w:val="262626"/>
        </w:rPr>
        <w:t>DEA 2015). The number of clan labs across the U</w:t>
      </w:r>
      <w:r w:rsidR="00DE3F13" w:rsidRPr="003720AF">
        <w:rPr>
          <w:rFonts w:cs="Times"/>
          <w:color w:val="262626"/>
        </w:rPr>
        <w:t>nited States</w:t>
      </w:r>
      <w:r w:rsidRPr="003720AF">
        <w:rPr>
          <w:rFonts w:cs="Times"/>
          <w:color w:val="262626"/>
        </w:rPr>
        <w:t xml:space="preserve"> has been steadily falling since 2010, when 15,217 incidents were recorded. An increasing rate of seizures of MA at the Mexican border sugges</w:t>
      </w:r>
      <w:r w:rsidR="00DE3F13" w:rsidRPr="003720AF">
        <w:rPr>
          <w:rFonts w:cs="Times"/>
          <w:color w:val="262626"/>
        </w:rPr>
        <w:t>ts that as United States</w:t>
      </w:r>
      <w:r w:rsidRPr="003720AF">
        <w:rPr>
          <w:rFonts w:cs="Times"/>
          <w:color w:val="262626"/>
        </w:rPr>
        <w:t xml:space="preserve"> production has fallen, production and importation of illicit MA from Mexi</w:t>
      </w:r>
      <w:r w:rsidR="004A495E" w:rsidRPr="003720AF">
        <w:rPr>
          <w:rFonts w:cs="Times"/>
          <w:color w:val="262626"/>
        </w:rPr>
        <w:t>co has increased (Insight Crime</w:t>
      </w:r>
      <w:r w:rsidRPr="003720AF">
        <w:rPr>
          <w:rFonts w:cs="Times"/>
          <w:color w:val="262626"/>
        </w:rPr>
        <w:t xml:space="preserve"> 2016).</w:t>
      </w:r>
      <w:r w:rsidRPr="003720AF">
        <w:rPr>
          <w:rFonts w:cs="Arial"/>
        </w:rPr>
        <w:t xml:space="preserve"> Thus, while domestic MA production may be declining, illicit MA use remain</w:t>
      </w:r>
      <w:r w:rsidR="00373EC4" w:rsidRPr="003720AF">
        <w:rPr>
          <w:rFonts w:cs="Arial"/>
        </w:rPr>
        <w:t>s a significant health problem.</w:t>
      </w:r>
    </w:p>
    <w:p w14:paraId="34F6AA8C" w14:textId="77777777" w:rsidR="00EC0E12" w:rsidRPr="003720AF" w:rsidRDefault="00EC0E12">
      <w:r w:rsidRPr="003720AF">
        <w:br w:type="page"/>
      </w:r>
    </w:p>
    <w:p w14:paraId="75F985FD" w14:textId="77777777" w:rsidR="00FE59AE" w:rsidRPr="003720AF" w:rsidRDefault="00B90BAE" w:rsidP="00B90BAE">
      <w:pPr>
        <w:pStyle w:val="Caption"/>
        <w:tabs>
          <w:tab w:val="left" w:pos="993"/>
        </w:tabs>
      </w:pPr>
      <w:bookmarkStart w:id="7" w:name="_Toc463799351"/>
      <w:r w:rsidRPr="003720AF">
        <w:lastRenderedPageBreak/>
        <w:t xml:space="preserve">Table </w:t>
      </w:r>
      <w:fldSimple w:instr=" SEQ Table \* ARABIC ">
        <w:r w:rsidR="00F6014F">
          <w:rPr>
            <w:noProof/>
          </w:rPr>
          <w:t>1</w:t>
        </w:r>
      </w:fldSimple>
      <w:r w:rsidRPr="003720AF">
        <w:t>:</w:t>
      </w:r>
      <w:r w:rsidRPr="003720AF">
        <w:tab/>
        <w:t>Methamphetamine and its properties</w:t>
      </w:r>
      <w:bookmarkEnd w:id="7"/>
    </w:p>
    <w:tbl>
      <w:tblPr>
        <w:tblStyle w:val="LightShading"/>
        <w:tblW w:w="0" w:type="auto"/>
        <w:tblLook w:val="04A0" w:firstRow="1" w:lastRow="0" w:firstColumn="1" w:lastColumn="0" w:noHBand="0" w:noVBand="1"/>
      </w:tblPr>
      <w:tblGrid>
        <w:gridCol w:w="4428"/>
        <w:gridCol w:w="4428"/>
      </w:tblGrid>
      <w:tr w:rsidR="00EC0E12" w:rsidRPr="003720AF" w14:paraId="5BDB07C0" w14:textId="77777777" w:rsidTr="00373EC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28" w:type="dxa"/>
          </w:tcPr>
          <w:p w14:paraId="00961F8B" w14:textId="77777777" w:rsidR="00EC0E12" w:rsidRPr="003720AF" w:rsidRDefault="00EC0E12" w:rsidP="00373EC4">
            <w:pPr>
              <w:spacing w:before="40" w:after="40"/>
              <w:rPr>
                <w:lang w:val="en-NZ"/>
              </w:rPr>
            </w:pPr>
            <w:r w:rsidRPr="003720AF">
              <w:rPr>
                <w:lang w:val="en-NZ"/>
              </w:rPr>
              <w:t>Name</w:t>
            </w:r>
          </w:p>
        </w:tc>
        <w:tc>
          <w:tcPr>
            <w:tcW w:w="4428" w:type="dxa"/>
          </w:tcPr>
          <w:p w14:paraId="1A44C8E0" w14:textId="77777777" w:rsidR="00EC0E12" w:rsidRPr="003720AF" w:rsidRDefault="00EC0E12" w:rsidP="00373EC4">
            <w:pPr>
              <w:spacing w:before="40" w:after="40"/>
              <w:cnfStyle w:val="100000000000" w:firstRow="1" w:lastRow="0" w:firstColumn="0" w:lastColumn="0" w:oddVBand="0" w:evenVBand="0" w:oddHBand="0" w:evenHBand="0" w:firstRowFirstColumn="0" w:firstRowLastColumn="0" w:lastRowFirstColumn="0" w:lastRowLastColumn="0"/>
              <w:rPr>
                <w:lang w:val="en-NZ"/>
              </w:rPr>
            </w:pPr>
            <w:r w:rsidRPr="003720AF">
              <w:rPr>
                <w:lang w:val="en-NZ"/>
              </w:rPr>
              <w:t>Methamphetamine</w:t>
            </w:r>
          </w:p>
        </w:tc>
      </w:tr>
      <w:tr w:rsidR="00EC0E12" w:rsidRPr="003720AF" w14:paraId="596A92CD" w14:textId="77777777" w:rsidTr="00373EC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28" w:type="dxa"/>
          </w:tcPr>
          <w:p w14:paraId="7CC535F0" w14:textId="77777777" w:rsidR="00EC0E12" w:rsidRPr="003720AF" w:rsidRDefault="00EC0E12" w:rsidP="00373EC4">
            <w:pPr>
              <w:spacing w:before="40" w:after="40"/>
              <w:rPr>
                <w:lang w:val="en-NZ"/>
              </w:rPr>
            </w:pPr>
            <w:r w:rsidRPr="003720AF">
              <w:rPr>
                <w:lang w:val="en-NZ"/>
              </w:rPr>
              <w:t>Synonyms</w:t>
            </w:r>
          </w:p>
        </w:tc>
        <w:tc>
          <w:tcPr>
            <w:tcW w:w="4428" w:type="dxa"/>
          </w:tcPr>
          <w:p w14:paraId="34B330F9" w14:textId="77777777" w:rsidR="00EC0E12" w:rsidRPr="003720AF" w:rsidRDefault="00EC0E12" w:rsidP="00373EC4">
            <w:pPr>
              <w:spacing w:before="40" w:after="40"/>
              <w:cnfStyle w:val="000000100000" w:firstRow="0" w:lastRow="0" w:firstColumn="0" w:lastColumn="0" w:oddVBand="0" w:evenVBand="0" w:oddHBand="1" w:evenHBand="0" w:firstRowFirstColumn="0" w:firstRowLastColumn="0" w:lastRowFirstColumn="0" w:lastRowLastColumn="0"/>
              <w:rPr>
                <w:i/>
                <w:lang w:val="en-NZ"/>
              </w:rPr>
            </w:pPr>
            <w:r w:rsidRPr="003720AF">
              <w:rPr>
                <w:i/>
                <w:lang w:val="en-NZ"/>
              </w:rPr>
              <w:t xml:space="preserve">MA, meth, crystal meth, </w:t>
            </w:r>
            <w:r w:rsidRPr="003720AF">
              <w:rPr>
                <w:rFonts w:cs="Helvetica"/>
                <w:i/>
                <w:lang w:val="en-NZ"/>
              </w:rPr>
              <w:t>desoxyephedrine</w:t>
            </w:r>
          </w:p>
        </w:tc>
      </w:tr>
      <w:tr w:rsidR="00EC0E12" w:rsidRPr="003720AF" w14:paraId="50A24ACF" w14:textId="77777777" w:rsidTr="00373EC4">
        <w:trPr>
          <w:trHeight w:val="227"/>
        </w:trPr>
        <w:tc>
          <w:tcPr>
            <w:cnfStyle w:val="001000000000" w:firstRow="0" w:lastRow="0" w:firstColumn="1" w:lastColumn="0" w:oddVBand="0" w:evenVBand="0" w:oddHBand="0" w:evenHBand="0" w:firstRowFirstColumn="0" w:firstRowLastColumn="0" w:lastRowFirstColumn="0" w:lastRowLastColumn="0"/>
            <w:tcW w:w="4428" w:type="dxa"/>
          </w:tcPr>
          <w:p w14:paraId="688EB436" w14:textId="77777777" w:rsidR="00EC0E12" w:rsidRPr="003720AF" w:rsidRDefault="00EC0E12" w:rsidP="00373EC4">
            <w:pPr>
              <w:spacing w:before="40" w:after="40"/>
              <w:rPr>
                <w:lang w:val="en-NZ"/>
              </w:rPr>
            </w:pPr>
            <w:r w:rsidRPr="003720AF">
              <w:rPr>
                <w:lang w:val="en-NZ"/>
              </w:rPr>
              <w:t>Structure</w:t>
            </w:r>
          </w:p>
        </w:tc>
        <w:tc>
          <w:tcPr>
            <w:tcW w:w="4428" w:type="dxa"/>
          </w:tcPr>
          <w:p w14:paraId="45A4717B" w14:textId="77777777" w:rsidR="00EC0E12" w:rsidRPr="003720AF" w:rsidRDefault="00EC0E12" w:rsidP="00373EC4">
            <w:pPr>
              <w:spacing w:before="40" w:after="40"/>
              <w:cnfStyle w:val="000000000000" w:firstRow="0" w:lastRow="0" w:firstColumn="0" w:lastColumn="0" w:oddVBand="0" w:evenVBand="0" w:oddHBand="0" w:evenHBand="0" w:firstRowFirstColumn="0" w:firstRowLastColumn="0" w:lastRowFirstColumn="0" w:lastRowLastColumn="0"/>
              <w:rPr>
                <w:b/>
                <w:lang w:val="en-NZ"/>
              </w:rPr>
            </w:pPr>
            <w:r w:rsidRPr="003720AF">
              <w:rPr>
                <w:b/>
                <w:noProof/>
                <w:lang w:eastAsia="en-NZ"/>
              </w:rPr>
              <w:drawing>
                <wp:inline distT="0" distB="0" distL="0" distR="0" wp14:anchorId="3BA346E1" wp14:editId="01E2F265">
                  <wp:extent cx="1244600" cy="673100"/>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df"/>
                          <pic:cNvPicPr/>
                        </pic:nvPicPr>
                        <pic:blipFill rotWithShape="1">
                          <a:blip r:embed="rId22" cstate="print">
                            <a:extLst>
                              <a:ext uri="{28A0092B-C50C-407E-A947-70E740481C1C}">
                                <a14:useLocalDpi xmlns:a14="http://schemas.microsoft.com/office/drawing/2010/main" val="0"/>
                              </a:ext>
                            </a:extLst>
                          </a:blip>
                          <a:srcRect r="59596" b="83114"/>
                          <a:stretch/>
                        </pic:blipFill>
                        <pic:spPr bwMode="auto">
                          <a:xfrm>
                            <a:off x="0" y="0"/>
                            <a:ext cx="1244766" cy="67319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tc>
      </w:tr>
      <w:tr w:rsidR="00EC0E12" w:rsidRPr="003720AF" w14:paraId="29FACA60" w14:textId="77777777" w:rsidTr="00373EC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28" w:type="dxa"/>
          </w:tcPr>
          <w:p w14:paraId="7D1CB9D7" w14:textId="77777777" w:rsidR="00EC0E12" w:rsidRPr="003720AF" w:rsidRDefault="00EC0E12" w:rsidP="00373EC4">
            <w:pPr>
              <w:spacing w:before="40" w:after="40"/>
              <w:rPr>
                <w:lang w:val="en-NZ"/>
              </w:rPr>
            </w:pPr>
            <w:r w:rsidRPr="003720AF">
              <w:rPr>
                <w:lang w:val="en-NZ"/>
              </w:rPr>
              <w:t>CAS No.</w:t>
            </w:r>
          </w:p>
        </w:tc>
        <w:tc>
          <w:tcPr>
            <w:tcW w:w="4428" w:type="dxa"/>
          </w:tcPr>
          <w:p w14:paraId="52127AB8" w14:textId="77777777" w:rsidR="00EC0E12" w:rsidRPr="003720AF" w:rsidRDefault="00EC0E12" w:rsidP="00373EC4">
            <w:pPr>
              <w:spacing w:before="40" w:after="40"/>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537-46-2</w:t>
            </w:r>
          </w:p>
        </w:tc>
      </w:tr>
      <w:tr w:rsidR="00EC0E12" w:rsidRPr="003720AF" w14:paraId="6DC98CA6" w14:textId="77777777" w:rsidTr="00373EC4">
        <w:trPr>
          <w:trHeight w:val="227"/>
        </w:trPr>
        <w:tc>
          <w:tcPr>
            <w:cnfStyle w:val="001000000000" w:firstRow="0" w:lastRow="0" w:firstColumn="1" w:lastColumn="0" w:oddVBand="0" w:evenVBand="0" w:oddHBand="0" w:evenHBand="0" w:firstRowFirstColumn="0" w:firstRowLastColumn="0" w:lastRowFirstColumn="0" w:lastRowLastColumn="0"/>
            <w:tcW w:w="4428" w:type="dxa"/>
          </w:tcPr>
          <w:p w14:paraId="15327D13" w14:textId="77777777" w:rsidR="00EC0E12" w:rsidRPr="003720AF" w:rsidRDefault="00EC0E12" w:rsidP="00373EC4">
            <w:pPr>
              <w:spacing w:before="40" w:after="40"/>
              <w:rPr>
                <w:lang w:val="en-NZ"/>
              </w:rPr>
            </w:pPr>
            <w:r w:rsidRPr="003720AF">
              <w:rPr>
                <w:lang w:val="en-NZ"/>
              </w:rPr>
              <w:t>Formula</w:t>
            </w:r>
          </w:p>
        </w:tc>
        <w:tc>
          <w:tcPr>
            <w:tcW w:w="4428" w:type="dxa"/>
          </w:tcPr>
          <w:p w14:paraId="4CF4FE38" w14:textId="77777777" w:rsidR="00EC0E12" w:rsidRPr="003720AF" w:rsidRDefault="00EC0E12" w:rsidP="00373EC4">
            <w:pPr>
              <w:spacing w:before="40" w:after="40"/>
              <w:cnfStyle w:val="000000000000" w:firstRow="0" w:lastRow="0" w:firstColumn="0" w:lastColumn="0" w:oddVBand="0" w:evenVBand="0" w:oddHBand="0" w:evenHBand="0" w:firstRowFirstColumn="0" w:firstRowLastColumn="0" w:lastRowFirstColumn="0" w:lastRowLastColumn="0"/>
              <w:rPr>
                <w:rFonts w:ascii="Helvetica" w:hAnsi="Helvetica" w:cs="Helvetica"/>
                <w:lang w:val="en-NZ"/>
              </w:rPr>
            </w:pPr>
            <w:r w:rsidRPr="003720AF">
              <w:rPr>
                <w:rFonts w:ascii="Helvetica" w:hAnsi="Helvetica" w:cs="Helvetica"/>
                <w:lang w:val="en-NZ"/>
              </w:rPr>
              <w:t>C</w:t>
            </w:r>
            <w:r w:rsidRPr="003720AF">
              <w:rPr>
                <w:rFonts w:ascii="Helvetica" w:hAnsi="Helvetica" w:cs="Helvetica"/>
                <w:sz w:val="20"/>
                <w:szCs w:val="20"/>
                <w:vertAlign w:val="subscript"/>
                <w:lang w:val="en-NZ"/>
              </w:rPr>
              <w:t>10</w:t>
            </w:r>
            <w:r w:rsidRPr="003720AF">
              <w:rPr>
                <w:rFonts w:ascii="Helvetica" w:hAnsi="Helvetica" w:cs="Helvetica"/>
                <w:lang w:val="en-NZ"/>
              </w:rPr>
              <w:t>H</w:t>
            </w:r>
            <w:r w:rsidRPr="003720AF">
              <w:rPr>
                <w:rFonts w:ascii="Helvetica" w:hAnsi="Helvetica" w:cs="Helvetica"/>
                <w:sz w:val="20"/>
                <w:szCs w:val="20"/>
                <w:vertAlign w:val="subscript"/>
                <w:lang w:val="en-NZ"/>
              </w:rPr>
              <w:t>15</w:t>
            </w:r>
            <w:r w:rsidRPr="003720AF">
              <w:rPr>
                <w:rFonts w:ascii="Helvetica" w:hAnsi="Helvetica" w:cs="Helvetica"/>
                <w:lang w:val="en-NZ"/>
              </w:rPr>
              <w:t>N</w:t>
            </w:r>
          </w:p>
        </w:tc>
      </w:tr>
      <w:tr w:rsidR="00EC0E12" w:rsidRPr="003720AF" w14:paraId="05D0CF4E" w14:textId="77777777" w:rsidTr="00373EC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28" w:type="dxa"/>
          </w:tcPr>
          <w:p w14:paraId="6825A221" w14:textId="77777777" w:rsidR="00EC0E12" w:rsidRPr="003720AF" w:rsidRDefault="00EC0E12" w:rsidP="00373EC4">
            <w:pPr>
              <w:spacing w:before="40" w:after="40"/>
              <w:rPr>
                <w:lang w:val="en-NZ"/>
              </w:rPr>
            </w:pPr>
            <w:r w:rsidRPr="003720AF">
              <w:rPr>
                <w:lang w:val="en-NZ"/>
              </w:rPr>
              <w:t>Molecular Wt</w:t>
            </w:r>
          </w:p>
        </w:tc>
        <w:tc>
          <w:tcPr>
            <w:tcW w:w="4428" w:type="dxa"/>
          </w:tcPr>
          <w:p w14:paraId="06C9C680" w14:textId="77777777" w:rsidR="00EC0E12" w:rsidRPr="003720AF" w:rsidRDefault="00EC0E12" w:rsidP="00373EC4">
            <w:pPr>
              <w:spacing w:before="40" w:after="40"/>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149.2</w:t>
            </w:r>
          </w:p>
        </w:tc>
      </w:tr>
      <w:tr w:rsidR="00EC0E12" w:rsidRPr="003720AF" w14:paraId="1B1BC9A9" w14:textId="77777777" w:rsidTr="00373EC4">
        <w:trPr>
          <w:trHeight w:val="227"/>
        </w:trPr>
        <w:tc>
          <w:tcPr>
            <w:cnfStyle w:val="001000000000" w:firstRow="0" w:lastRow="0" w:firstColumn="1" w:lastColumn="0" w:oddVBand="0" w:evenVBand="0" w:oddHBand="0" w:evenHBand="0" w:firstRowFirstColumn="0" w:firstRowLastColumn="0" w:lastRowFirstColumn="0" w:lastRowLastColumn="0"/>
            <w:tcW w:w="4428" w:type="dxa"/>
          </w:tcPr>
          <w:p w14:paraId="36AD9CA8" w14:textId="77777777" w:rsidR="00EC0E12" w:rsidRPr="003720AF" w:rsidRDefault="00EC0E12" w:rsidP="00373EC4">
            <w:pPr>
              <w:spacing w:before="40" w:after="40"/>
              <w:rPr>
                <w:lang w:val="en-NZ"/>
              </w:rPr>
            </w:pPr>
            <w:r w:rsidRPr="003720AF">
              <w:rPr>
                <w:lang w:val="en-NZ"/>
              </w:rPr>
              <w:t>Melting point</w:t>
            </w:r>
          </w:p>
        </w:tc>
        <w:tc>
          <w:tcPr>
            <w:tcW w:w="4428" w:type="dxa"/>
          </w:tcPr>
          <w:p w14:paraId="3D5FB126" w14:textId="77777777" w:rsidR="00EC0E12" w:rsidRPr="003720AF" w:rsidRDefault="00EC0E12" w:rsidP="00373EC4">
            <w:pPr>
              <w:spacing w:before="40" w:after="40"/>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3 C</w:t>
            </w:r>
          </w:p>
        </w:tc>
      </w:tr>
      <w:tr w:rsidR="00EC0E12" w:rsidRPr="003720AF" w14:paraId="5759B645" w14:textId="77777777" w:rsidTr="00373EC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28" w:type="dxa"/>
          </w:tcPr>
          <w:p w14:paraId="14141D7B" w14:textId="77777777" w:rsidR="00EC0E12" w:rsidRPr="003720AF" w:rsidRDefault="00EC0E12" w:rsidP="00373EC4">
            <w:pPr>
              <w:spacing w:before="40" w:after="40"/>
              <w:rPr>
                <w:lang w:val="en-NZ"/>
              </w:rPr>
            </w:pPr>
            <w:r w:rsidRPr="003720AF">
              <w:rPr>
                <w:lang w:val="en-NZ"/>
              </w:rPr>
              <w:t>Vapor pressure (mm Hg)</w:t>
            </w:r>
          </w:p>
        </w:tc>
        <w:tc>
          <w:tcPr>
            <w:tcW w:w="4428" w:type="dxa"/>
          </w:tcPr>
          <w:p w14:paraId="62BBBD4A" w14:textId="77777777" w:rsidR="00EC0E12" w:rsidRPr="003720AF" w:rsidRDefault="00EC0E12" w:rsidP="00373EC4">
            <w:pPr>
              <w:spacing w:before="40" w:after="40"/>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0.14</w:t>
            </w:r>
          </w:p>
        </w:tc>
      </w:tr>
      <w:tr w:rsidR="00EC0E12" w:rsidRPr="003720AF" w14:paraId="53142177" w14:textId="77777777" w:rsidTr="00373EC4">
        <w:trPr>
          <w:trHeight w:val="227"/>
        </w:trPr>
        <w:tc>
          <w:tcPr>
            <w:cnfStyle w:val="001000000000" w:firstRow="0" w:lastRow="0" w:firstColumn="1" w:lastColumn="0" w:oddVBand="0" w:evenVBand="0" w:oddHBand="0" w:evenHBand="0" w:firstRowFirstColumn="0" w:firstRowLastColumn="0" w:lastRowFirstColumn="0" w:lastRowLastColumn="0"/>
            <w:tcW w:w="4428" w:type="dxa"/>
          </w:tcPr>
          <w:p w14:paraId="27B24E9C" w14:textId="77777777" w:rsidR="00EC0E12" w:rsidRPr="003720AF" w:rsidRDefault="00EC0E12" w:rsidP="00373EC4">
            <w:pPr>
              <w:spacing w:before="40" w:after="40"/>
              <w:rPr>
                <w:lang w:val="en-NZ"/>
              </w:rPr>
            </w:pPr>
            <w:r w:rsidRPr="003720AF">
              <w:rPr>
                <w:lang w:val="en-NZ"/>
              </w:rPr>
              <w:t>Log K</w:t>
            </w:r>
            <w:r w:rsidRPr="003720AF">
              <w:rPr>
                <w:vertAlign w:val="subscript"/>
                <w:lang w:val="en-NZ"/>
              </w:rPr>
              <w:t>ow</w:t>
            </w:r>
            <w:r w:rsidR="003A23AE" w:rsidRPr="003720AF">
              <w:rPr>
                <w:lang w:val="en-NZ"/>
              </w:rPr>
              <w:t>*</w:t>
            </w:r>
          </w:p>
        </w:tc>
        <w:tc>
          <w:tcPr>
            <w:tcW w:w="4428" w:type="dxa"/>
          </w:tcPr>
          <w:p w14:paraId="7E7E6C78" w14:textId="77777777" w:rsidR="00EC0E12" w:rsidRPr="003720AF" w:rsidRDefault="00EC0E12" w:rsidP="00373EC4">
            <w:pPr>
              <w:spacing w:before="40" w:after="40"/>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2.07</w:t>
            </w:r>
          </w:p>
        </w:tc>
      </w:tr>
      <w:tr w:rsidR="00EC0E12" w:rsidRPr="003720AF" w14:paraId="65BEC00C" w14:textId="77777777" w:rsidTr="00373EC4">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4428" w:type="dxa"/>
          </w:tcPr>
          <w:p w14:paraId="4654C565" w14:textId="77777777" w:rsidR="00EC0E12" w:rsidRPr="003720AF" w:rsidRDefault="00EC0E12" w:rsidP="00373EC4">
            <w:pPr>
              <w:spacing w:before="40" w:after="40"/>
              <w:rPr>
                <w:lang w:val="en-NZ"/>
              </w:rPr>
            </w:pPr>
            <w:r w:rsidRPr="003720AF">
              <w:rPr>
                <w:lang w:val="en-NZ"/>
              </w:rPr>
              <w:t>Elimination half-life</w:t>
            </w:r>
          </w:p>
        </w:tc>
        <w:tc>
          <w:tcPr>
            <w:tcW w:w="4428" w:type="dxa"/>
          </w:tcPr>
          <w:p w14:paraId="3D259480" w14:textId="77777777" w:rsidR="00EC0E12" w:rsidRPr="003720AF" w:rsidRDefault="00EC0E12" w:rsidP="00373EC4">
            <w:pPr>
              <w:spacing w:before="40" w:after="40"/>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5 – 30 hours (rodents &lt;&lt; humans)</w:t>
            </w:r>
          </w:p>
        </w:tc>
      </w:tr>
    </w:tbl>
    <w:p w14:paraId="61DA8C7C" w14:textId="77777777" w:rsidR="003A23AE" w:rsidRPr="003720AF" w:rsidRDefault="003A23AE" w:rsidP="003A23AE">
      <w:pPr>
        <w:rPr>
          <w:sz w:val="20"/>
          <w:szCs w:val="20"/>
        </w:rPr>
      </w:pPr>
      <w:r w:rsidRPr="003720AF">
        <w:rPr>
          <w:sz w:val="20"/>
          <w:szCs w:val="20"/>
        </w:rPr>
        <w:t>*Log K</w:t>
      </w:r>
      <w:r w:rsidRPr="003720AF">
        <w:rPr>
          <w:sz w:val="20"/>
          <w:szCs w:val="20"/>
          <w:vertAlign w:val="subscript"/>
        </w:rPr>
        <w:t>ow</w:t>
      </w:r>
      <w:r w:rsidRPr="003720AF">
        <w:rPr>
          <w:sz w:val="20"/>
          <w:szCs w:val="20"/>
        </w:rPr>
        <w:t xml:space="preserve"> = the logarithm of the octanol:water partition coefficient.</w:t>
      </w:r>
    </w:p>
    <w:p w14:paraId="184C621E" w14:textId="77777777" w:rsidR="00EC0E12" w:rsidRPr="003720AF" w:rsidRDefault="00EC0E12" w:rsidP="001E5B59">
      <w:pPr>
        <w:pStyle w:val="ESRBodyText"/>
      </w:pPr>
    </w:p>
    <w:p w14:paraId="455CD00C" w14:textId="77777777" w:rsidR="00B90BAE" w:rsidRPr="003720AF" w:rsidRDefault="00FA2F89" w:rsidP="00B90BAE">
      <w:pPr>
        <w:pStyle w:val="Heading1Blue"/>
      </w:pPr>
      <w:bookmarkStart w:id="8" w:name="_Toc463856027"/>
      <w:r w:rsidRPr="003720AF">
        <w:lastRenderedPageBreak/>
        <w:t>EXISTING CLANDESTINE LABORATORY GUIDELINES</w:t>
      </w:r>
      <w:bookmarkEnd w:id="8"/>
      <w:r w:rsidR="00B90BAE" w:rsidRPr="003720AF">
        <w:t xml:space="preserve"> </w:t>
      </w:r>
    </w:p>
    <w:p w14:paraId="14A62A36" w14:textId="77777777" w:rsidR="00B90BAE" w:rsidRPr="003720AF" w:rsidRDefault="00B90BAE" w:rsidP="00B90BAE">
      <w:pPr>
        <w:pStyle w:val="Heading2"/>
        <w:rPr>
          <w:rFonts w:hint="eastAsia"/>
        </w:rPr>
      </w:pPr>
      <w:bookmarkStart w:id="9" w:name="_Toc463856028"/>
      <w:r w:rsidRPr="003720AF">
        <w:t>Analytical vs Health-Based Standards</w:t>
      </w:r>
      <w:bookmarkEnd w:id="9"/>
    </w:p>
    <w:p w14:paraId="45AE28E4" w14:textId="557D8A2C" w:rsidR="003A23AE" w:rsidRPr="003720AF" w:rsidRDefault="003A23AE" w:rsidP="00373EC4">
      <w:pPr>
        <w:spacing w:line="360" w:lineRule="auto"/>
        <w:rPr>
          <w:rFonts w:cs="Arial"/>
        </w:rPr>
      </w:pPr>
      <w:r w:rsidRPr="003720AF">
        <w:rPr>
          <w:rFonts w:cs="Arial"/>
        </w:rPr>
        <w:t>In the U</w:t>
      </w:r>
      <w:r w:rsidR="00DE3F13" w:rsidRPr="003720AF">
        <w:rPr>
          <w:rFonts w:cs="Arial"/>
        </w:rPr>
        <w:t>nited States</w:t>
      </w:r>
      <w:r w:rsidRPr="003720AF">
        <w:rPr>
          <w:rFonts w:cs="Arial"/>
        </w:rPr>
        <w:t xml:space="preserve"> in 2005, there was insufficient scientific evidence to develop a national health-based MA cleanup standard. As a result, </w:t>
      </w:r>
      <w:r w:rsidR="00373EC4" w:rsidRPr="003720AF">
        <w:rPr>
          <w:rFonts w:cs="Arial"/>
        </w:rPr>
        <w:t>many U</w:t>
      </w:r>
      <w:r w:rsidR="00DE3F13" w:rsidRPr="003720AF">
        <w:rPr>
          <w:rFonts w:cs="Arial"/>
        </w:rPr>
        <w:t>nited States s</w:t>
      </w:r>
      <w:r w:rsidRPr="003720AF">
        <w:rPr>
          <w:rFonts w:cs="Arial"/>
        </w:rPr>
        <w:t>tates adop</w:t>
      </w:r>
      <w:r w:rsidR="00DE3F13" w:rsidRPr="003720AF">
        <w:rPr>
          <w:rFonts w:cs="Arial"/>
        </w:rPr>
        <w:t>ted a standard of 0.1 </w:t>
      </w:r>
      <w:r w:rsidRPr="003720AF">
        <w:rPr>
          <w:rFonts w:cs="Arial"/>
        </w:rPr>
        <w:t xml:space="preserve">µg/100cm², which was the </w:t>
      </w:r>
      <w:r w:rsidR="004A495E" w:rsidRPr="003720AF">
        <w:rPr>
          <w:rFonts w:cs="Arial"/>
        </w:rPr>
        <w:t>laboratory detection limit (UDH</w:t>
      </w:r>
      <w:r w:rsidRPr="003720AF">
        <w:rPr>
          <w:rFonts w:cs="Arial"/>
        </w:rPr>
        <w:t xml:space="preserve"> 2015). This value was considered to be the lowest value that could be measured in </w:t>
      </w:r>
      <w:r w:rsidR="006A7725" w:rsidRPr="003720AF">
        <w:rPr>
          <w:rFonts w:cs="Arial"/>
        </w:rPr>
        <w:t>a clean</w:t>
      </w:r>
      <w:r w:rsidRPr="003720AF">
        <w:rPr>
          <w:rFonts w:cs="Arial"/>
        </w:rPr>
        <w:t xml:space="preserve">up situation and became the </w:t>
      </w:r>
      <w:r w:rsidRPr="003720AF">
        <w:rPr>
          <w:rFonts w:cs="Arial"/>
          <w:i/>
        </w:rPr>
        <w:t>de facto</w:t>
      </w:r>
      <w:r w:rsidRPr="003720AF">
        <w:rPr>
          <w:rFonts w:cs="Arial"/>
        </w:rPr>
        <w:t xml:space="preserve"> standard.</w:t>
      </w:r>
    </w:p>
    <w:p w14:paraId="45639369" w14:textId="1ED90D66" w:rsidR="00B90BAE" w:rsidRPr="003720AF" w:rsidRDefault="003A23AE" w:rsidP="00B90BAE">
      <w:pPr>
        <w:spacing w:line="360" w:lineRule="auto"/>
        <w:rPr>
          <w:rFonts w:cs="Arial"/>
        </w:rPr>
      </w:pPr>
      <w:r w:rsidRPr="003720AF">
        <w:rPr>
          <w:rFonts w:cs="Arial"/>
        </w:rPr>
        <w:t>The problem presented by the adoption of an analytical instrument-based standard is that there is an implicit presumption that no measurable exposure is safe, such that exposures must, with increasing analyt</w:t>
      </w:r>
      <w:r w:rsidR="00DE3F13" w:rsidRPr="003720AF">
        <w:rPr>
          <w:rFonts w:cs="Arial"/>
        </w:rPr>
        <w:t xml:space="preserve">ical precision, approach zero. </w:t>
      </w:r>
      <w:r w:rsidRPr="003720AF">
        <w:rPr>
          <w:rFonts w:cs="Arial"/>
        </w:rPr>
        <w:t>This is illustrated by the ultra-low values used by the states of Oregon and Arkansas of 0.05 µg/100cm². However, it is worth noting that MA has many years of therapeutic applicat</w:t>
      </w:r>
      <w:r w:rsidR="00DE3F13" w:rsidRPr="003720AF">
        <w:rPr>
          <w:rFonts w:cs="Arial"/>
        </w:rPr>
        <w:t xml:space="preserve">ion in children and adults for </w:t>
      </w:r>
      <w:r w:rsidRPr="003720AF">
        <w:rPr>
          <w:rFonts w:cs="Arial"/>
        </w:rPr>
        <w:t>ADHD and other</w:t>
      </w:r>
      <w:r w:rsidR="00DE3F13" w:rsidRPr="003720AF">
        <w:rPr>
          <w:rFonts w:cs="Arial"/>
        </w:rPr>
        <w:t xml:space="preserve"> conditions. </w:t>
      </w:r>
      <w:r w:rsidRPr="003720AF">
        <w:rPr>
          <w:rFonts w:cs="Arial"/>
        </w:rPr>
        <w:t>Furthermore, animal and human studies have demonstrated that thresholds for both toxicological and therapeutic effects exist with MA, and recent epidemiological studies of pregnant MA drug users/addicts found subtle long lasting neurological effects in their children, but only when exposed t</w:t>
      </w:r>
      <w:r w:rsidR="00DE3F13" w:rsidRPr="003720AF">
        <w:rPr>
          <w:rFonts w:cs="Arial"/>
        </w:rPr>
        <w:t>o very large doses (Smith et al 2015</w:t>
      </w:r>
      <w:r w:rsidR="009212B5" w:rsidRPr="003720AF">
        <w:rPr>
          <w:rFonts w:cs="Arial"/>
        </w:rPr>
        <w:t>,</w:t>
      </w:r>
      <w:r w:rsidR="00DE3F13" w:rsidRPr="003720AF">
        <w:rPr>
          <w:rFonts w:cs="Arial"/>
        </w:rPr>
        <w:t xml:space="preserve"> Eze et al 2016). </w:t>
      </w:r>
      <w:r w:rsidRPr="003720AF">
        <w:rPr>
          <w:rFonts w:cs="Arial"/>
        </w:rPr>
        <w:t>The spectrum of doses and effects of MA in these studies requires consideration in relation to the magnitude of exposures experienced by a non-MA user in a remediated house.</w:t>
      </w:r>
    </w:p>
    <w:p w14:paraId="181B0228" w14:textId="1EAE5566" w:rsidR="003A23AE" w:rsidRPr="003720AF" w:rsidRDefault="003A23AE" w:rsidP="003A23AE">
      <w:pPr>
        <w:spacing w:line="360" w:lineRule="auto"/>
        <w:rPr>
          <w:rFonts w:cs="Arial"/>
        </w:rPr>
      </w:pPr>
      <w:r w:rsidRPr="003720AF">
        <w:rPr>
          <w:rFonts w:cs="Arial"/>
        </w:rPr>
        <w:t>A goal of risk assessment is to define exposures at or below which no adverse effects are anticipated to occur in the va</w:t>
      </w:r>
      <w:r w:rsidR="004A495E" w:rsidRPr="003720AF">
        <w:rPr>
          <w:rFonts w:cs="Arial"/>
        </w:rPr>
        <w:t xml:space="preserve">st majority of the population. </w:t>
      </w:r>
      <w:r w:rsidRPr="003720AF">
        <w:rPr>
          <w:rFonts w:cs="Arial"/>
        </w:rPr>
        <w:t>Several U</w:t>
      </w:r>
      <w:r w:rsidR="004A495E" w:rsidRPr="003720AF">
        <w:rPr>
          <w:rFonts w:cs="Arial"/>
        </w:rPr>
        <w:t>nited States (</w:t>
      </w:r>
      <w:r w:rsidRPr="003720AF">
        <w:rPr>
          <w:rFonts w:cs="Arial"/>
        </w:rPr>
        <w:t>California, Colorado, and Utah</w:t>
      </w:r>
      <w:r w:rsidR="004A495E" w:rsidRPr="003720AF">
        <w:rPr>
          <w:rFonts w:cs="Arial"/>
        </w:rPr>
        <w:t>)</w:t>
      </w:r>
      <w:r w:rsidRPr="003720AF">
        <w:rPr>
          <w:rFonts w:cs="Arial"/>
        </w:rPr>
        <w:t xml:space="preserve"> have used a risk assessment approach to develop cleanup standards and criteria for MA</w:t>
      </w:r>
      <w:r w:rsidR="004A495E" w:rsidRPr="003720AF">
        <w:rPr>
          <w:rFonts w:cs="Arial"/>
        </w:rPr>
        <w:t xml:space="preserve"> res</w:t>
      </w:r>
      <w:r w:rsidR="009240D0" w:rsidRPr="003720AF">
        <w:rPr>
          <w:rFonts w:cs="Arial"/>
        </w:rPr>
        <w:t>idues from clan labs (OEHHA 2009a</w:t>
      </w:r>
      <w:r w:rsidR="00D70B19" w:rsidRPr="003720AF">
        <w:rPr>
          <w:rFonts w:cs="Arial"/>
        </w:rPr>
        <w:t>,</w:t>
      </w:r>
      <w:r w:rsidR="004A495E" w:rsidRPr="003720AF">
        <w:rPr>
          <w:rFonts w:cs="Arial"/>
        </w:rPr>
        <w:t xml:space="preserve"> CDPHE 2009</w:t>
      </w:r>
      <w:r w:rsidR="00D70B19" w:rsidRPr="003720AF">
        <w:rPr>
          <w:rFonts w:cs="Arial"/>
        </w:rPr>
        <w:t>,</w:t>
      </w:r>
      <w:r w:rsidR="004A495E" w:rsidRPr="003720AF">
        <w:rPr>
          <w:rFonts w:cs="Arial"/>
        </w:rPr>
        <w:t xml:space="preserve"> UDH 2015). </w:t>
      </w:r>
      <w:r w:rsidRPr="003720AF">
        <w:rPr>
          <w:rFonts w:cs="Arial"/>
        </w:rPr>
        <w:t>Only California and Colorado have explicitly described their risk assessment processes and assumptions in sufficient detail to enable scientific examination and review.</w:t>
      </w:r>
      <w:r w:rsidR="0062451F" w:rsidRPr="003720AF">
        <w:rPr>
          <w:rFonts w:cs="Arial"/>
        </w:rPr>
        <w:t xml:space="preserve"> </w:t>
      </w:r>
      <w:r w:rsidR="00CF2DAD" w:rsidRPr="003720AF">
        <w:t>Several differences in approach to such a risk assessment has been described by Kim (Kim 2016).</w:t>
      </w:r>
    </w:p>
    <w:p w14:paraId="5F2E784B" w14:textId="18276436" w:rsidR="003A23AE" w:rsidRPr="003720AF" w:rsidRDefault="003A23AE" w:rsidP="003A23AE">
      <w:pPr>
        <w:spacing w:line="360" w:lineRule="auto"/>
      </w:pPr>
      <w:r w:rsidRPr="003720AF">
        <w:rPr>
          <w:rFonts w:cs="Arial"/>
        </w:rPr>
        <w:t>A complication of clan lab remediation assessment is that there are likely to be additional chemicals, either as reaction precursors or contaminants/by-products, that persist on surfaces or end up pooled in places in th</w:t>
      </w:r>
      <w:r w:rsidR="004A495E" w:rsidRPr="003720AF">
        <w:rPr>
          <w:rFonts w:cs="Arial"/>
        </w:rPr>
        <w:t xml:space="preserve">e house (Table 2). </w:t>
      </w:r>
      <w:r w:rsidRPr="003720AF">
        <w:rPr>
          <w:rFonts w:cs="Arial"/>
        </w:rPr>
        <w:t xml:space="preserve">While ideally a detailed analysis and exposure/risk assessment should be carried out with each unique clan lab formulation and remediation, in practice this may not always be feasible. This raises the prospect of using a sentinel marker as a </w:t>
      </w:r>
      <w:r w:rsidRPr="003720AF">
        <w:rPr>
          <w:rFonts w:cs="Arial"/>
        </w:rPr>
        <w:lastRenderedPageBreak/>
        <w:t>way to characterise the safety</w:t>
      </w:r>
      <w:r w:rsidR="004A495E" w:rsidRPr="003720AF">
        <w:rPr>
          <w:rFonts w:cs="Arial"/>
        </w:rPr>
        <w:t xml:space="preserve"> of the house to be reoccupied.</w:t>
      </w:r>
      <w:r w:rsidRPr="003720AF">
        <w:rPr>
          <w:rFonts w:cs="Arial"/>
        </w:rPr>
        <w:t xml:space="preserve"> MA is an obvious choice of a sentinel marker, due to its prevalence on the household surfaces of clan labs, and its relative persistence on certain types of surfaces.</w:t>
      </w:r>
    </w:p>
    <w:p w14:paraId="14C9C531" w14:textId="77777777" w:rsidR="00BE4B70" w:rsidRPr="003720AF" w:rsidRDefault="00BE4B70" w:rsidP="004A495E">
      <w:pPr>
        <w:pStyle w:val="Caption"/>
        <w:tabs>
          <w:tab w:val="left" w:pos="993"/>
        </w:tabs>
        <w:ind w:left="993" w:hanging="993"/>
      </w:pPr>
      <w:bookmarkStart w:id="10" w:name="_Toc463799352"/>
      <w:r w:rsidRPr="003720AF">
        <w:t xml:space="preserve">Table </w:t>
      </w:r>
      <w:fldSimple w:instr=" SEQ Table \* ARABIC ">
        <w:r w:rsidR="00F6014F">
          <w:rPr>
            <w:noProof/>
          </w:rPr>
          <w:t>2</w:t>
        </w:r>
      </w:fldSimple>
      <w:r w:rsidRPr="003720AF">
        <w:t>:</w:t>
      </w:r>
      <w:r w:rsidRPr="003720AF">
        <w:tab/>
      </w:r>
      <w:r w:rsidR="003A23AE" w:rsidRPr="003720AF">
        <w:t>Related chemicals, starting materials, and breakdown products from MA manufacture in clan labs or from MA use.</w:t>
      </w:r>
      <w:bookmarkEnd w:id="10"/>
    </w:p>
    <w:tbl>
      <w:tblPr>
        <w:tblStyle w:val="LightShading"/>
        <w:tblW w:w="0" w:type="auto"/>
        <w:tblLook w:val="04A0" w:firstRow="1" w:lastRow="0" w:firstColumn="1" w:lastColumn="0" w:noHBand="0" w:noVBand="1"/>
      </w:tblPr>
      <w:tblGrid>
        <w:gridCol w:w="4428"/>
        <w:gridCol w:w="4428"/>
      </w:tblGrid>
      <w:tr w:rsidR="003A23AE" w:rsidRPr="003720AF" w14:paraId="72F942D8" w14:textId="77777777" w:rsidTr="004A495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28" w:type="dxa"/>
          </w:tcPr>
          <w:p w14:paraId="1B9EAA84" w14:textId="77777777" w:rsidR="003A23AE" w:rsidRPr="003720AF" w:rsidRDefault="003A23AE" w:rsidP="004A495E">
            <w:pPr>
              <w:spacing w:before="40" w:after="40"/>
              <w:rPr>
                <w:lang w:val="en-NZ"/>
              </w:rPr>
            </w:pPr>
            <w:r w:rsidRPr="003720AF">
              <w:rPr>
                <w:lang w:val="en-NZ"/>
              </w:rPr>
              <w:t>Chemical</w:t>
            </w:r>
          </w:p>
        </w:tc>
        <w:tc>
          <w:tcPr>
            <w:tcW w:w="4428" w:type="dxa"/>
          </w:tcPr>
          <w:p w14:paraId="310048E5" w14:textId="77777777" w:rsidR="003A23AE" w:rsidRPr="003720AF" w:rsidRDefault="003A23AE" w:rsidP="004A495E">
            <w:pPr>
              <w:spacing w:before="40" w:after="40"/>
              <w:cnfStyle w:val="100000000000" w:firstRow="1" w:lastRow="0" w:firstColumn="0" w:lastColumn="0" w:oddVBand="0" w:evenVBand="0" w:oddHBand="0" w:evenHBand="0" w:firstRowFirstColumn="0" w:firstRowLastColumn="0" w:lastRowFirstColumn="0" w:lastRowLastColumn="0"/>
              <w:rPr>
                <w:lang w:val="en-NZ"/>
              </w:rPr>
            </w:pPr>
            <w:r w:rsidRPr="003720AF">
              <w:rPr>
                <w:lang w:val="en-NZ"/>
              </w:rPr>
              <w:t>Comments</w:t>
            </w:r>
          </w:p>
        </w:tc>
      </w:tr>
      <w:tr w:rsidR="003A23AE" w:rsidRPr="003720AF" w14:paraId="65242EB3"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8" w:space="0" w:color="000000" w:themeColor="text1"/>
              <w:bottom w:val="single" w:sz="4" w:space="0" w:color="auto"/>
            </w:tcBorders>
          </w:tcPr>
          <w:p w14:paraId="5F864783" w14:textId="77777777" w:rsidR="003A23AE" w:rsidRPr="003720AF" w:rsidRDefault="003A23AE" w:rsidP="004A495E">
            <w:pPr>
              <w:spacing w:before="40" w:after="40"/>
              <w:rPr>
                <w:lang w:val="en-NZ"/>
              </w:rPr>
            </w:pPr>
            <w:r w:rsidRPr="003720AF">
              <w:rPr>
                <w:lang w:val="en-NZ"/>
              </w:rPr>
              <w:t>Starting Materials for MA Production</w:t>
            </w:r>
          </w:p>
        </w:tc>
        <w:tc>
          <w:tcPr>
            <w:tcW w:w="4428" w:type="dxa"/>
            <w:tcBorders>
              <w:top w:val="single" w:sz="8" w:space="0" w:color="000000" w:themeColor="text1"/>
              <w:bottom w:val="single" w:sz="4" w:space="0" w:color="auto"/>
            </w:tcBorders>
          </w:tcPr>
          <w:p w14:paraId="3D724DEC" w14:textId="77777777" w:rsidR="003A23AE" w:rsidRPr="003720AF" w:rsidRDefault="003A23AE" w:rsidP="004A495E">
            <w:pPr>
              <w:spacing w:before="40" w:after="40"/>
              <w:cnfStyle w:val="000000100000" w:firstRow="0" w:lastRow="0" w:firstColumn="0" w:lastColumn="0" w:oddVBand="0" w:evenVBand="0" w:oddHBand="1" w:evenHBand="0" w:firstRowFirstColumn="0" w:firstRowLastColumn="0" w:lastRowFirstColumn="0" w:lastRowLastColumn="0"/>
              <w:rPr>
                <w:lang w:val="en-NZ"/>
              </w:rPr>
            </w:pPr>
          </w:p>
        </w:tc>
      </w:tr>
      <w:tr w:rsidR="003A23AE" w:rsidRPr="003720AF" w14:paraId="5876586F" w14:textId="77777777" w:rsidTr="003A23AE">
        <w:tc>
          <w:tcPr>
            <w:cnfStyle w:val="001000000000" w:firstRow="0" w:lastRow="0" w:firstColumn="1" w:lastColumn="0" w:oddVBand="0" w:evenVBand="0" w:oddHBand="0" w:evenHBand="0" w:firstRowFirstColumn="0" w:firstRowLastColumn="0" w:lastRowFirstColumn="0" w:lastRowLastColumn="0"/>
            <w:tcW w:w="4428" w:type="dxa"/>
            <w:tcBorders>
              <w:bottom w:val="single" w:sz="4" w:space="0" w:color="auto"/>
            </w:tcBorders>
          </w:tcPr>
          <w:p w14:paraId="38206C4F" w14:textId="77777777" w:rsidR="003A23AE" w:rsidRPr="003720AF" w:rsidRDefault="003A23AE" w:rsidP="004A495E">
            <w:pPr>
              <w:spacing w:before="40" w:after="40"/>
              <w:rPr>
                <w:lang w:val="en-NZ"/>
              </w:rPr>
            </w:pPr>
            <w:r w:rsidRPr="003720AF">
              <w:rPr>
                <w:lang w:val="en-NZ"/>
              </w:rPr>
              <w:t>Ammonia (NH</w:t>
            </w:r>
            <w:r w:rsidRPr="003720AF">
              <w:rPr>
                <w:vertAlign w:val="subscript"/>
                <w:lang w:val="en-NZ"/>
              </w:rPr>
              <w:t>4</w:t>
            </w:r>
            <w:r w:rsidRPr="003720AF">
              <w:rPr>
                <w:vertAlign w:val="superscript"/>
                <w:lang w:val="en-NZ"/>
              </w:rPr>
              <w:t>+</w:t>
            </w:r>
            <w:r w:rsidRPr="003720AF">
              <w:rPr>
                <w:lang w:val="en-NZ"/>
              </w:rPr>
              <w:t>)</w:t>
            </w:r>
          </w:p>
          <w:p w14:paraId="4EE7E006" w14:textId="77777777" w:rsidR="003A23AE" w:rsidRPr="003720AF" w:rsidRDefault="003A23AE" w:rsidP="004A495E">
            <w:pPr>
              <w:spacing w:before="40" w:after="40"/>
              <w:rPr>
                <w:lang w:val="en-NZ"/>
              </w:rPr>
            </w:pPr>
            <w:r w:rsidRPr="003720AF">
              <w:rPr>
                <w:lang w:val="en-NZ"/>
              </w:rPr>
              <w:t>CAS No. 7664-41-7</w:t>
            </w:r>
          </w:p>
        </w:tc>
        <w:tc>
          <w:tcPr>
            <w:tcW w:w="4428" w:type="dxa"/>
            <w:tcBorders>
              <w:bottom w:val="single" w:sz="4" w:space="0" w:color="auto"/>
            </w:tcBorders>
          </w:tcPr>
          <w:p w14:paraId="308A3167"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Birch/Nazi method</w:t>
            </w:r>
          </w:p>
          <w:p w14:paraId="4096137C"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Respiratory irritant, rapidly reacted or dissipated/mobilized in the environment.</w:t>
            </w:r>
          </w:p>
        </w:tc>
      </w:tr>
      <w:tr w:rsidR="003A23AE" w:rsidRPr="003720AF" w14:paraId="4CBB5C91"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F2B72BD" w14:textId="77777777" w:rsidR="003A23AE" w:rsidRPr="003720AF" w:rsidRDefault="003A23AE" w:rsidP="004A495E">
            <w:pPr>
              <w:spacing w:before="40" w:after="40"/>
              <w:rPr>
                <w:lang w:val="en-NZ"/>
              </w:rPr>
            </w:pPr>
            <w:r w:rsidRPr="003720AF">
              <w:rPr>
                <w:lang w:val="en-NZ"/>
              </w:rPr>
              <w:t>Benzaldehyde</w:t>
            </w:r>
          </w:p>
          <w:p w14:paraId="50DDA363" w14:textId="77777777" w:rsidR="003A23AE" w:rsidRPr="003720AF" w:rsidRDefault="003A23AE" w:rsidP="004A495E">
            <w:pPr>
              <w:spacing w:before="40" w:after="40"/>
              <w:rPr>
                <w:lang w:val="en-NZ"/>
              </w:rPr>
            </w:pPr>
            <w:r w:rsidRPr="003720AF">
              <w:rPr>
                <w:lang w:val="en-NZ"/>
              </w:rPr>
              <w:t>CAS No. 100-52-7</w:t>
            </w:r>
          </w:p>
        </w:tc>
        <w:tc>
          <w:tcPr>
            <w:tcW w:w="4428" w:type="dxa"/>
          </w:tcPr>
          <w:p w14:paraId="61D1E7ED" w14:textId="00EACA2D"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Starting material (P2P</w:t>
            </w:r>
            <w:r w:rsidR="00E61BDF" w:rsidRPr="003720AF">
              <w:rPr>
                <w:lang w:val="en-NZ"/>
              </w:rPr>
              <w:t xml:space="preserve"> (phenyl-2-propanone)</w:t>
            </w:r>
            <w:r w:rsidRPr="003720AF">
              <w:rPr>
                <w:lang w:val="en-NZ"/>
              </w:rPr>
              <w:t xml:space="preserve"> method)</w:t>
            </w:r>
          </w:p>
        </w:tc>
      </w:tr>
      <w:tr w:rsidR="003A23AE" w:rsidRPr="003720AF" w14:paraId="7E2FD54F" w14:textId="77777777" w:rsidTr="003A23AE">
        <w:tc>
          <w:tcPr>
            <w:cnfStyle w:val="001000000000" w:firstRow="0" w:lastRow="0" w:firstColumn="1" w:lastColumn="0" w:oddVBand="0" w:evenVBand="0" w:oddHBand="0" w:evenHBand="0" w:firstRowFirstColumn="0" w:firstRowLastColumn="0" w:lastRowFirstColumn="0" w:lastRowLastColumn="0"/>
            <w:tcW w:w="4428" w:type="dxa"/>
          </w:tcPr>
          <w:p w14:paraId="4ADB0EFA" w14:textId="77777777" w:rsidR="003A23AE" w:rsidRPr="003720AF" w:rsidRDefault="003A23AE" w:rsidP="004A495E">
            <w:pPr>
              <w:spacing w:before="40" w:after="40"/>
              <w:rPr>
                <w:lang w:val="en-NZ"/>
              </w:rPr>
            </w:pPr>
            <w:r w:rsidRPr="003720AF">
              <w:rPr>
                <w:lang w:val="en-NZ"/>
              </w:rPr>
              <w:t>Bromide</w:t>
            </w:r>
          </w:p>
          <w:p w14:paraId="50DA60AA" w14:textId="77777777" w:rsidR="003A23AE" w:rsidRPr="003720AF" w:rsidRDefault="003A23AE" w:rsidP="004A495E">
            <w:pPr>
              <w:spacing w:before="40" w:after="40"/>
              <w:rPr>
                <w:lang w:val="en-NZ"/>
              </w:rPr>
            </w:pPr>
            <w:r w:rsidRPr="003720AF">
              <w:rPr>
                <w:lang w:val="en-NZ"/>
              </w:rPr>
              <w:t>CAS No. 24959-67-9</w:t>
            </w:r>
          </w:p>
        </w:tc>
        <w:tc>
          <w:tcPr>
            <w:tcW w:w="4428" w:type="dxa"/>
          </w:tcPr>
          <w:p w14:paraId="64BB3D69"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Starting material – Red P method</w:t>
            </w:r>
          </w:p>
        </w:tc>
      </w:tr>
      <w:tr w:rsidR="003A23AE" w:rsidRPr="003720AF" w14:paraId="52287629"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C1734AF" w14:textId="77777777" w:rsidR="003A23AE" w:rsidRPr="003720AF" w:rsidRDefault="003A23AE" w:rsidP="004A495E">
            <w:pPr>
              <w:spacing w:before="40" w:after="40"/>
              <w:rPr>
                <w:lang w:val="en-NZ"/>
              </w:rPr>
            </w:pPr>
            <w:r w:rsidRPr="003720AF">
              <w:rPr>
                <w:lang w:val="en-NZ"/>
              </w:rPr>
              <w:t>Chloroform</w:t>
            </w:r>
          </w:p>
          <w:p w14:paraId="714CD026" w14:textId="77777777" w:rsidR="003A23AE" w:rsidRPr="003720AF" w:rsidRDefault="003A23AE" w:rsidP="004A495E">
            <w:pPr>
              <w:spacing w:before="40" w:after="40"/>
              <w:rPr>
                <w:lang w:val="en-NZ"/>
              </w:rPr>
            </w:pPr>
            <w:r w:rsidRPr="003720AF">
              <w:rPr>
                <w:lang w:val="en-NZ"/>
              </w:rPr>
              <w:t>CAS No. 67-66-3</w:t>
            </w:r>
          </w:p>
        </w:tc>
        <w:tc>
          <w:tcPr>
            <w:tcW w:w="4428" w:type="dxa"/>
          </w:tcPr>
          <w:p w14:paraId="2ADA32F3"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Potentially all methods</w:t>
            </w:r>
          </w:p>
          <w:p w14:paraId="0FE1528C"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Starting material/solvent</w:t>
            </w:r>
          </w:p>
        </w:tc>
      </w:tr>
      <w:tr w:rsidR="003A23AE" w:rsidRPr="003720AF" w14:paraId="1210F057" w14:textId="77777777" w:rsidTr="003A23AE">
        <w:tc>
          <w:tcPr>
            <w:cnfStyle w:val="001000000000" w:firstRow="0" w:lastRow="0" w:firstColumn="1" w:lastColumn="0" w:oddVBand="0" w:evenVBand="0" w:oddHBand="0" w:evenHBand="0" w:firstRowFirstColumn="0" w:firstRowLastColumn="0" w:lastRowFirstColumn="0" w:lastRowLastColumn="0"/>
            <w:tcW w:w="4428" w:type="dxa"/>
          </w:tcPr>
          <w:p w14:paraId="7549F0A9" w14:textId="77777777" w:rsidR="003A23AE" w:rsidRPr="003720AF" w:rsidRDefault="003A23AE" w:rsidP="004A495E">
            <w:pPr>
              <w:spacing w:before="40" w:after="40"/>
              <w:rPr>
                <w:lang w:val="en-NZ"/>
              </w:rPr>
            </w:pPr>
            <w:r w:rsidRPr="003720AF">
              <w:rPr>
                <w:lang w:val="en-NZ"/>
              </w:rPr>
              <w:t>Dichloromethane</w:t>
            </w:r>
          </w:p>
          <w:p w14:paraId="30A28792" w14:textId="77777777" w:rsidR="003A23AE" w:rsidRPr="003720AF" w:rsidRDefault="003A23AE" w:rsidP="004A495E">
            <w:pPr>
              <w:spacing w:before="40" w:after="40"/>
              <w:rPr>
                <w:lang w:val="en-NZ"/>
              </w:rPr>
            </w:pPr>
            <w:r w:rsidRPr="003720AF">
              <w:rPr>
                <w:lang w:val="en-NZ"/>
              </w:rPr>
              <w:t>CAS No. 75-09-2</w:t>
            </w:r>
          </w:p>
        </w:tc>
        <w:tc>
          <w:tcPr>
            <w:tcW w:w="4428" w:type="dxa"/>
          </w:tcPr>
          <w:p w14:paraId="6637AF66"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Potentially all methods</w:t>
            </w:r>
          </w:p>
          <w:p w14:paraId="0150C136"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Starting material/solvent</w:t>
            </w:r>
          </w:p>
        </w:tc>
      </w:tr>
      <w:tr w:rsidR="003A23AE" w:rsidRPr="003720AF" w14:paraId="52234000"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2EE0E42B" w14:textId="77777777" w:rsidR="003A23AE" w:rsidRPr="003720AF" w:rsidRDefault="003A23AE" w:rsidP="004A495E">
            <w:pPr>
              <w:spacing w:before="40" w:after="40"/>
              <w:rPr>
                <w:lang w:val="en-NZ"/>
              </w:rPr>
            </w:pPr>
            <w:r w:rsidRPr="003720AF">
              <w:rPr>
                <w:lang w:val="en-NZ"/>
              </w:rPr>
              <w:t>Hydrogen chloride (HCl)</w:t>
            </w:r>
          </w:p>
          <w:p w14:paraId="049E0B32" w14:textId="77777777" w:rsidR="003A23AE" w:rsidRPr="003720AF" w:rsidRDefault="003A23AE" w:rsidP="004A495E">
            <w:pPr>
              <w:spacing w:before="40" w:after="40"/>
              <w:rPr>
                <w:lang w:val="en-NZ"/>
              </w:rPr>
            </w:pPr>
            <w:r w:rsidRPr="003720AF">
              <w:rPr>
                <w:lang w:val="en-NZ"/>
              </w:rPr>
              <w:t>CAS No. 7647-01-0</w:t>
            </w:r>
          </w:p>
        </w:tc>
        <w:tc>
          <w:tcPr>
            <w:tcW w:w="4428" w:type="dxa"/>
          </w:tcPr>
          <w:p w14:paraId="3E203686"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All methods</w:t>
            </w:r>
          </w:p>
          <w:p w14:paraId="74D87B18"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Corrosive but not acutely toxic in trace amounts</w:t>
            </w:r>
          </w:p>
          <w:p w14:paraId="2FF74A18"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Respiratory irritant</w:t>
            </w:r>
          </w:p>
          <w:p w14:paraId="3CE256A8"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Exposures and health effects expected to be minimal</w:t>
            </w:r>
          </w:p>
        </w:tc>
      </w:tr>
      <w:tr w:rsidR="003A23AE" w:rsidRPr="003720AF" w14:paraId="109ABCB3" w14:textId="77777777" w:rsidTr="003A23AE">
        <w:tc>
          <w:tcPr>
            <w:cnfStyle w:val="001000000000" w:firstRow="0" w:lastRow="0" w:firstColumn="1" w:lastColumn="0" w:oddVBand="0" w:evenVBand="0" w:oddHBand="0" w:evenHBand="0" w:firstRowFirstColumn="0" w:firstRowLastColumn="0" w:lastRowFirstColumn="0" w:lastRowLastColumn="0"/>
            <w:tcW w:w="4428" w:type="dxa"/>
          </w:tcPr>
          <w:p w14:paraId="2D5B1917" w14:textId="77777777" w:rsidR="003A23AE" w:rsidRPr="003720AF" w:rsidRDefault="003A23AE" w:rsidP="004A495E">
            <w:pPr>
              <w:spacing w:before="40" w:after="40"/>
              <w:rPr>
                <w:lang w:val="en-NZ"/>
              </w:rPr>
            </w:pPr>
            <w:r w:rsidRPr="003720AF">
              <w:rPr>
                <w:lang w:val="en-NZ"/>
              </w:rPr>
              <w:t>Iodine (I</w:t>
            </w:r>
            <w:r w:rsidRPr="003720AF">
              <w:rPr>
                <w:vertAlign w:val="subscript"/>
                <w:lang w:val="en-NZ"/>
              </w:rPr>
              <w:t>2</w:t>
            </w:r>
            <w:r w:rsidRPr="003720AF">
              <w:rPr>
                <w:lang w:val="en-NZ"/>
              </w:rPr>
              <w:t>)</w:t>
            </w:r>
          </w:p>
          <w:p w14:paraId="1ADE6013" w14:textId="77777777" w:rsidR="003A23AE" w:rsidRPr="003720AF" w:rsidRDefault="003A23AE" w:rsidP="004A495E">
            <w:pPr>
              <w:spacing w:before="40" w:after="40"/>
              <w:rPr>
                <w:lang w:val="en-NZ"/>
              </w:rPr>
            </w:pPr>
            <w:r w:rsidRPr="003720AF">
              <w:rPr>
                <w:lang w:val="en-NZ"/>
              </w:rPr>
              <w:t>CAS No. 7553-56-2</w:t>
            </w:r>
          </w:p>
        </w:tc>
        <w:tc>
          <w:tcPr>
            <w:tcW w:w="4428" w:type="dxa"/>
          </w:tcPr>
          <w:p w14:paraId="60186EC6"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Red P method</w:t>
            </w:r>
          </w:p>
          <w:p w14:paraId="245E92C6"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Stains sometimes seen in former labs</w:t>
            </w:r>
          </w:p>
          <w:p w14:paraId="5B317E89"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Airborne levels found very low</w:t>
            </w:r>
          </w:p>
          <w:p w14:paraId="14D027FC"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Exposures and health effects minimal</w:t>
            </w:r>
          </w:p>
        </w:tc>
      </w:tr>
      <w:tr w:rsidR="003A23AE" w:rsidRPr="003720AF" w14:paraId="712E7EF5"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1B45E3D0" w14:textId="77777777" w:rsidR="003A23AE" w:rsidRPr="003720AF" w:rsidRDefault="003A23AE" w:rsidP="004A495E">
            <w:pPr>
              <w:spacing w:before="40" w:after="40"/>
              <w:rPr>
                <w:lang w:val="en-NZ"/>
              </w:rPr>
            </w:pPr>
            <w:r w:rsidRPr="003720AF">
              <w:rPr>
                <w:lang w:val="en-NZ"/>
              </w:rPr>
              <w:t>Lead acetate</w:t>
            </w:r>
          </w:p>
          <w:p w14:paraId="634172A9" w14:textId="77777777" w:rsidR="003A23AE" w:rsidRPr="003720AF" w:rsidRDefault="003A23AE" w:rsidP="004A495E">
            <w:pPr>
              <w:spacing w:before="40" w:after="40"/>
              <w:rPr>
                <w:lang w:val="en-NZ"/>
              </w:rPr>
            </w:pPr>
            <w:r w:rsidRPr="003720AF">
              <w:rPr>
                <w:lang w:val="en-NZ"/>
              </w:rPr>
              <w:t>CAS No. 301-04-2</w:t>
            </w:r>
          </w:p>
        </w:tc>
        <w:tc>
          <w:tcPr>
            <w:tcW w:w="4428" w:type="dxa"/>
          </w:tcPr>
          <w:p w14:paraId="60D89DE7"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Catalyst (P2P method)</w:t>
            </w:r>
          </w:p>
        </w:tc>
      </w:tr>
      <w:tr w:rsidR="003A23AE" w:rsidRPr="003720AF" w14:paraId="23D21E02" w14:textId="77777777" w:rsidTr="003A23AE">
        <w:tc>
          <w:tcPr>
            <w:cnfStyle w:val="001000000000" w:firstRow="0" w:lastRow="0" w:firstColumn="1" w:lastColumn="0" w:oddVBand="0" w:evenVBand="0" w:oddHBand="0" w:evenHBand="0" w:firstRowFirstColumn="0" w:firstRowLastColumn="0" w:lastRowFirstColumn="0" w:lastRowLastColumn="0"/>
            <w:tcW w:w="4428" w:type="dxa"/>
          </w:tcPr>
          <w:p w14:paraId="1FC96741" w14:textId="77777777" w:rsidR="003A23AE" w:rsidRPr="003720AF" w:rsidRDefault="003A23AE" w:rsidP="004A495E">
            <w:pPr>
              <w:spacing w:before="40" w:after="40"/>
              <w:rPr>
                <w:lang w:val="en-NZ"/>
              </w:rPr>
            </w:pPr>
            <w:r w:rsidRPr="003720AF">
              <w:rPr>
                <w:lang w:val="en-NZ"/>
              </w:rPr>
              <w:t>Lithium</w:t>
            </w:r>
          </w:p>
          <w:p w14:paraId="0C8AF1F9" w14:textId="77777777" w:rsidR="003A23AE" w:rsidRPr="003720AF" w:rsidRDefault="003A23AE" w:rsidP="004A495E">
            <w:pPr>
              <w:spacing w:before="40" w:after="40"/>
              <w:rPr>
                <w:lang w:val="en-NZ"/>
              </w:rPr>
            </w:pPr>
            <w:r w:rsidRPr="003720AF">
              <w:rPr>
                <w:lang w:val="en-NZ"/>
              </w:rPr>
              <w:t>CAS No. 7439-93-2</w:t>
            </w:r>
          </w:p>
        </w:tc>
        <w:tc>
          <w:tcPr>
            <w:tcW w:w="4428" w:type="dxa"/>
          </w:tcPr>
          <w:p w14:paraId="49718A44"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Starting material (Nazi/Birch method)</w:t>
            </w:r>
          </w:p>
        </w:tc>
      </w:tr>
      <w:tr w:rsidR="003A23AE" w:rsidRPr="003720AF" w14:paraId="47D36398"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ED5FB42" w14:textId="77777777" w:rsidR="003A23AE" w:rsidRPr="003720AF" w:rsidRDefault="003A23AE" w:rsidP="004A495E">
            <w:pPr>
              <w:spacing w:before="40" w:after="40"/>
              <w:rPr>
                <w:lang w:val="en-NZ"/>
              </w:rPr>
            </w:pPr>
            <w:r w:rsidRPr="003720AF">
              <w:rPr>
                <w:lang w:val="en-NZ"/>
              </w:rPr>
              <w:t>Mercuric chloride</w:t>
            </w:r>
          </w:p>
          <w:p w14:paraId="0214E63A" w14:textId="77777777" w:rsidR="003A23AE" w:rsidRPr="003720AF" w:rsidRDefault="003A23AE" w:rsidP="004A495E">
            <w:pPr>
              <w:spacing w:before="40" w:after="40"/>
              <w:rPr>
                <w:lang w:val="en-NZ"/>
              </w:rPr>
            </w:pPr>
            <w:r w:rsidRPr="003720AF">
              <w:rPr>
                <w:lang w:val="en-NZ"/>
              </w:rPr>
              <w:t>CAS No. 7487-94-7</w:t>
            </w:r>
          </w:p>
        </w:tc>
        <w:tc>
          <w:tcPr>
            <w:tcW w:w="4428" w:type="dxa"/>
          </w:tcPr>
          <w:p w14:paraId="76D0EAFA"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Catalyst (P2P method)</w:t>
            </w:r>
          </w:p>
        </w:tc>
      </w:tr>
      <w:tr w:rsidR="003A23AE" w:rsidRPr="003720AF" w14:paraId="1A3F1951" w14:textId="77777777" w:rsidTr="003A23AE">
        <w:tc>
          <w:tcPr>
            <w:cnfStyle w:val="001000000000" w:firstRow="0" w:lastRow="0" w:firstColumn="1" w:lastColumn="0" w:oddVBand="0" w:evenVBand="0" w:oddHBand="0" w:evenHBand="0" w:firstRowFirstColumn="0" w:firstRowLastColumn="0" w:lastRowFirstColumn="0" w:lastRowLastColumn="0"/>
            <w:tcW w:w="4428" w:type="dxa"/>
          </w:tcPr>
          <w:p w14:paraId="13A0A8D8" w14:textId="77777777" w:rsidR="003A23AE" w:rsidRPr="003720AF" w:rsidRDefault="003A23AE" w:rsidP="004A495E">
            <w:pPr>
              <w:spacing w:before="40" w:after="40"/>
              <w:rPr>
                <w:lang w:val="en-NZ"/>
              </w:rPr>
            </w:pPr>
            <w:r w:rsidRPr="003720AF">
              <w:rPr>
                <w:lang w:val="en-NZ"/>
              </w:rPr>
              <w:t>Methanol</w:t>
            </w:r>
          </w:p>
          <w:p w14:paraId="157A2C28" w14:textId="77777777" w:rsidR="003A23AE" w:rsidRPr="003720AF" w:rsidRDefault="003A23AE" w:rsidP="004A495E">
            <w:pPr>
              <w:spacing w:before="40" w:after="40"/>
              <w:rPr>
                <w:lang w:val="en-NZ"/>
              </w:rPr>
            </w:pPr>
            <w:r w:rsidRPr="003720AF">
              <w:rPr>
                <w:lang w:val="en-NZ"/>
              </w:rPr>
              <w:t>CAS No. 67-56-1</w:t>
            </w:r>
          </w:p>
        </w:tc>
        <w:tc>
          <w:tcPr>
            <w:tcW w:w="4428" w:type="dxa"/>
          </w:tcPr>
          <w:p w14:paraId="0AFCAB2A"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Solvent – potentially all methods</w:t>
            </w:r>
          </w:p>
        </w:tc>
      </w:tr>
      <w:tr w:rsidR="003A23AE" w:rsidRPr="003720AF" w14:paraId="1D31F59E"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1BAEE9A" w14:textId="77777777" w:rsidR="003A23AE" w:rsidRPr="003720AF" w:rsidRDefault="003A23AE" w:rsidP="004A495E">
            <w:pPr>
              <w:spacing w:before="40" w:after="40"/>
              <w:rPr>
                <w:lang w:val="en-NZ"/>
              </w:rPr>
            </w:pPr>
            <w:r w:rsidRPr="003720AF">
              <w:rPr>
                <w:lang w:val="en-NZ"/>
              </w:rPr>
              <w:lastRenderedPageBreak/>
              <w:t>Methylamine</w:t>
            </w:r>
          </w:p>
          <w:p w14:paraId="7B6049EE" w14:textId="77777777" w:rsidR="003A23AE" w:rsidRPr="003720AF" w:rsidRDefault="003A23AE" w:rsidP="004A495E">
            <w:pPr>
              <w:spacing w:before="40" w:after="40"/>
              <w:rPr>
                <w:lang w:val="en-NZ"/>
              </w:rPr>
            </w:pPr>
            <w:r w:rsidRPr="003720AF">
              <w:rPr>
                <w:lang w:val="en-NZ"/>
              </w:rPr>
              <w:t>CAS No. 74-8</w:t>
            </w:r>
            <w:r w:rsidRPr="003720AF">
              <w:rPr>
                <w:rFonts w:ascii="Helvetica" w:hAnsi="Helvetica" w:cs="Helvetica"/>
                <w:lang w:val="en-NZ"/>
              </w:rPr>
              <w:t xml:space="preserve"> </w:t>
            </w:r>
            <w:r w:rsidRPr="003720AF">
              <w:rPr>
                <w:lang w:val="en-NZ"/>
              </w:rPr>
              <w:t>9-5</w:t>
            </w:r>
          </w:p>
          <w:p w14:paraId="38013450" w14:textId="77777777" w:rsidR="003A23AE" w:rsidRPr="003720AF" w:rsidRDefault="003A23AE" w:rsidP="004A495E">
            <w:pPr>
              <w:spacing w:before="40" w:after="40"/>
              <w:rPr>
                <w:lang w:val="en-NZ"/>
              </w:rPr>
            </w:pPr>
            <w:r w:rsidRPr="003720AF">
              <w:rPr>
                <w:rFonts w:ascii="Helvetica" w:hAnsi="Helvetica" w:cs="Helvetica"/>
                <w:noProof/>
                <w:shd w:val="clear" w:color="auto" w:fill="9CC2E5" w:themeFill="accent1" w:themeFillTint="99"/>
                <w:lang w:eastAsia="en-NZ"/>
              </w:rPr>
              <w:drawing>
                <wp:inline distT="0" distB="0" distL="0" distR="0" wp14:anchorId="7A79B932" wp14:editId="2AC2AF53">
                  <wp:extent cx="660400" cy="577850"/>
                  <wp:effectExtent l="0" t="0" r="6350" b="0"/>
                  <wp:docPr id="2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clrChange>
                              <a:clrFrom>
                                <a:srgbClr val="FFFFFF"/>
                              </a:clrFrom>
                              <a:clrTo>
                                <a:srgbClr val="FFFFFF">
                                  <a:alpha val="0"/>
                                </a:srgbClr>
                              </a:clrTo>
                            </a:clrChange>
                            <a:duotone>
                              <a:prstClr val="black"/>
                              <a:schemeClr val="tx2">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660400" cy="577850"/>
                          </a:xfrm>
                          <a:prstGeom prst="rect">
                            <a:avLst/>
                          </a:prstGeom>
                          <a:solidFill>
                            <a:schemeClr val="bg1">
                              <a:lumMod val="65000"/>
                            </a:schemeClr>
                          </a:solidFill>
                          <a:ln>
                            <a:noFill/>
                          </a:ln>
                        </pic:spPr>
                      </pic:pic>
                    </a:graphicData>
                  </a:graphic>
                </wp:inline>
              </w:drawing>
            </w:r>
          </w:p>
        </w:tc>
        <w:tc>
          <w:tcPr>
            <w:tcW w:w="4428" w:type="dxa"/>
          </w:tcPr>
          <w:p w14:paraId="2140AD6B"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Starting material (older P2P method)</w:t>
            </w:r>
          </w:p>
          <w:p w14:paraId="494998DE"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Volatile – not expected to persist</w:t>
            </w:r>
          </w:p>
          <w:p w14:paraId="277A62ED"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Low toxicity</w:t>
            </w:r>
          </w:p>
        </w:tc>
      </w:tr>
      <w:tr w:rsidR="003A23AE" w:rsidRPr="003720AF" w14:paraId="39673546" w14:textId="77777777" w:rsidTr="003A23AE">
        <w:tc>
          <w:tcPr>
            <w:cnfStyle w:val="001000000000" w:firstRow="0" w:lastRow="0" w:firstColumn="1" w:lastColumn="0" w:oddVBand="0" w:evenVBand="0" w:oddHBand="0" w:evenHBand="0" w:firstRowFirstColumn="0" w:firstRowLastColumn="0" w:lastRowFirstColumn="0" w:lastRowLastColumn="0"/>
            <w:tcW w:w="4428" w:type="dxa"/>
          </w:tcPr>
          <w:p w14:paraId="20A867DF" w14:textId="77777777" w:rsidR="003A23AE" w:rsidRPr="003720AF" w:rsidRDefault="003A23AE" w:rsidP="004A495E">
            <w:pPr>
              <w:spacing w:before="40" w:after="40"/>
              <w:rPr>
                <w:lang w:val="en-NZ"/>
              </w:rPr>
            </w:pPr>
            <w:r w:rsidRPr="003720AF">
              <w:rPr>
                <w:lang w:val="en-NZ"/>
              </w:rPr>
              <w:t>Nitroethane</w:t>
            </w:r>
          </w:p>
          <w:p w14:paraId="77A595B3" w14:textId="77777777" w:rsidR="003A23AE" w:rsidRPr="003720AF" w:rsidRDefault="003A23AE" w:rsidP="004A495E">
            <w:pPr>
              <w:spacing w:before="40" w:after="40"/>
              <w:rPr>
                <w:lang w:val="en-NZ"/>
              </w:rPr>
            </w:pPr>
            <w:r w:rsidRPr="003720AF">
              <w:rPr>
                <w:lang w:val="en-NZ"/>
              </w:rPr>
              <w:t>CAS No. 79-24-3</w:t>
            </w:r>
          </w:p>
        </w:tc>
        <w:tc>
          <w:tcPr>
            <w:tcW w:w="4428" w:type="dxa"/>
          </w:tcPr>
          <w:p w14:paraId="266CDD01"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Starting material (P2P method)</w:t>
            </w:r>
          </w:p>
        </w:tc>
      </w:tr>
      <w:tr w:rsidR="003A23AE" w:rsidRPr="003720AF" w14:paraId="497B35FF"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477383F7" w14:textId="77777777" w:rsidR="003A23AE" w:rsidRPr="003720AF" w:rsidRDefault="003A23AE" w:rsidP="004A495E">
            <w:pPr>
              <w:spacing w:before="40" w:after="40"/>
              <w:rPr>
                <w:lang w:val="en-NZ"/>
              </w:rPr>
            </w:pPr>
            <w:r w:rsidRPr="003720AF">
              <w:rPr>
                <w:lang w:val="en-NZ"/>
              </w:rPr>
              <w:t>Phosphorous</w:t>
            </w:r>
          </w:p>
          <w:p w14:paraId="359A63C9" w14:textId="77777777" w:rsidR="003A23AE" w:rsidRPr="003720AF" w:rsidRDefault="003A23AE" w:rsidP="004A495E">
            <w:pPr>
              <w:spacing w:before="40" w:after="40"/>
              <w:rPr>
                <w:lang w:val="en-NZ"/>
              </w:rPr>
            </w:pPr>
            <w:r w:rsidRPr="003720AF">
              <w:rPr>
                <w:lang w:val="en-NZ"/>
              </w:rPr>
              <w:t>CAS No. 7723-14-0</w:t>
            </w:r>
          </w:p>
        </w:tc>
        <w:tc>
          <w:tcPr>
            <w:tcW w:w="4428" w:type="dxa"/>
          </w:tcPr>
          <w:p w14:paraId="7EF2F3AD"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Starting material (Red P method)</w:t>
            </w:r>
          </w:p>
        </w:tc>
      </w:tr>
      <w:tr w:rsidR="003A23AE" w:rsidRPr="003720AF" w14:paraId="445ED1CE" w14:textId="77777777" w:rsidTr="003A23AE">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tcBorders>
          </w:tcPr>
          <w:p w14:paraId="16D3651C" w14:textId="77777777" w:rsidR="003A23AE" w:rsidRPr="003720AF" w:rsidRDefault="003A23AE" w:rsidP="004A495E">
            <w:pPr>
              <w:spacing w:before="40" w:after="40"/>
              <w:rPr>
                <w:noProof/>
                <w:lang w:val="en-NZ"/>
              </w:rPr>
            </w:pPr>
            <w:r w:rsidRPr="003720AF">
              <w:rPr>
                <w:noProof/>
                <w:lang w:eastAsia="en-NZ"/>
              </w:rPr>
              <w:drawing>
                <wp:inline distT="0" distB="0" distL="0" distR="0" wp14:anchorId="09CCCCCF" wp14:editId="10D9E9E2">
                  <wp:extent cx="981075" cy="668268"/>
                  <wp:effectExtent l="0" t="0" r="0" b="0"/>
                  <wp:docPr id="28" name="Picture 28" descr="(+)-Pseudoephedrin.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eudoephedrin.sv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81075" cy="668268"/>
                          </a:xfrm>
                          <a:prstGeom prst="rect">
                            <a:avLst/>
                          </a:prstGeom>
                          <a:noFill/>
                          <a:ln>
                            <a:noFill/>
                          </a:ln>
                        </pic:spPr>
                      </pic:pic>
                    </a:graphicData>
                  </a:graphic>
                </wp:inline>
              </w:drawing>
            </w:r>
          </w:p>
          <w:p w14:paraId="46DAA51C" w14:textId="77777777" w:rsidR="003A23AE" w:rsidRPr="003720AF" w:rsidRDefault="003A23AE" w:rsidP="004A495E">
            <w:pPr>
              <w:spacing w:before="40" w:after="40"/>
              <w:rPr>
                <w:noProof/>
                <w:lang w:val="en-NZ"/>
              </w:rPr>
            </w:pPr>
            <w:r w:rsidRPr="003720AF">
              <w:rPr>
                <w:noProof/>
                <w:lang w:val="en-NZ"/>
              </w:rPr>
              <w:t>Pseudoephedrine</w:t>
            </w:r>
          </w:p>
          <w:p w14:paraId="4CFCF704" w14:textId="77777777" w:rsidR="003A23AE" w:rsidRPr="003720AF" w:rsidRDefault="003A23AE" w:rsidP="004A495E">
            <w:pPr>
              <w:spacing w:before="40" w:after="40"/>
              <w:rPr>
                <w:noProof/>
                <w:lang w:val="en-NZ"/>
              </w:rPr>
            </w:pPr>
            <w:r w:rsidRPr="003720AF">
              <w:rPr>
                <w:noProof/>
                <w:lang w:val="en-NZ"/>
              </w:rPr>
              <w:t>CAS No. 90-82-4</w:t>
            </w:r>
          </w:p>
        </w:tc>
        <w:tc>
          <w:tcPr>
            <w:tcW w:w="4428" w:type="dxa"/>
            <w:tcBorders>
              <w:top w:val="single" w:sz="4" w:space="0" w:color="auto"/>
            </w:tcBorders>
          </w:tcPr>
          <w:p w14:paraId="1F9D381C"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Red P and Nazi/Birch methods</w:t>
            </w:r>
          </w:p>
          <w:p w14:paraId="6D7E53F9"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Starting material for MA production</w:t>
            </w:r>
          </w:p>
          <w:p w14:paraId="22687471"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Therapeutic doses</w:t>
            </w:r>
            <w:r w:rsidRPr="003720AF">
              <w:rPr>
                <w:vertAlign w:val="superscript"/>
                <w:lang w:val="en-NZ"/>
              </w:rPr>
              <w:t>1</w:t>
            </w:r>
          </w:p>
          <w:p w14:paraId="1C47C5A1" w14:textId="77777777" w:rsidR="003A23AE" w:rsidRPr="003720AF" w:rsidRDefault="003A23AE" w:rsidP="004A495E">
            <w:pPr>
              <w:pStyle w:val="ListParagraph"/>
              <w:numPr>
                <w:ilvl w:val="1"/>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2-5 yr = 60 mg/day max</w:t>
            </w:r>
          </w:p>
          <w:p w14:paraId="08757C45" w14:textId="77777777" w:rsidR="003A23AE" w:rsidRPr="003720AF" w:rsidRDefault="003A23AE" w:rsidP="004A495E">
            <w:pPr>
              <w:pStyle w:val="ListParagraph"/>
              <w:numPr>
                <w:ilvl w:val="1"/>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6-12 yr = 120 mg/day max</w:t>
            </w:r>
          </w:p>
          <w:p w14:paraId="1E2D212F" w14:textId="77777777" w:rsidR="003A23AE" w:rsidRPr="003720AF" w:rsidRDefault="003A23AE" w:rsidP="004A495E">
            <w:pPr>
              <w:pStyle w:val="ListParagraph"/>
              <w:numPr>
                <w:ilvl w:val="1"/>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12+ yr = 240 mg/day max</w:t>
            </w:r>
          </w:p>
        </w:tc>
      </w:tr>
      <w:tr w:rsidR="003A23AE" w:rsidRPr="003720AF" w14:paraId="2245B123"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04A39B7D" w14:textId="77777777" w:rsidR="003A23AE" w:rsidRPr="003720AF" w:rsidRDefault="003A23AE" w:rsidP="004A495E">
            <w:pPr>
              <w:spacing w:before="40" w:after="40"/>
              <w:rPr>
                <w:noProof/>
                <w:lang w:val="en-NZ"/>
              </w:rPr>
            </w:pPr>
            <w:r w:rsidRPr="003720AF">
              <w:rPr>
                <w:rFonts w:ascii="Helvetica" w:hAnsi="Helvetica" w:cs="Helvetica"/>
                <w:noProof/>
                <w:lang w:eastAsia="en-NZ"/>
              </w:rPr>
              <w:drawing>
                <wp:inline distT="0" distB="0" distL="0" distR="0" wp14:anchorId="12EE3DEC" wp14:editId="58CA50C3">
                  <wp:extent cx="843185" cy="40640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43250" cy="406431"/>
                          </a:xfrm>
                          <a:prstGeom prst="rect">
                            <a:avLst/>
                          </a:prstGeom>
                          <a:noFill/>
                          <a:ln>
                            <a:noFill/>
                          </a:ln>
                        </pic:spPr>
                      </pic:pic>
                    </a:graphicData>
                  </a:graphic>
                </wp:inline>
              </w:drawing>
            </w:r>
          </w:p>
          <w:p w14:paraId="1390C11C" w14:textId="77777777" w:rsidR="003A23AE" w:rsidRPr="003720AF" w:rsidRDefault="003A23AE" w:rsidP="004A495E">
            <w:pPr>
              <w:spacing w:before="40" w:after="40"/>
              <w:rPr>
                <w:noProof/>
                <w:lang w:val="en-NZ"/>
              </w:rPr>
            </w:pPr>
            <w:r w:rsidRPr="003720AF">
              <w:rPr>
                <w:noProof/>
                <w:lang w:val="en-NZ"/>
              </w:rPr>
              <w:t>P2P (phenyl acetone)</w:t>
            </w:r>
          </w:p>
          <w:p w14:paraId="334D1994" w14:textId="77777777" w:rsidR="003A23AE" w:rsidRPr="003720AF" w:rsidRDefault="003A23AE" w:rsidP="004A495E">
            <w:pPr>
              <w:spacing w:before="40" w:after="40"/>
              <w:rPr>
                <w:noProof/>
                <w:lang w:val="en-NZ"/>
              </w:rPr>
            </w:pPr>
            <w:r w:rsidRPr="003720AF">
              <w:rPr>
                <w:noProof/>
                <w:lang w:val="en-NZ"/>
              </w:rPr>
              <w:t>CAS No. 103-79-7</w:t>
            </w:r>
          </w:p>
          <w:p w14:paraId="2FDB0467" w14:textId="77777777" w:rsidR="003A23AE" w:rsidRPr="003720AF" w:rsidRDefault="003A23AE" w:rsidP="004A495E">
            <w:pPr>
              <w:spacing w:before="40" w:after="40"/>
              <w:rPr>
                <w:noProof/>
                <w:lang w:val="en-NZ"/>
              </w:rPr>
            </w:pPr>
          </w:p>
        </w:tc>
        <w:tc>
          <w:tcPr>
            <w:tcW w:w="4428" w:type="dxa"/>
          </w:tcPr>
          <w:p w14:paraId="0044C1C2"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Starting material (older P2P method)</w:t>
            </w:r>
          </w:p>
          <w:p w14:paraId="68C9D6E3"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Scarce toxicological information available</w:t>
            </w:r>
          </w:p>
        </w:tc>
      </w:tr>
      <w:tr w:rsidR="003A23AE" w:rsidRPr="003720AF" w14:paraId="49B253E4" w14:textId="77777777" w:rsidTr="003A23AE">
        <w:tc>
          <w:tcPr>
            <w:cnfStyle w:val="001000000000" w:firstRow="0" w:lastRow="0" w:firstColumn="1" w:lastColumn="0" w:oddVBand="0" w:evenVBand="0" w:oddHBand="0" w:evenHBand="0" w:firstRowFirstColumn="0" w:firstRowLastColumn="0" w:lastRowFirstColumn="0" w:lastRowLastColumn="0"/>
            <w:tcW w:w="4428" w:type="dxa"/>
          </w:tcPr>
          <w:p w14:paraId="66A95870" w14:textId="77777777" w:rsidR="003A23AE" w:rsidRPr="003720AF" w:rsidRDefault="003A23AE" w:rsidP="004A495E">
            <w:pPr>
              <w:spacing w:before="40" w:after="40"/>
              <w:rPr>
                <w:lang w:val="en-NZ"/>
              </w:rPr>
            </w:pPr>
            <w:r w:rsidRPr="003720AF">
              <w:rPr>
                <w:lang w:val="en-NZ"/>
              </w:rPr>
              <w:t>Sodium hydroxide</w:t>
            </w:r>
          </w:p>
          <w:p w14:paraId="09B2C0E5" w14:textId="77777777" w:rsidR="003A23AE" w:rsidRPr="003720AF" w:rsidRDefault="003A23AE" w:rsidP="004A495E">
            <w:pPr>
              <w:spacing w:before="40" w:after="40"/>
              <w:rPr>
                <w:lang w:val="en-NZ"/>
              </w:rPr>
            </w:pPr>
            <w:r w:rsidRPr="003720AF">
              <w:rPr>
                <w:lang w:val="en-NZ"/>
              </w:rPr>
              <w:t>CAS No. 1310-73-2</w:t>
            </w:r>
          </w:p>
        </w:tc>
        <w:tc>
          <w:tcPr>
            <w:tcW w:w="4428" w:type="dxa"/>
          </w:tcPr>
          <w:p w14:paraId="299EBC80" w14:textId="77777777" w:rsidR="003A23AE" w:rsidRPr="003720AF" w:rsidRDefault="003A23AE" w:rsidP="004A495E">
            <w:pPr>
              <w:pStyle w:val="ListParagraph"/>
              <w:numPr>
                <w:ilvl w:val="0"/>
                <w:numId w:val="25"/>
              </w:numPr>
              <w:spacing w:before="40" w:after="40" w:line="276" w:lineRule="auto"/>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pH adjustment – Red P method</w:t>
            </w:r>
          </w:p>
        </w:tc>
      </w:tr>
      <w:tr w:rsidR="003A23AE" w:rsidRPr="003720AF" w14:paraId="41751E83"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Pr>
          <w:p w14:paraId="5949200D" w14:textId="77777777" w:rsidR="003A23AE" w:rsidRPr="003720AF" w:rsidRDefault="003A23AE" w:rsidP="004A495E">
            <w:pPr>
              <w:spacing w:before="40" w:after="40"/>
              <w:rPr>
                <w:lang w:val="en-NZ"/>
              </w:rPr>
            </w:pPr>
            <w:r w:rsidRPr="003720AF">
              <w:rPr>
                <w:lang w:val="en-NZ"/>
              </w:rPr>
              <w:t>Aromatic hydrocarbons (BTEX)</w:t>
            </w:r>
          </w:p>
          <w:p w14:paraId="655F84D6" w14:textId="77777777" w:rsidR="003A23AE" w:rsidRPr="003720AF" w:rsidRDefault="003A23AE" w:rsidP="004A495E">
            <w:pPr>
              <w:spacing w:before="40" w:after="40"/>
              <w:rPr>
                <w:lang w:val="en-NZ"/>
              </w:rPr>
            </w:pPr>
            <w:r w:rsidRPr="003720AF">
              <w:rPr>
                <w:lang w:val="en-NZ"/>
              </w:rPr>
              <w:t>CAS Nos. 71-43-2, 108-88-3, 100-41-4, 1330-20-7</w:t>
            </w:r>
          </w:p>
        </w:tc>
        <w:tc>
          <w:tcPr>
            <w:tcW w:w="4428" w:type="dxa"/>
          </w:tcPr>
          <w:p w14:paraId="1C77F816"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Cheap solvents – potentially found in all labs.</w:t>
            </w:r>
          </w:p>
        </w:tc>
      </w:tr>
      <w:tr w:rsidR="003A23AE" w:rsidRPr="003720AF" w14:paraId="45B9E401" w14:textId="77777777" w:rsidTr="003A23AE">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bottom w:val="single" w:sz="4" w:space="0" w:color="auto"/>
            </w:tcBorders>
          </w:tcPr>
          <w:p w14:paraId="45205C1C" w14:textId="77777777" w:rsidR="003A23AE" w:rsidRPr="003720AF" w:rsidRDefault="003A23AE" w:rsidP="004A495E">
            <w:pPr>
              <w:spacing w:before="40" w:after="40"/>
              <w:rPr>
                <w:lang w:val="en-NZ"/>
              </w:rPr>
            </w:pPr>
            <w:r w:rsidRPr="003720AF">
              <w:rPr>
                <w:lang w:val="en-NZ"/>
              </w:rPr>
              <w:t>Breakdown Products of MA Use</w:t>
            </w:r>
          </w:p>
        </w:tc>
        <w:tc>
          <w:tcPr>
            <w:tcW w:w="4428" w:type="dxa"/>
            <w:tcBorders>
              <w:top w:val="single" w:sz="4" w:space="0" w:color="auto"/>
              <w:bottom w:val="single" w:sz="4" w:space="0" w:color="auto"/>
            </w:tcBorders>
          </w:tcPr>
          <w:p w14:paraId="057A73D2" w14:textId="77777777" w:rsidR="003A23AE" w:rsidRPr="003720AF" w:rsidRDefault="003A23AE" w:rsidP="004A495E">
            <w:pPr>
              <w:pStyle w:val="ListParagraph"/>
              <w:spacing w:before="40" w:after="40"/>
              <w:cnfStyle w:val="000000000000" w:firstRow="0" w:lastRow="0" w:firstColumn="0" w:lastColumn="0" w:oddVBand="0" w:evenVBand="0" w:oddHBand="0" w:evenHBand="0" w:firstRowFirstColumn="0" w:firstRowLastColumn="0" w:lastRowFirstColumn="0" w:lastRowLastColumn="0"/>
              <w:rPr>
                <w:lang w:val="en-NZ"/>
              </w:rPr>
            </w:pPr>
          </w:p>
        </w:tc>
      </w:tr>
      <w:tr w:rsidR="003A23AE" w:rsidRPr="003720AF" w14:paraId="77BC27B4"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bottom w:val="single" w:sz="4" w:space="0" w:color="auto"/>
            </w:tcBorders>
          </w:tcPr>
          <w:p w14:paraId="076CD45B" w14:textId="77777777" w:rsidR="003A23AE" w:rsidRPr="003720AF" w:rsidRDefault="003A23AE" w:rsidP="004A495E">
            <w:pPr>
              <w:spacing w:before="40" w:after="40"/>
              <w:rPr>
                <w:lang w:val="en-NZ"/>
              </w:rPr>
            </w:pPr>
            <w:r w:rsidRPr="003720AF">
              <w:rPr>
                <w:noProof/>
                <w:lang w:eastAsia="en-NZ"/>
              </w:rPr>
              <w:drawing>
                <wp:inline distT="0" distB="0" distL="0" distR="0" wp14:anchorId="6489345C" wp14:editId="7EAAA05C">
                  <wp:extent cx="478971" cy="838200"/>
                  <wp:effectExtent l="0" t="0" r="381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ans phenyl propene.png"/>
                          <pic:cNvPicPr/>
                        </pic:nvPicPr>
                        <pic:blipFill>
                          <a:blip r:embed="rId26">
                            <a:extLst>
                              <a:ext uri="{28A0092B-C50C-407E-A947-70E740481C1C}">
                                <a14:useLocalDpi xmlns:a14="http://schemas.microsoft.com/office/drawing/2010/main" val="0"/>
                              </a:ext>
                            </a:extLst>
                          </a:blip>
                          <a:stretch>
                            <a:fillRect/>
                          </a:stretch>
                        </pic:blipFill>
                        <pic:spPr>
                          <a:xfrm>
                            <a:off x="0" y="0"/>
                            <a:ext cx="478971" cy="838200"/>
                          </a:xfrm>
                          <a:prstGeom prst="rect">
                            <a:avLst/>
                          </a:prstGeom>
                        </pic:spPr>
                      </pic:pic>
                    </a:graphicData>
                  </a:graphic>
                </wp:inline>
              </w:drawing>
            </w:r>
            <w:r w:rsidRPr="003720AF">
              <w:rPr>
                <w:lang w:val="en-NZ"/>
              </w:rPr>
              <w:t xml:space="preserve">  </w:t>
            </w:r>
          </w:p>
          <w:p w14:paraId="751B604D" w14:textId="77777777" w:rsidR="003A23AE" w:rsidRPr="003720AF" w:rsidRDefault="003A23AE" w:rsidP="004A495E">
            <w:pPr>
              <w:spacing w:before="40" w:after="40"/>
              <w:rPr>
                <w:lang w:val="en-NZ"/>
              </w:rPr>
            </w:pPr>
            <w:r w:rsidRPr="003720AF">
              <w:rPr>
                <w:lang w:val="en-NZ"/>
              </w:rPr>
              <w:t>Trans phenylpropene (TPP)</w:t>
            </w:r>
          </w:p>
          <w:p w14:paraId="364A617C" w14:textId="77777777" w:rsidR="003A23AE" w:rsidRPr="003720AF" w:rsidRDefault="003A23AE" w:rsidP="004A495E">
            <w:pPr>
              <w:spacing w:before="40" w:after="40"/>
              <w:rPr>
                <w:lang w:val="en-NZ"/>
              </w:rPr>
            </w:pPr>
            <w:r w:rsidRPr="003720AF">
              <w:rPr>
                <w:lang w:val="en-NZ"/>
              </w:rPr>
              <w:t>CAS No. 873-66-5</w:t>
            </w:r>
          </w:p>
          <w:p w14:paraId="5E8AA118" w14:textId="77777777" w:rsidR="003A23AE" w:rsidRPr="003720AF" w:rsidRDefault="003A23AE" w:rsidP="004A495E">
            <w:pPr>
              <w:spacing w:before="40" w:after="40"/>
              <w:rPr>
                <w:lang w:val="en-NZ"/>
              </w:rPr>
            </w:pPr>
          </w:p>
        </w:tc>
        <w:tc>
          <w:tcPr>
            <w:tcW w:w="4428" w:type="dxa"/>
            <w:tcBorders>
              <w:top w:val="single" w:sz="4" w:space="0" w:color="auto"/>
              <w:bottom w:val="single" w:sz="4" w:space="0" w:color="auto"/>
            </w:tcBorders>
          </w:tcPr>
          <w:p w14:paraId="075307C3"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Break down product of MA when heated</w:t>
            </w:r>
          </w:p>
          <w:p w14:paraId="175D88DA"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Toxicology unknown</w:t>
            </w:r>
          </w:p>
          <w:p w14:paraId="7A57D1D5"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 xml:space="preserve">Chemically similar to styrene </w:t>
            </w:r>
          </w:p>
          <w:p w14:paraId="1619D2E4" w14:textId="77777777" w:rsidR="003A23AE" w:rsidRPr="003720AF" w:rsidRDefault="003A23AE" w:rsidP="004A495E">
            <w:pPr>
              <w:spacing w:before="40" w:after="40"/>
              <w:cnfStyle w:val="000000100000" w:firstRow="0" w:lastRow="0" w:firstColumn="0" w:lastColumn="0" w:oddVBand="0" w:evenVBand="0" w:oddHBand="1" w:evenHBand="0" w:firstRowFirstColumn="0" w:firstRowLastColumn="0" w:lastRowFirstColumn="0" w:lastRowLastColumn="0"/>
              <w:rPr>
                <w:lang w:val="en-NZ"/>
              </w:rPr>
            </w:pPr>
          </w:p>
        </w:tc>
      </w:tr>
      <w:tr w:rsidR="003A23AE" w:rsidRPr="003720AF" w14:paraId="7244333D" w14:textId="77777777" w:rsidTr="003A23AE">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bottom w:val="single" w:sz="4" w:space="0" w:color="auto"/>
            </w:tcBorders>
          </w:tcPr>
          <w:p w14:paraId="084C0B0C" w14:textId="77777777" w:rsidR="003A23AE" w:rsidRPr="003720AF" w:rsidRDefault="003A23AE" w:rsidP="004A495E">
            <w:pPr>
              <w:spacing w:before="40" w:after="40"/>
              <w:rPr>
                <w:noProof/>
                <w:lang w:val="en-NZ"/>
              </w:rPr>
            </w:pPr>
            <w:r w:rsidRPr="003720AF">
              <w:rPr>
                <w:noProof/>
                <w:lang w:val="en-NZ"/>
              </w:rPr>
              <w:t>By-Products of MA Production</w:t>
            </w:r>
          </w:p>
        </w:tc>
        <w:tc>
          <w:tcPr>
            <w:tcW w:w="4428" w:type="dxa"/>
            <w:tcBorders>
              <w:top w:val="single" w:sz="4" w:space="0" w:color="auto"/>
              <w:bottom w:val="single" w:sz="4" w:space="0" w:color="auto"/>
            </w:tcBorders>
          </w:tcPr>
          <w:p w14:paraId="68507923" w14:textId="77777777" w:rsidR="003A23AE" w:rsidRPr="003720AF" w:rsidRDefault="003A23AE" w:rsidP="004A495E">
            <w:pPr>
              <w:pStyle w:val="ListParagraph"/>
              <w:spacing w:before="40" w:after="40"/>
              <w:cnfStyle w:val="000000000000" w:firstRow="0" w:lastRow="0" w:firstColumn="0" w:lastColumn="0" w:oddVBand="0" w:evenVBand="0" w:oddHBand="0" w:evenHBand="0" w:firstRowFirstColumn="0" w:firstRowLastColumn="0" w:lastRowFirstColumn="0" w:lastRowLastColumn="0"/>
              <w:rPr>
                <w:lang w:val="en-NZ"/>
              </w:rPr>
            </w:pPr>
          </w:p>
        </w:tc>
      </w:tr>
      <w:tr w:rsidR="003A23AE" w:rsidRPr="003720AF" w14:paraId="78415F30"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bottom w:val="single" w:sz="4" w:space="0" w:color="auto"/>
            </w:tcBorders>
          </w:tcPr>
          <w:p w14:paraId="3D6EB135" w14:textId="77777777" w:rsidR="003A23AE" w:rsidRPr="003720AF" w:rsidRDefault="003A23AE" w:rsidP="004A495E">
            <w:pPr>
              <w:spacing w:before="40" w:after="40"/>
              <w:rPr>
                <w:lang w:val="en-NZ"/>
              </w:rPr>
            </w:pPr>
            <w:r w:rsidRPr="003720AF">
              <w:rPr>
                <w:lang w:val="en-NZ"/>
              </w:rPr>
              <w:t>Phosphine</w:t>
            </w:r>
          </w:p>
          <w:p w14:paraId="5A911671" w14:textId="77777777" w:rsidR="003A23AE" w:rsidRPr="003720AF" w:rsidRDefault="003A23AE" w:rsidP="004A495E">
            <w:pPr>
              <w:spacing w:before="40" w:after="40"/>
              <w:rPr>
                <w:lang w:val="en-NZ"/>
              </w:rPr>
            </w:pPr>
            <w:r w:rsidRPr="003720AF">
              <w:rPr>
                <w:lang w:val="en-NZ"/>
              </w:rPr>
              <w:t>CAS No. 7803-51-2</w:t>
            </w:r>
          </w:p>
        </w:tc>
        <w:tc>
          <w:tcPr>
            <w:tcW w:w="4428" w:type="dxa"/>
            <w:tcBorders>
              <w:top w:val="single" w:sz="4" w:space="0" w:color="auto"/>
              <w:bottom w:val="single" w:sz="4" w:space="0" w:color="auto"/>
            </w:tcBorders>
          </w:tcPr>
          <w:p w14:paraId="0B16E53D"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By-product  (Red P method)</w:t>
            </w:r>
          </w:p>
          <w:p w14:paraId="08651620"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There has been no detection of airborne phosphine in former clan labs</w:t>
            </w:r>
          </w:p>
          <w:p w14:paraId="290E8F9C"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 xml:space="preserve">Volatile, reactive, and not expected to persist.  Not expected to be </w:t>
            </w:r>
            <w:r w:rsidRPr="003720AF">
              <w:rPr>
                <w:lang w:val="en-NZ"/>
              </w:rPr>
              <w:lastRenderedPageBreak/>
              <w:t>present in homes where MA was smoked.</w:t>
            </w:r>
          </w:p>
          <w:p w14:paraId="2EA8202D"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0.3 ppm 8 hr TWA – OSHA</w:t>
            </w:r>
          </w:p>
          <w:p w14:paraId="02E72349" w14:textId="7777777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1 ppm 15 min - NIOSH</w:t>
            </w:r>
          </w:p>
        </w:tc>
      </w:tr>
      <w:tr w:rsidR="003A23AE" w:rsidRPr="003720AF" w14:paraId="6EDF1E2D" w14:textId="77777777" w:rsidTr="003A23AE">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bottom w:val="single" w:sz="4" w:space="0" w:color="auto"/>
            </w:tcBorders>
          </w:tcPr>
          <w:p w14:paraId="7EEDB311" w14:textId="77777777" w:rsidR="003A23AE" w:rsidRPr="003720AF" w:rsidRDefault="003A23AE" w:rsidP="004A495E">
            <w:pPr>
              <w:spacing w:before="40" w:after="40"/>
              <w:rPr>
                <w:lang w:val="en-NZ"/>
              </w:rPr>
            </w:pPr>
            <w:r w:rsidRPr="003720AF">
              <w:rPr>
                <w:lang w:val="en-NZ"/>
              </w:rPr>
              <w:lastRenderedPageBreak/>
              <w:t>Related chemicals found in Some Clan Labs</w:t>
            </w:r>
          </w:p>
        </w:tc>
        <w:tc>
          <w:tcPr>
            <w:tcW w:w="4428" w:type="dxa"/>
            <w:tcBorders>
              <w:top w:val="single" w:sz="4" w:space="0" w:color="auto"/>
              <w:bottom w:val="single" w:sz="4" w:space="0" w:color="auto"/>
            </w:tcBorders>
          </w:tcPr>
          <w:p w14:paraId="7FFB830A" w14:textId="77777777" w:rsidR="003A23AE" w:rsidRPr="003720AF" w:rsidRDefault="003A23AE" w:rsidP="004A495E">
            <w:pPr>
              <w:pStyle w:val="ListParagraph"/>
              <w:spacing w:before="40" w:after="40"/>
              <w:cnfStyle w:val="000000000000" w:firstRow="0" w:lastRow="0" w:firstColumn="0" w:lastColumn="0" w:oddVBand="0" w:evenVBand="0" w:oddHBand="0" w:evenHBand="0" w:firstRowFirstColumn="0" w:firstRowLastColumn="0" w:lastRowFirstColumn="0" w:lastRowLastColumn="0"/>
              <w:rPr>
                <w:lang w:val="en-NZ"/>
              </w:rPr>
            </w:pPr>
          </w:p>
        </w:tc>
      </w:tr>
      <w:tr w:rsidR="003A23AE" w:rsidRPr="003720AF" w14:paraId="74E913B4" w14:textId="77777777" w:rsidTr="003A23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auto"/>
            </w:tcBorders>
          </w:tcPr>
          <w:p w14:paraId="009594D2" w14:textId="77777777" w:rsidR="003A23AE" w:rsidRPr="003720AF" w:rsidRDefault="003A23AE" w:rsidP="004A495E">
            <w:pPr>
              <w:spacing w:before="40" w:after="40"/>
              <w:rPr>
                <w:lang w:val="en-NZ"/>
              </w:rPr>
            </w:pPr>
            <w:r w:rsidRPr="003720AF">
              <w:rPr>
                <w:lang w:val="en-NZ"/>
              </w:rPr>
              <w:t>MDMA (3,4-methylenedioxymethamphetamine)</w:t>
            </w:r>
          </w:p>
          <w:p w14:paraId="057AE222" w14:textId="77777777" w:rsidR="003A23AE" w:rsidRPr="003720AF" w:rsidRDefault="003A23AE" w:rsidP="004A495E">
            <w:pPr>
              <w:spacing w:before="40" w:after="40"/>
              <w:rPr>
                <w:color w:val="auto"/>
                <w:lang w:val="en-NZ"/>
              </w:rPr>
            </w:pPr>
            <w:r w:rsidRPr="003720AF">
              <w:rPr>
                <w:lang w:val="en-NZ"/>
              </w:rPr>
              <w:t xml:space="preserve">CAS No. </w:t>
            </w:r>
            <w:r w:rsidRPr="003720AF">
              <w:rPr>
                <w:rFonts w:eastAsiaTheme="minorEastAsia" w:cs="Arial"/>
                <w:color w:val="auto"/>
                <w:lang w:val="en-NZ"/>
              </w:rPr>
              <w:t>42542-10</w:t>
            </w:r>
            <w:r w:rsidRPr="003720AF">
              <w:rPr>
                <w:rFonts w:eastAsiaTheme="minorEastAsia" w:cs="Arial"/>
                <w:bCs w:val="0"/>
                <w:color w:val="auto"/>
                <w:lang w:val="en-NZ"/>
              </w:rPr>
              <w:t>-09</w:t>
            </w:r>
          </w:p>
          <w:p w14:paraId="5641DB6A" w14:textId="77777777" w:rsidR="003A23AE" w:rsidRPr="003720AF" w:rsidRDefault="003A23AE" w:rsidP="004A495E">
            <w:pPr>
              <w:spacing w:before="40" w:after="40"/>
              <w:rPr>
                <w:lang w:val="en-NZ"/>
              </w:rPr>
            </w:pPr>
            <w:r w:rsidRPr="003720AF">
              <w:rPr>
                <w:rFonts w:ascii="Helvetica" w:hAnsi="Helvetica" w:cs="Helvetica"/>
                <w:noProof/>
                <w:lang w:eastAsia="en-NZ"/>
              </w:rPr>
              <w:drawing>
                <wp:inline distT="0" distB="0" distL="0" distR="0" wp14:anchorId="72D6DBAF" wp14:editId="37B6C8ED">
                  <wp:extent cx="1371600" cy="604751"/>
                  <wp:effectExtent l="0" t="0" r="0" b="5080"/>
                  <wp:docPr id="3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781" cy="604831"/>
                          </a:xfrm>
                          <a:prstGeom prst="rect">
                            <a:avLst/>
                          </a:prstGeom>
                          <a:noFill/>
                          <a:ln>
                            <a:noFill/>
                          </a:ln>
                        </pic:spPr>
                      </pic:pic>
                    </a:graphicData>
                  </a:graphic>
                </wp:inline>
              </w:drawing>
            </w:r>
          </w:p>
        </w:tc>
        <w:tc>
          <w:tcPr>
            <w:tcW w:w="4428" w:type="dxa"/>
            <w:tcBorders>
              <w:top w:val="single" w:sz="4" w:space="0" w:color="auto"/>
            </w:tcBorders>
          </w:tcPr>
          <w:p w14:paraId="378B4529" w14:textId="0398DB57" w:rsidR="003A23AE" w:rsidRPr="003720AF" w:rsidRDefault="003A23AE" w:rsidP="004A495E">
            <w:pPr>
              <w:pStyle w:val="ListParagraph"/>
              <w:numPr>
                <w:ilvl w:val="0"/>
                <w:numId w:val="25"/>
              </w:numPr>
              <w:spacing w:before="40" w:after="40" w:line="276" w:lineRule="auto"/>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“Ecstasy” – a psychoactive hallucinogenic amphetamine derivative, n</w:t>
            </w:r>
            <w:r w:rsidR="004A495E" w:rsidRPr="003720AF">
              <w:rPr>
                <w:lang w:val="en-NZ"/>
              </w:rPr>
              <w:t xml:space="preserve">ot derived directly from MA. </w:t>
            </w:r>
            <w:r w:rsidRPr="003720AF">
              <w:rPr>
                <w:lang w:val="en-NZ"/>
              </w:rPr>
              <w:t xml:space="preserve">Distinct illicit drug - involves a distinct synthesis pathway. </w:t>
            </w:r>
          </w:p>
        </w:tc>
      </w:tr>
    </w:tbl>
    <w:p w14:paraId="2CA5CA1E" w14:textId="77777777" w:rsidR="00BE4B70" w:rsidRPr="003720AF" w:rsidRDefault="00BE4B70" w:rsidP="00BE4B70">
      <w:pPr>
        <w:pStyle w:val="ESRBodyText"/>
      </w:pPr>
    </w:p>
    <w:p w14:paraId="29C8E4E4" w14:textId="42ED1FFB" w:rsidR="003A23AE" w:rsidRPr="003720AF" w:rsidRDefault="003A23AE" w:rsidP="003A23AE">
      <w:pPr>
        <w:spacing w:line="360" w:lineRule="auto"/>
      </w:pPr>
      <w:r w:rsidRPr="003720AF">
        <w:rPr>
          <w:rFonts w:cs="Arial"/>
        </w:rPr>
        <w:t>Because remediated clan labs are not typically subject to a comprehensive analytical screen for metals, aromatics, or semi-volatile organics, this report is not able to present a typical chemical mixture scenario that would allow for a mixtures risk assessment that could be generall</w:t>
      </w:r>
      <w:r w:rsidR="004A495E" w:rsidRPr="003720AF">
        <w:rPr>
          <w:rFonts w:cs="Arial"/>
        </w:rPr>
        <w:t xml:space="preserve">y applied to remediated sites. </w:t>
      </w:r>
      <w:r w:rsidRPr="003720AF">
        <w:rPr>
          <w:rFonts w:cs="Arial"/>
        </w:rPr>
        <w:t xml:space="preserve">Instead, those chemicals that have been reported to be used in MA production are listed in Table 3 and discussed as to their potential contribution </w:t>
      </w:r>
      <w:r w:rsidR="004A495E" w:rsidRPr="003720AF">
        <w:rPr>
          <w:rFonts w:cs="Arial"/>
        </w:rPr>
        <w:t xml:space="preserve">to risk in a remediated house. </w:t>
      </w:r>
      <w:r w:rsidRPr="003720AF">
        <w:rPr>
          <w:rFonts w:cs="Arial"/>
        </w:rPr>
        <w:t>Many of these chemicals have already been listed elsewhere and had their toxicological hazards and prop</w:t>
      </w:r>
      <w:r w:rsidR="00A64494" w:rsidRPr="003720AF">
        <w:rPr>
          <w:rFonts w:cs="Arial"/>
        </w:rPr>
        <w:t>erties described in detail (ERS</w:t>
      </w:r>
      <w:r w:rsidRPr="003720AF">
        <w:rPr>
          <w:rFonts w:cs="Arial"/>
        </w:rPr>
        <w:t xml:space="preserve"> 2009).</w:t>
      </w:r>
    </w:p>
    <w:p w14:paraId="1B01CBC8" w14:textId="77777777" w:rsidR="00BE4B70" w:rsidRPr="003720AF" w:rsidRDefault="00BE4B70" w:rsidP="00BE4B70">
      <w:pPr>
        <w:pStyle w:val="Heading2"/>
        <w:rPr>
          <w:rFonts w:hint="eastAsia"/>
        </w:rPr>
      </w:pPr>
      <w:bookmarkStart w:id="11" w:name="_Toc463856029"/>
      <w:r w:rsidRPr="003720AF">
        <w:t>New Zealand</w:t>
      </w:r>
      <w:bookmarkEnd w:id="11"/>
      <w:r w:rsidRPr="003720AF">
        <w:tab/>
      </w:r>
    </w:p>
    <w:p w14:paraId="2EF3800A" w14:textId="5E5D34CF" w:rsidR="003A23AE" w:rsidRPr="003720AF" w:rsidRDefault="003A23AE" w:rsidP="003A23AE">
      <w:pPr>
        <w:spacing w:line="360" w:lineRule="auto"/>
      </w:pPr>
      <w:r w:rsidRPr="003720AF">
        <w:t>A guidance document that provides extensive background information on MA clan lab cleanup in New Zealand, together with safety considerations during and post remediation, and roles and responsibilities of government and non-governmental enti</w:t>
      </w:r>
      <w:r w:rsidR="00A64494" w:rsidRPr="003720AF">
        <w:t>ties was published in 2010 (MoH</w:t>
      </w:r>
      <w:r w:rsidRPr="003720AF">
        <w:t xml:space="preserve"> 2</w:t>
      </w:r>
      <w:r w:rsidR="00A64494" w:rsidRPr="003720AF">
        <w:t xml:space="preserve">010). </w:t>
      </w:r>
      <w:r w:rsidRPr="003720AF">
        <w:t xml:space="preserve">The NZ guidance document also describes the occurrence of chemicals with acute or chronic toxicity concerns that have been reported </w:t>
      </w:r>
      <w:r w:rsidR="00A64494" w:rsidRPr="003720AF">
        <w:t xml:space="preserve">internationally </w:t>
      </w:r>
      <w:r w:rsidRPr="003720AF">
        <w:t xml:space="preserve">to occur or </w:t>
      </w:r>
      <w:r w:rsidR="00A64494" w:rsidRPr="003720AF">
        <w:t xml:space="preserve">are </w:t>
      </w:r>
      <w:r w:rsidRPr="003720AF">
        <w:t xml:space="preserve">theoretically able to occur in clan labs and </w:t>
      </w:r>
      <w:r w:rsidR="00A64494" w:rsidRPr="003720AF">
        <w:t xml:space="preserve">consequently </w:t>
      </w:r>
      <w:r w:rsidRPr="003720AF">
        <w:t>to be potentially present post-remediat</w:t>
      </w:r>
      <w:r w:rsidR="00A64494" w:rsidRPr="003720AF">
        <w:t xml:space="preserve">ion. </w:t>
      </w:r>
      <w:r w:rsidRPr="003720AF">
        <w:t>While the 2010 New Zealand guidance document does not contain a risk ass</w:t>
      </w:r>
      <w:r w:rsidR="00A64494" w:rsidRPr="003720AF">
        <w:t>essment, the MA standard of 0.5 </w:t>
      </w:r>
      <w:r w:rsidRPr="003720AF">
        <w:rPr>
          <w:rFonts w:ascii="Symbol" w:hAnsi="Symbol"/>
        </w:rPr>
        <w:t></w:t>
      </w:r>
      <w:r w:rsidR="00C710D7" w:rsidRPr="003720AF">
        <w:t>g/100 </w:t>
      </w:r>
      <w:r w:rsidRPr="003720AF">
        <w:t>cm</w:t>
      </w:r>
      <w:r w:rsidRPr="003720AF">
        <w:rPr>
          <w:vertAlign w:val="superscript"/>
        </w:rPr>
        <w:t>2</w:t>
      </w:r>
      <w:r w:rsidRPr="003720AF">
        <w:t>, contained in the guidance, is based on a detailed risk assessment report by Environmental Risk Sciences in 2009 (ERS 2009).</w:t>
      </w:r>
    </w:p>
    <w:p w14:paraId="4E83C4F1" w14:textId="74BDB9E9" w:rsidR="003A23AE" w:rsidRPr="003720AF" w:rsidRDefault="003A23AE" w:rsidP="003A23AE">
      <w:pPr>
        <w:spacing w:line="360" w:lineRule="auto"/>
        <w:jc w:val="both"/>
        <w:rPr>
          <w:rFonts w:cs="Arial"/>
        </w:rPr>
      </w:pPr>
      <w:r w:rsidRPr="003720AF">
        <w:rPr>
          <w:rFonts w:cs="Arial"/>
        </w:rPr>
        <w:t>New Zealand data indicate that the majority (62%) of clan labs investigated in 2008 were manufacturing MA. Red phosphorus methods were most common followed by clan labs using the Nazi/Birch method. Residential dwellings were most frequently used for clan lab activities, in particular rental properties (Fisher et al</w:t>
      </w:r>
      <w:r w:rsidR="00D70B19" w:rsidRPr="003720AF">
        <w:rPr>
          <w:rFonts w:cs="Arial"/>
        </w:rPr>
        <w:t xml:space="preserve"> 2011,</w:t>
      </w:r>
      <w:r w:rsidRPr="003720AF">
        <w:rPr>
          <w:rFonts w:cs="Arial"/>
        </w:rPr>
        <w:t xml:space="preserve"> </w:t>
      </w:r>
      <w:r w:rsidR="00A64494" w:rsidRPr="003720AF">
        <w:rPr>
          <w:rFonts w:cs="Arial"/>
        </w:rPr>
        <w:t>MoH</w:t>
      </w:r>
      <w:r w:rsidRPr="003720AF">
        <w:rPr>
          <w:rFonts w:cs="Arial"/>
        </w:rPr>
        <w:t xml:space="preserve"> 2010). This is similar to the situation in Australia </w:t>
      </w:r>
      <w:r w:rsidRPr="003720AF">
        <w:rPr>
          <w:rFonts w:cs="Arial"/>
        </w:rPr>
        <w:lastRenderedPageBreak/>
        <w:t xml:space="preserve">(below) for methamphetamine production processes and circumstances (Australian Government 2011). </w:t>
      </w:r>
    </w:p>
    <w:p w14:paraId="30272C11" w14:textId="77777777" w:rsidR="00B90BAE" w:rsidRPr="003720AF" w:rsidRDefault="00BE4B70" w:rsidP="00BE4B70">
      <w:pPr>
        <w:pStyle w:val="Heading2"/>
        <w:rPr>
          <w:rFonts w:hint="eastAsia"/>
        </w:rPr>
      </w:pPr>
      <w:bookmarkStart w:id="12" w:name="_Toc463856030"/>
      <w:r w:rsidRPr="003720AF">
        <w:t>AUSTRALIA</w:t>
      </w:r>
      <w:bookmarkEnd w:id="12"/>
    </w:p>
    <w:p w14:paraId="69D24BD5" w14:textId="1F53C9B1" w:rsidR="003A23AE" w:rsidRPr="003720AF" w:rsidRDefault="003A23AE" w:rsidP="003A23AE">
      <w:pPr>
        <w:spacing w:line="360" w:lineRule="auto"/>
        <w:jc w:val="both"/>
        <w:rPr>
          <w:rFonts w:cs="Arial"/>
        </w:rPr>
      </w:pPr>
      <w:r w:rsidRPr="003720AF">
        <w:rPr>
          <w:rFonts w:cs="Arial"/>
        </w:rPr>
        <w:t xml:space="preserve">The Australian Government Department of the Attorney General published the </w:t>
      </w:r>
      <w:r w:rsidRPr="003720AF">
        <w:rPr>
          <w:rFonts w:cs="Arial"/>
          <w:i/>
        </w:rPr>
        <w:t>Clandestine Drug Laboratory Remediation Guidelines</w:t>
      </w:r>
      <w:r w:rsidR="00A64494" w:rsidRPr="003720AF">
        <w:rPr>
          <w:rFonts w:cs="Arial"/>
        </w:rPr>
        <w:t xml:space="preserve"> in 2011 (Australian Government</w:t>
      </w:r>
      <w:r w:rsidRPr="003720AF">
        <w:rPr>
          <w:rFonts w:cs="Arial"/>
        </w:rPr>
        <w:t xml:space="preserve"> 2011). This document covers the assessment, remediation, validation and management of detected clan labs. </w:t>
      </w:r>
    </w:p>
    <w:p w14:paraId="43B42B68" w14:textId="0F46746A" w:rsidR="003A23AE" w:rsidRPr="003720AF" w:rsidRDefault="00A64494" w:rsidP="003A23AE">
      <w:pPr>
        <w:spacing w:line="360" w:lineRule="auto"/>
      </w:pPr>
      <w:r w:rsidRPr="003720AF">
        <w:t>Australia adopted the 0.5 </w:t>
      </w:r>
      <w:r w:rsidR="003A23AE" w:rsidRPr="003720AF">
        <w:t>µg/100 cm</w:t>
      </w:r>
      <w:r w:rsidR="003A23AE" w:rsidRPr="003720AF">
        <w:rPr>
          <w:vertAlign w:val="superscript"/>
        </w:rPr>
        <w:t>2</w:t>
      </w:r>
      <w:r w:rsidR="003A23AE" w:rsidRPr="003720AF">
        <w:t xml:space="preserve"> </w:t>
      </w:r>
      <w:r w:rsidR="00293904" w:rsidRPr="003720AF">
        <w:t>indoor surface MA residue clean</w:t>
      </w:r>
      <w:r w:rsidR="003A23AE" w:rsidRPr="003720AF">
        <w:t>up standard, based on the risk assessment and review conducted by Environmental Risk Sciences (ERS</w:t>
      </w:r>
      <w:r w:rsidR="00561FCF" w:rsidRPr="003720AF">
        <w:t xml:space="preserve"> 2009,</w:t>
      </w:r>
      <w:r w:rsidRPr="003720AF">
        <w:t xml:space="preserve"> Australian Government 2011).</w:t>
      </w:r>
      <w:r w:rsidR="003A23AE" w:rsidRPr="003720AF">
        <w:t xml:space="preserve"> The scientific basis for the Australian standard is well described in the E</w:t>
      </w:r>
      <w:r w:rsidRPr="003720AF">
        <w:t xml:space="preserve">nvironmental Risk Sciences </w:t>
      </w:r>
      <w:r w:rsidR="003A23AE" w:rsidRPr="003720AF">
        <w:t>report, using conservative</w:t>
      </w:r>
      <w:r w:rsidRPr="003720AF">
        <w:t xml:space="preserve"> calculations and assumptions. </w:t>
      </w:r>
      <w:r w:rsidR="003A23AE" w:rsidRPr="003720AF">
        <w:t>In addition to the standard for MA, the E</w:t>
      </w:r>
      <w:r w:rsidRPr="003720AF">
        <w:t>nvironmental Risk Sciences</w:t>
      </w:r>
      <w:r w:rsidR="003A23AE" w:rsidRPr="003720AF">
        <w:t xml:space="preserve"> report presented risk assessments for numerous chemicals likely to be found at former clan labs, and included discussion about cancer risk in addition to non-cancer risks (ERS, 2009).</w:t>
      </w:r>
    </w:p>
    <w:p w14:paraId="71F20660" w14:textId="423FF7DB" w:rsidR="00BE4B70" w:rsidRPr="003720AF" w:rsidRDefault="003A23AE" w:rsidP="003A23AE">
      <w:pPr>
        <w:spacing w:line="360" w:lineRule="auto"/>
        <w:rPr>
          <w:rFonts w:cs="Arial"/>
        </w:rPr>
      </w:pPr>
      <w:r w:rsidRPr="003720AF">
        <w:rPr>
          <w:rFonts w:cs="Arial"/>
        </w:rPr>
        <w:t>As described in both the New Zealand and Australian guidelines, there is a wide range of chemicals and therefore contaminants associated with clan labs, depending on the illicit drug involved, the production process, and the improvised materials used. Over 100 different chemical recipes may be involved in illicit drug manufacture, resulting in a large number of possible chemical contaminants (ERS</w:t>
      </w:r>
      <w:r w:rsidR="00053FEF" w:rsidRPr="003720AF">
        <w:rPr>
          <w:rFonts w:cs="Arial"/>
        </w:rPr>
        <w:t xml:space="preserve"> </w:t>
      </w:r>
      <w:r w:rsidRPr="003720AF">
        <w:rPr>
          <w:rFonts w:cs="Arial"/>
        </w:rPr>
        <w:t>2009</w:t>
      </w:r>
      <w:r w:rsidR="00561FCF" w:rsidRPr="003720AF">
        <w:rPr>
          <w:rFonts w:cs="Arial"/>
        </w:rPr>
        <w:t>,</w:t>
      </w:r>
      <w:r w:rsidRPr="003720AF">
        <w:rPr>
          <w:rFonts w:cs="Arial"/>
        </w:rPr>
        <w:t xml:space="preserve"> Table 2</w:t>
      </w:r>
      <w:r w:rsidR="00053FEF" w:rsidRPr="003720AF">
        <w:rPr>
          <w:rFonts w:cs="Arial"/>
        </w:rPr>
        <w:t xml:space="preserve">). </w:t>
      </w:r>
      <w:r w:rsidRPr="003720AF">
        <w:rPr>
          <w:rFonts w:cs="Arial"/>
        </w:rPr>
        <w:t>Contaminants may include precursor chemicals, process support chemicals, illicit drug products or by-products, and chemical production wastes. The result of this complex landscape is that each remediated laboratory is</w:t>
      </w:r>
      <w:r w:rsidR="00824428" w:rsidRPr="003720AF">
        <w:rPr>
          <w:rFonts w:cs="Arial"/>
        </w:rPr>
        <w:t xml:space="preserve"> likely to be somewhat unique. </w:t>
      </w:r>
      <w:r w:rsidRPr="003720AF">
        <w:rPr>
          <w:rFonts w:cs="Arial"/>
        </w:rPr>
        <w:t>On the other hand, houses where MA was smoked but not produced are likely to have greater homogeneity in the spectrum of different chemical contaminants</w:t>
      </w:r>
      <w:r w:rsidR="00BE4B70" w:rsidRPr="003720AF">
        <w:rPr>
          <w:rFonts w:cs="Arial"/>
        </w:rPr>
        <w:t xml:space="preserve">.  </w:t>
      </w:r>
    </w:p>
    <w:p w14:paraId="6CEB89A8" w14:textId="3F1EB3AA" w:rsidR="003A23AE" w:rsidRPr="003720AF" w:rsidRDefault="003A23AE" w:rsidP="003A23AE">
      <w:pPr>
        <w:spacing w:line="360" w:lineRule="auto"/>
        <w:jc w:val="both"/>
        <w:rPr>
          <w:rFonts w:cs="Arial"/>
        </w:rPr>
      </w:pPr>
      <w:r w:rsidRPr="003720AF">
        <w:rPr>
          <w:rFonts w:cs="Arial"/>
        </w:rPr>
        <w:t>The main illicit drugs made in Australia include amphetamine-type stimulants (ATS), 3,4-methylenedioxymethylamphetamine (MDMA or ecstasy) and pseudoephedrine (PSE)/ ephedrine extraction (for ATS). ATS production primarily consists of methamphetamine, ie</w:t>
      </w:r>
      <w:r w:rsidR="00824428" w:rsidRPr="003720AF">
        <w:rPr>
          <w:rFonts w:cs="Arial"/>
        </w:rPr>
        <w:t>,</w:t>
      </w:r>
      <w:r w:rsidRPr="003720AF">
        <w:rPr>
          <w:rFonts w:cs="Arial"/>
        </w:rPr>
        <w:t xml:space="preserve"> meth, speed or ice, but also covers other drugs such as amphetamine, phenethylamines and MDMA (un</w:t>
      </w:r>
      <w:r w:rsidR="00902CEC" w:rsidRPr="003720AF">
        <w:rPr>
          <w:rFonts w:cs="Arial"/>
        </w:rPr>
        <w:t>less specifically excluded) (enHealth</w:t>
      </w:r>
      <w:r w:rsidRPr="003720AF">
        <w:rPr>
          <w:rFonts w:cs="Arial"/>
        </w:rPr>
        <w:t xml:space="preserve"> 2013).</w:t>
      </w:r>
    </w:p>
    <w:p w14:paraId="230CEABE" w14:textId="77777777" w:rsidR="00BE4B70" w:rsidRPr="003720AF" w:rsidRDefault="00BE4B70" w:rsidP="00BE4B70">
      <w:pPr>
        <w:pStyle w:val="Heading2"/>
        <w:rPr>
          <w:rFonts w:hint="eastAsia"/>
        </w:rPr>
      </w:pPr>
      <w:bookmarkStart w:id="13" w:name="_Toc463856031"/>
      <w:r w:rsidRPr="003720AF">
        <w:t>USA</w:t>
      </w:r>
      <w:bookmarkEnd w:id="13"/>
    </w:p>
    <w:p w14:paraId="4196467A" w14:textId="210EE22E" w:rsidR="003A23AE" w:rsidRPr="003720AF" w:rsidRDefault="003A23AE" w:rsidP="003A23AE">
      <w:pPr>
        <w:spacing w:line="360" w:lineRule="auto"/>
      </w:pPr>
      <w:r w:rsidRPr="003720AF">
        <w:t>In the U</w:t>
      </w:r>
      <w:r w:rsidR="00824428" w:rsidRPr="003720AF">
        <w:t>nited States</w:t>
      </w:r>
      <w:r w:rsidRPr="003720AF">
        <w:t xml:space="preserve">, </w:t>
      </w:r>
      <w:r w:rsidR="006225EE" w:rsidRPr="003720AF">
        <w:rPr>
          <w:rFonts w:cs="Arial"/>
        </w:rPr>
        <w:t xml:space="preserve">national general guidance exists, but is not </w:t>
      </w:r>
      <w:r w:rsidR="00C72B0B" w:rsidRPr="003720AF">
        <w:rPr>
          <w:rFonts w:cs="Arial"/>
        </w:rPr>
        <w:t>prescriptive as to the MA clean</w:t>
      </w:r>
      <w:r w:rsidR="006225EE" w:rsidRPr="003720AF">
        <w:rPr>
          <w:rFonts w:cs="Arial"/>
        </w:rPr>
        <w:t>up level (USEPA 2013, USDEA 2005). N</w:t>
      </w:r>
      <w:r w:rsidRPr="003720AF">
        <w:t>umerous states</w:t>
      </w:r>
      <w:r w:rsidR="00824428" w:rsidRPr="003720AF">
        <w:t xml:space="preserve"> have MA remediation standards.</w:t>
      </w:r>
      <w:r w:rsidRPr="003720AF">
        <w:t xml:space="preserve"> However</w:t>
      </w:r>
      <w:r w:rsidR="00824428" w:rsidRPr="003720AF">
        <w:t>,</w:t>
      </w:r>
      <w:r w:rsidRPr="003720AF">
        <w:t xml:space="preserve"> only two states, California and Colorado, have developed health risk-based MA s</w:t>
      </w:r>
      <w:r w:rsidR="006A7725" w:rsidRPr="003720AF">
        <w:t>urface concentrations for clean</w:t>
      </w:r>
      <w:r w:rsidRPr="003720AF">
        <w:t>up and re-occupation of clan labs (</w:t>
      </w:r>
      <w:r w:rsidR="009240D0" w:rsidRPr="003720AF">
        <w:t>OEHHA 2009a</w:t>
      </w:r>
      <w:r w:rsidR="00D70B19" w:rsidRPr="003720AF">
        <w:t>,</w:t>
      </w:r>
      <w:r w:rsidRPr="003720AF">
        <w:t xml:space="preserve"> CDPHE 2005)</w:t>
      </w:r>
      <w:r w:rsidR="00824428" w:rsidRPr="003720AF">
        <w:t xml:space="preserve">. </w:t>
      </w:r>
      <w:r w:rsidRPr="003720AF">
        <w:lastRenderedPageBreak/>
        <w:t>Although many other U</w:t>
      </w:r>
      <w:r w:rsidR="00824428" w:rsidRPr="003720AF">
        <w:t>nited S</w:t>
      </w:r>
      <w:r w:rsidR="006A7725" w:rsidRPr="003720AF">
        <w:t>tates also have MA clean</w:t>
      </w:r>
      <w:r w:rsidRPr="003720AF">
        <w:t>up standards, these are based on analytical detection and reporting limits, and range from 0.05 to 0.5 µg/100 cm</w:t>
      </w:r>
      <w:r w:rsidRPr="003720AF">
        <w:rPr>
          <w:vertAlign w:val="superscript"/>
        </w:rPr>
        <w:t>2</w:t>
      </w:r>
      <w:r w:rsidRPr="003720AF">
        <w:t xml:space="preserve"> (Table 3).</w:t>
      </w:r>
    </w:p>
    <w:p w14:paraId="3D1A8CCA" w14:textId="3E437280" w:rsidR="00BE4B70" w:rsidRPr="003720AF" w:rsidRDefault="00DE7980" w:rsidP="00DE7980">
      <w:pPr>
        <w:pStyle w:val="Caption"/>
        <w:tabs>
          <w:tab w:val="left" w:pos="993"/>
        </w:tabs>
      </w:pPr>
      <w:bookmarkStart w:id="14" w:name="_Toc463799353"/>
      <w:r w:rsidRPr="003720AF">
        <w:t xml:space="preserve">Table </w:t>
      </w:r>
      <w:fldSimple w:instr=" SEQ Table \* ARABIC ">
        <w:r w:rsidR="00F6014F">
          <w:rPr>
            <w:noProof/>
          </w:rPr>
          <w:t>3</w:t>
        </w:r>
      </w:fldSimple>
      <w:r w:rsidR="00BE4B70" w:rsidRPr="003720AF">
        <w:t>:</w:t>
      </w:r>
      <w:r w:rsidR="00BE4B70" w:rsidRPr="003720AF">
        <w:tab/>
        <w:t>Methamphetamine Surface Residue Decontamination Guidelines</w:t>
      </w:r>
      <w:bookmarkEnd w:id="14"/>
    </w:p>
    <w:tbl>
      <w:tblPr>
        <w:tblStyle w:val="LightShading"/>
        <w:tblW w:w="9977" w:type="dxa"/>
        <w:tblLayout w:type="fixed"/>
        <w:tblLook w:val="04A0" w:firstRow="1" w:lastRow="0" w:firstColumn="1" w:lastColumn="0" w:noHBand="0" w:noVBand="1"/>
      </w:tblPr>
      <w:tblGrid>
        <w:gridCol w:w="1638"/>
        <w:gridCol w:w="2160"/>
        <w:gridCol w:w="6142"/>
        <w:gridCol w:w="37"/>
      </w:tblGrid>
      <w:tr w:rsidR="003A23AE" w:rsidRPr="003720AF" w14:paraId="2739651E" w14:textId="77777777" w:rsidTr="003A23AE">
        <w:trPr>
          <w:gridAfter w:val="1"/>
          <w:cnfStyle w:val="100000000000" w:firstRow="1" w:lastRow="0" w:firstColumn="0" w:lastColumn="0" w:oddVBand="0" w:evenVBand="0" w:oddHBand="0" w:evenHBand="0" w:firstRowFirstColumn="0" w:firstRowLastColumn="0" w:lastRowFirstColumn="0" w:lastRowLastColumn="0"/>
          <w:wAfter w:w="37" w:type="dxa"/>
        </w:trPr>
        <w:tc>
          <w:tcPr>
            <w:cnfStyle w:val="001000000000" w:firstRow="0" w:lastRow="0" w:firstColumn="1" w:lastColumn="0" w:oddVBand="0" w:evenVBand="0" w:oddHBand="0" w:evenHBand="0" w:firstRowFirstColumn="0" w:firstRowLastColumn="0" w:lastRowFirstColumn="0" w:lastRowLastColumn="0"/>
            <w:tcW w:w="1638" w:type="dxa"/>
          </w:tcPr>
          <w:p w14:paraId="3E97EC63" w14:textId="77777777" w:rsidR="003A23AE" w:rsidRPr="003720AF" w:rsidRDefault="003A23AE" w:rsidP="00824428">
            <w:pPr>
              <w:spacing w:before="40" w:after="40"/>
              <w:rPr>
                <w:lang w:val="en-NZ"/>
              </w:rPr>
            </w:pPr>
          </w:p>
          <w:p w14:paraId="655464FC" w14:textId="77777777" w:rsidR="003A23AE" w:rsidRPr="003720AF" w:rsidRDefault="003A23AE" w:rsidP="00824428">
            <w:pPr>
              <w:spacing w:before="40" w:after="40"/>
              <w:rPr>
                <w:b w:val="0"/>
                <w:lang w:val="en-NZ"/>
              </w:rPr>
            </w:pPr>
            <w:r w:rsidRPr="003720AF">
              <w:rPr>
                <w:lang w:val="en-NZ"/>
              </w:rPr>
              <w:t>Source</w:t>
            </w:r>
          </w:p>
        </w:tc>
        <w:tc>
          <w:tcPr>
            <w:tcW w:w="2160" w:type="dxa"/>
          </w:tcPr>
          <w:p w14:paraId="71B2FB46" w14:textId="77777777" w:rsidR="003A23AE" w:rsidRPr="003720AF" w:rsidRDefault="003A23AE" w:rsidP="00824428">
            <w:pPr>
              <w:spacing w:before="40" w:after="40"/>
              <w:jc w:val="center"/>
              <w:cnfStyle w:val="100000000000" w:firstRow="1" w:lastRow="0" w:firstColumn="0" w:lastColumn="0" w:oddVBand="0" w:evenVBand="0" w:oddHBand="0" w:evenHBand="0" w:firstRowFirstColumn="0" w:firstRowLastColumn="0" w:lastRowFirstColumn="0" w:lastRowLastColumn="0"/>
              <w:rPr>
                <w:b w:val="0"/>
                <w:lang w:val="en-NZ"/>
              </w:rPr>
            </w:pPr>
            <w:r w:rsidRPr="003720AF">
              <w:rPr>
                <w:lang w:val="en-NZ"/>
              </w:rPr>
              <w:t>Surface Contamination (MA μg/100 cm</w:t>
            </w:r>
            <w:r w:rsidRPr="003720AF">
              <w:rPr>
                <w:vertAlign w:val="superscript"/>
                <w:lang w:val="en-NZ"/>
              </w:rPr>
              <w:t>2</w:t>
            </w:r>
            <w:r w:rsidRPr="003720AF">
              <w:rPr>
                <w:lang w:val="en-NZ"/>
              </w:rPr>
              <w:t>)</w:t>
            </w:r>
          </w:p>
        </w:tc>
        <w:tc>
          <w:tcPr>
            <w:tcW w:w="6142" w:type="dxa"/>
          </w:tcPr>
          <w:p w14:paraId="7A5EA390" w14:textId="77777777" w:rsidR="003A23AE" w:rsidRPr="003720AF" w:rsidRDefault="003A23AE" w:rsidP="00824428">
            <w:pPr>
              <w:spacing w:before="40" w:after="40"/>
              <w:ind w:left="469" w:hanging="10"/>
              <w:cnfStyle w:val="100000000000" w:firstRow="1" w:lastRow="0" w:firstColumn="0" w:lastColumn="0" w:oddVBand="0" w:evenVBand="0" w:oddHBand="0" w:evenHBand="0" w:firstRowFirstColumn="0" w:firstRowLastColumn="0" w:lastRowFirstColumn="0" w:lastRowLastColumn="0"/>
              <w:rPr>
                <w:lang w:val="en-NZ"/>
              </w:rPr>
            </w:pPr>
          </w:p>
          <w:p w14:paraId="1BB5C453" w14:textId="77777777" w:rsidR="003A23AE" w:rsidRPr="003720AF" w:rsidRDefault="003A23AE" w:rsidP="00824428">
            <w:pPr>
              <w:spacing w:before="40" w:after="40"/>
              <w:ind w:left="469" w:hanging="10"/>
              <w:cnfStyle w:val="100000000000" w:firstRow="1" w:lastRow="0" w:firstColumn="0" w:lastColumn="0" w:oddVBand="0" w:evenVBand="0" w:oddHBand="0" w:evenHBand="0" w:firstRowFirstColumn="0" w:firstRowLastColumn="0" w:lastRowFirstColumn="0" w:lastRowLastColumn="0"/>
              <w:rPr>
                <w:lang w:val="en-NZ"/>
              </w:rPr>
            </w:pPr>
            <w:r w:rsidRPr="003720AF">
              <w:rPr>
                <w:lang w:val="en-NZ"/>
              </w:rPr>
              <w:t>Reference</w:t>
            </w:r>
          </w:p>
        </w:tc>
      </w:tr>
      <w:tr w:rsidR="003A23AE" w:rsidRPr="003720AF" w14:paraId="22215C4B" w14:textId="77777777" w:rsidTr="003A23AE">
        <w:trPr>
          <w:gridAfter w:val="1"/>
          <w:cnfStyle w:val="000000100000" w:firstRow="0" w:lastRow="0" w:firstColumn="0" w:lastColumn="0" w:oddVBand="0" w:evenVBand="0" w:oddHBand="1" w:evenHBand="0" w:firstRowFirstColumn="0" w:firstRowLastColumn="0" w:lastRowFirstColumn="0" w:lastRowLastColumn="0"/>
          <w:wAfter w:w="37" w:type="dxa"/>
        </w:trPr>
        <w:tc>
          <w:tcPr>
            <w:cnfStyle w:val="001000000000" w:firstRow="0" w:lastRow="0" w:firstColumn="1" w:lastColumn="0" w:oddVBand="0" w:evenVBand="0" w:oddHBand="0" w:evenHBand="0" w:firstRowFirstColumn="0" w:firstRowLastColumn="0" w:lastRowFirstColumn="0" w:lastRowLastColumn="0"/>
            <w:tcW w:w="1638" w:type="dxa"/>
          </w:tcPr>
          <w:p w14:paraId="5FE8F5E1" w14:textId="77777777" w:rsidR="003A23AE" w:rsidRPr="003720AF" w:rsidRDefault="003A23AE" w:rsidP="00824428">
            <w:pPr>
              <w:spacing w:before="40" w:after="40"/>
              <w:rPr>
                <w:lang w:val="en-NZ"/>
              </w:rPr>
            </w:pPr>
            <w:r w:rsidRPr="003720AF">
              <w:rPr>
                <w:lang w:val="en-NZ"/>
              </w:rPr>
              <w:t>Arkansas</w:t>
            </w:r>
          </w:p>
          <w:p w14:paraId="072DAB9B" w14:textId="77777777" w:rsidR="003A23AE" w:rsidRPr="003720AF" w:rsidRDefault="003A23AE" w:rsidP="00824428">
            <w:pPr>
              <w:spacing w:before="40" w:after="40"/>
              <w:rPr>
                <w:lang w:val="en-NZ"/>
              </w:rPr>
            </w:pPr>
            <w:r w:rsidRPr="003720AF">
              <w:rPr>
                <w:lang w:val="en-NZ"/>
              </w:rPr>
              <w:t>Oregon</w:t>
            </w:r>
          </w:p>
        </w:tc>
        <w:tc>
          <w:tcPr>
            <w:tcW w:w="2160" w:type="dxa"/>
          </w:tcPr>
          <w:p w14:paraId="7E1D1E3D" w14:textId="77777777" w:rsidR="003A23AE" w:rsidRPr="003720AF" w:rsidRDefault="003A23AE" w:rsidP="00824428">
            <w:pPr>
              <w:spacing w:before="40" w:after="40"/>
              <w:jc w:val="center"/>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0.05</w:t>
            </w:r>
          </w:p>
        </w:tc>
        <w:tc>
          <w:tcPr>
            <w:tcW w:w="6142" w:type="dxa"/>
          </w:tcPr>
          <w:p w14:paraId="3E1E0E8F" w14:textId="4E76EDDA" w:rsidR="003A23AE" w:rsidRPr="003720AF" w:rsidRDefault="005B710F" w:rsidP="00824428">
            <w:pPr>
              <w:spacing w:before="40" w:after="40"/>
              <w:ind w:left="469" w:hanging="10"/>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Hammon and Griffin</w:t>
            </w:r>
            <w:r w:rsidR="003A23AE" w:rsidRPr="003720AF">
              <w:rPr>
                <w:lang w:val="en-NZ"/>
              </w:rPr>
              <w:t xml:space="preserve"> 2007</w:t>
            </w:r>
          </w:p>
        </w:tc>
      </w:tr>
      <w:tr w:rsidR="003A23AE" w:rsidRPr="003720AF" w14:paraId="46B550C6" w14:textId="77777777" w:rsidTr="003A23AE">
        <w:trPr>
          <w:gridAfter w:val="1"/>
          <w:wAfter w:w="37" w:type="dxa"/>
        </w:trPr>
        <w:tc>
          <w:tcPr>
            <w:cnfStyle w:val="001000000000" w:firstRow="0" w:lastRow="0" w:firstColumn="1" w:lastColumn="0" w:oddVBand="0" w:evenVBand="0" w:oddHBand="0" w:evenHBand="0" w:firstRowFirstColumn="0" w:firstRowLastColumn="0" w:lastRowFirstColumn="0" w:lastRowLastColumn="0"/>
            <w:tcW w:w="1638" w:type="dxa"/>
          </w:tcPr>
          <w:p w14:paraId="74DE62A3" w14:textId="77777777" w:rsidR="003A23AE" w:rsidRPr="003720AF" w:rsidRDefault="003A23AE" w:rsidP="00824428">
            <w:pPr>
              <w:spacing w:before="40" w:after="40"/>
              <w:rPr>
                <w:lang w:val="en-NZ"/>
              </w:rPr>
            </w:pPr>
            <w:r w:rsidRPr="003720AF">
              <w:rPr>
                <w:lang w:val="en-NZ"/>
              </w:rPr>
              <w:t>Alaska</w:t>
            </w:r>
          </w:p>
          <w:p w14:paraId="127B0CAA" w14:textId="77777777" w:rsidR="003A23AE" w:rsidRPr="003720AF" w:rsidRDefault="003A23AE" w:rsidP="00824428">
            <w:pPr>
              <w:spacing w:before="40" w:after="40"/>
              <w:rPr>
                <w:lang w:val="en-NZ"/>
              </w:rPr>
            </w:pPr>
            <w:r w:rsidRPr="003720AF">
              <w:rPr>
                <w:lang w:val="en-NZ"/>
              </w:rPr>
              <w:t>Arizona</w:t>
            </w:r>
          </w:p>
        </w:tc>
        <w:tc>
          <w:tcPr>
            <w:tcW w:w="2160" w:type="dxa"/>
          </w:tcPr>
          <w:p w14:paraId="15A19C91" w14:textId="77777777" w:rsidR="003A23AE" w:rsidRPr="003720AF" w:rsidRDefault="003A23AE" w:rsidP="00824428">
            <w:pPr>
              <w:spacing w:before="40" w:after="40"/>
              <w:jc w:val="center"/>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0.1</w:t>
            </w:r>
          </w:p>
        </w:tc>
        <w:tc>
          <w:tcPr>
            <w:tcW w:w="6142" w:type="dxa"/>
          </w:tcPr>
          <w:p w14:paraId="7400331A" w14:textId="7A43B331" w:rsidR="003A23AE" w:rsidRPr="003720AF" w:rsidRDefault="005B710F" w:rsidP="00824428">
            <w:pPr>
              <w:spacing w:before="40" w:after="40"/>
              <w:ind w:left="469" w:hanging="10"/>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 xml:space="preserve">Hammon and Griffin </w:t>
            </w:r>
            <w:r w:rsidR="003A23AE" w:rsidRPr="003720AF">
              <w:rPr>
                <w:lang w:val="en-NZ"/>
              </w:rPr>
              <w:t>2007</w:t>
            </w:r>
          </w:p>
        </w:tc>
      </w:tr>
      <w:tr w:rsidR="003A23AE" w:rsidRPr="003720AF" w14:paraId="327C2729" w14:textId="77777777" w:rsidTr="003A23AE">
        <w:trPr>
          <w:gridAfter w:val="1"/>
          <w:cnfStyle w:val="000000100000" w:firstRow="0" w:lastRow="0" w:firstColumn="0" w:lastColumn="0" w:oddVBand="0" w:evenVBand="0" w:oddHBand="1" w:evenHBand="0" w:firstRowFirstColumn="0" w:firstRowLastColumn="0" w:lastRowFirstColumn="0" w:lastRowLastColumn="0"/>
          <w:wAfter w:w="37" w:type="dxa"/>
        </w:trPr>
        <w:tc>
          <w:tcPr>
            <w:cnfStyle w:val="001000000000" w:firstRow="0" w:lastRow="0" w:firstColumn="1" w:lastColumn="0" w:oddVBand="0" w:evenVBand="0" w:oddHBand="0" w:evenHBand="0" w:firstRowFirstColumn="0" w:firstRowLastColumn="0" w:lastRowFirstColumn="0" w:lastRowLastColumn="0"/>
            <w:tcW w:w="1638" w:type="dxa"/>
          </w:tcPr>
          <w:p w14:paraId="34E89E29" w14:textId="77777777" w:rsidR="003A23AE" w:rsidRPr="003720AF" w:rsidRDefault="003A23AE" w:rsidP="00824428">
            <w:pPr>
              <w:spacing w:before="40" w:after="40"/>
              <w:rPr>
                <w:lang w:val="en-NZ"/>
              </w:rPr>
            </w:pPr>
            <w:r w:rsidRPr="003720AF">
              <w:rPr>
                <w:lang w:val="en-NZ"/>
              </w:rPr>
              <w:t xml:space="preserve">Serrano </w:t>
            </w:r>
          </w:p>
        </w:tc>
        <w:tc>
          <w:tcPr>
            <w:tcW w:w="2160" w:type="dxa"/>
          </w:tcPr>
          <w:p w14:paraId="5B0869C1" w14:textId="77777777" w:rsidR="003A23AE" w:rsidRPr="003720AF" w:rsidRDefault="003A23AE" w:rsidP="00824428">
            <w:pPr>
              <w:spacing w:before="40" w:after="40"/>
              <w:jc w:val="center"/>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0.2</w:t>
            </w:r>
          </w:p>
        </w:tc>
        <w:tc>
          <w:tcPr>
            <w:tcW w:w="6142" w:type="dxa"/>
          </w:tcPr>
          <w:p w14:paraId="6CCDE94D" w14:textId="0EA465DD" w:rsidR="003A23AE" w:rsidRPr="003720AF" w:rsidRDefault="005B710F" w:rsidP="00824428">
            <w:pPr>
              <w:spacing w:before="40" w:after="40"/>
              <w:ind w:left="469" w:hanging="10"/>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Kate Serrano</w:t>
            </w:r>
            <w:r w:rsidR="003A23AE" w:rsidRPr="003720AF">
              <w:rPr>
                <w:lang w:val="en-NZ"/>
              </w:rPr>
              <w:t xml:space="preserve"> 2012 (presentation and recommendation)</w:t>
            </w:r>
          </w:p>
        </w:tc>
      </w:tr>
      <w:tr w:rsidR="003A23AE" w:rsidRPr="003720AF" w14:paraId="6CFCE31C" w14:textId="77777777" w:rsidTr="003A23AE">
        <w:tc>
          <w:tcPr>
            <w:cnfStyle w:val="001000000000" w:firstRow="0" w:lastRow="0" w:firstColumn="1" w:lastColumn="0" w:oddVBand="0" w:evenVBand="0" w:oddHBand="0" w:evenHBand="0" w:firstRowFirstColumn="0" w:firstRowLastColumn="0" w:lastRowFirstColumn="0" w:lastRowLastColumn="0"/>
            <w:tcW w:w="1638" w:type="dxa"/>
          </w:tcPr>
          <w:p w14:paraId="5FF710DB" w14:textId="77777777" w:rsidR="003A23AE" w:rsidRPr="003720AF" w:rsidRDefault="003A23AE" w:rsidP="00824428">
            <w:pPr>
              <w:spacing w:before="40" w:after="40"/>
              <w:rPr>
                <w:lang w:val="en-NZ"/>
              </w:rPr>
            </w:pPr>
            <w:r w:rsidRPr="003720AF">
              <w:rPr>
                <w:lang w:val="en-NZ"/>
              </w:rPr>
              <w:t>New Zealand</w:t>
            </w:r>
          </w:p>
          <w:p w14:paraId="244E8DE8" w14:textId="77777777" w:rsidR="003A23AE" w:rsidRPr="003720AF" w:rsidRDefault="003A23AE" w:rsidP="00824428">
            <w:pPr>
              <w:spacing w:before="40" w:after="40"/>
              <w:rPr>
                <w:lang w:val="en-NZ"/>
              </w:rPr>
            </w:pPr>
            <w:r w:rsidRPr="003720AF">
              <w:rPr>
                <w:lang w:val="en-NZ"/>
              </w:rPr>
              <w:t>Australia</w:t>
            </w:r>
          </w:p>
          <w:p w14:paraId="74A6C9C8" w14:textId="77777777" w:rsidR="003A23AE" w:rsidRPr="003720AF" w:rsidRDefault="003A23AE" w:rsidP="00824428">
            <w:pPr>
              <w:spacing w:before="40" w:after="40"/>
              <w:rPr>
                <w:lang w:val="en-NZ"/>
              </w:rPr>
            </w:pPr>
            <w:r w:rsidRPr="003720AF">
              <w:rPr>
                <w:lang w:val="en-NZ"/>
              </w:rPr>
              <w:t>Colorado</w:t>
            </w:r>
          </w:p>
        </w:tc>
        <w:tc>
          <w:tcPr>
            <w:tcW w:w="2160" w:type="dxa"/>
          </w:tcPr>
          <w:p w14:paraId="3D97E8F4" w14:textId="77777777" w:rsidR="003A23AE" w:rsidRPr="003720AF" w:rsidRDefault="003A23AE" w:rsidP="00824428">
            <w:pPr>
              <w:tabs>
                <w:tab w:val="left" w:pos="2052"/>
              </w:tabs>
              <w:spacing w:before="40" w:after="40"/>
              <w:ind w:left="72" w:right="72" w:hanging="10"/>
              <w:jc w:val="center"/>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0.5</w:t>
            </w:r>
          </w:p>
        </w:tc>
        <w:tc>
          <w:tcPr>
            <w:tcW w:w="6179" w:type="dxa"/>
            <w:gridSpan w:val="2"/>
          </w:tcPr>
          <w:p w14:paraId="07D0B6AE" w14:textId="6A21F86A" w:rsidR="003A23AE" w:rsidRPr="003720AF" w:rsidRDefault="00824428" w:rsidP="00824428">
            <w:pPr>
              <w:spacing w:before="40" w:after="40"/>
              <w:ind w:left="469" w:right="72" w:hanging="10"/>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MoH</w:t>
            </w:r>
            <w:r w:rsidR="00D70B19" w:rsidRPr="003720AF">
              <w:rPr>
                <w:lang w:val="en-NZ"/>
              </w:rPr>
              <w:t xml:space="preserve"> 2010,</w:t>
            </w:r>
            <w:r w:rsidR="003A23AE" w:rsidRPr="003720AF">
              <w:rPr>
                <w:lang w:val="en-NZ"/>
              </w:rPr>
              <w:t xml:space="preserve"> Australia</w:t>
            </w:r>
            <w:r w:rsidRPr="003720AF">
              <w:rPr>
                <w:lang w:val="en-NZ"/>
              </w:rPr>
              <w:t>n Government</w:t>
            </w:r>
            <w:r w:rsidR="00D70B19" w:rsidRPr="003720AF">
              <w:rPr>
                <w:lang w:val="en-NZ"/>
              </w:rPr>
              <w:t xml:space="preserve"> 2011,</w:t>
            </w:r>
            <w:r w:rsidR="005B710F" w:rsidRPr="003720AF">
              <w:rPr>
                <w:lang w:val="en-NZ"/>
              </w:rPr>
              <w:t xml:space="preserve"> ERS 2009; CDPHE</w:t>
            </w:r>
            <w:r w:rsidR="003A23AE" w:rsidRPr="003720AF">
              <w:rPr>
                <w:lang w:val="en-NZ"/>
              </w:rPr>
              <w:t xml:space="preserve"> 2005 </w:t>
            </w:r>
          </w:p>
        </w:tc>
      </w:tr>
      <w:tr w:rsidR="003A23AE" w:rsidRPr="003720AF" w14:paraId="2BE29187" w14:textId="77777777" w:rsidTr="003A23AE">
        <w:trPr>
          <w:gridAfter w:val="1"/>
          <w:cnfStyle w:val="000000100000" w:firstRow="0" w:lastRow="0" w:firstColumn="0" w:lastColumn="0" w:oddVBand="0" w:evenVBand="0" w:oddHBand="1" w:evenHBand="0" w:firstRowFirstColumn="0" w:firstRowLastColumn="0" w:lastRowFirstColumn="0" w:lastRowLastColumn="0"/>
          <w:wAfter w:w="37" w:type="dxa"/>
        </w:trPr>
        <w:tc>
          <w:tcPr>
            <w:cnfStyle w:val="001000000000" w:firstRow="0" w:lastRow="0" w:firstColumn="1" w:lastColumn="0" w:oddVBand="0" w:evenVBand="0" w:oddHBand="0" w:evenHBand="0" w:firstRowFirstColumn="0" w:firstRowLastColumn="0" w:lastRowFirstColumn="0" w:lastRowLastColumn="0"/>
            <w:tcW w:w="1638" w:type="dxa"/>
          </w:tcPr>
          <w:p w14:paraId="3CA1A853" w14:textId="77777777" w:rsidR="003A23AE" w:rsidRPr="003720AF" w:rsidRDefault="003A23AE" w:rsidP="00824428">
            <w:pPr>
              <w:spacing w:before="40" w:after="40"/>
              <w:rPr>
                <w:lang w:val="en-NZ"/>
              </w:rPr>
            </w:pPr>
            <w:r w:rsidRPr="003720AF">
              <w:rPr>
                <w:lang w:val="en-NZ"/>
              </w:rPr>
              <w:t>Utah</w:t>
            </w:r>
          </w:p>
        </w:tc>
        <w:tc>
          <w:tcPr>
            <w:tcW w:w="2160" w:type="dxa"/>
          </w:tcPr>
          <w:p w14:paraId="20C35B6F" w14:textId="77777777" w:rsidR="003A23AE" w:rsidRPr="003720AF" w:rsidRDefault="003A23AE" w:rsidP="00824428">
            <w:pPr>
              <w:spacing w:before="40" w:after="40"/>
              <w:jc w:val="center"/>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1.0</w:t>
            </w:r>
          </w:p>
        </w:tc>
        <w:tc>
          <w:tcPr>
            <w:tcW w:w="6142" w:type="dxa"/>
          </w:tcPr>
          <w:p w14:paraId="01977EA8" w14:textId="662C62CD" w:rsidR="003A23AE" w:rsidRPr="003720AF" w:rsidRDefault="00162B4B" w:rsidP="00824428">
            <w:pPr>
              <w:spacing w:before="40" w:after="40"/>
              <w:ind w:left="469" w:hanging="10"/>
              <w:cnfStyle w:val="000000100000" w:firstRow="0" w:lastRow="0" w:firstColumn="0" w:lastColumn="0" w:oddVBand="0" w:evenVBand="0" w:oddHBand="1" w:evenHBand="0" w:firstRowFirstColumn="0" w:firstRowLastColumn="0" w:lastRowFirstColumn="0" w:lastRowLastColumn="0"/>
              <w:rPr>
                <w:lang w:val="en-NZ"/>
              </w:rPr>
            </w:pPr>
            <w:r w:rsidRPr="003720AF">
              <w:rPr>
                <w:lang w:val="en-NZ"/>
              </w:rPr>
              <w:t>UDH</w:t>
            </w:r>
            <w:r w:rsidR="003A23AE" w:rsidRPr="003720AF">
              <w:rPr>
                <w:lang w:val="en-NZ"/>
              </w:rPr>
              <w:t xml:space="preserve"> 2015</w:t>
            </w:r>
          </w:p>
        </w:tc>
      </w:tr>
      <w:tr w:rsidR="003A23AE" w:rsidRPr="003720AF" w14:paraId="094AA0D2" w14:textId="77777777" w:rsidTr="003A23AE">
        <w:trPr>
          <w:gridAfter w:val="1"/>
          <w:wAfter w:w="37" w:type="dxa"/>
        </w:trPr>
        <w:tc>
          <w:tcPr>
            <w:cnfStyle w:val="001000000000" w:firstRow="0" w:lastRow="0" w:firstColumn="1" w:lastColumn="0" w:oddVBand="0" w:evenVBand="0" w:oddHBand="0" w:evenHBand="0" w:firstRowFirstColumn="0" w:firstRowLastColumn="0" w:lastRowFirstColumn="0" w:lastRowLastColumn="0"/>
            <w:tcW w:w="1638" w:type="dxa"/>
          </w:tcPr>
          <w:p w14:paraId="2DF5BF1D" w14:textId="77777777" w:rsidR="003A23AE" w:rsidRPr="003720AF" w:rsidRDefault="003A23AE" w:rsidP="00824428">
            <w:pPr>
              <w:spacing w:before="40" w:after="40"/>
              <w:rPr>
                <w:lang w:val="en-NZ"/>
              </w:rPr>
            </w:pPr>
            <w:r w:rsidRPr="003720AF">
              <w:rPr>
                <w:lang w:val="en-NZ"/>
              </w:rPr>
              <w:t>California</w:t>
            </w:r>
          </w:p>
          <w:p w14:paraId="47B17D0F" w14:textId="77777777" w:rsidR="003A23AE" w:rsidRPr="003720AF" w:rsidRDefault="003A23AE" w:rsidP="00824428">
            <w:pPr>
              <w:spacing w:before="40" w:after="40"/>
              <w:rPr>
                <w:lang w:val="en-NZ"/>
              </w:rPr>
            </w:pPr>
            <w:r w:rsidRPr="003720AF">
              <w:rPr>
                <w:lang w:val="en-NZ"/>
              </w:rPr>
              <w:t>Kansas</w:t>
            </w:r>
          </w:p>
          <w:p w14:paraId="7F178F82" w14:textId="77777777" w:rsidR="003A23AE" w:rsidRPr="003720AF" w:rsidRDefault="003A23AE" w:rsidP="00824428">
            <w:pPr>
              <w:spacing w:before="40" w:after="40"/>
              <w:rPr>
                <w:lang w:val="en-NZ"/>
              </w:rPr>
            </w:pPr>
            <w:r w:rsidRPr="003720AF">
              <w:rPr>
                <w:lang w:val="en-NZ"/>
              </w:rPr>
              <w:t>Minnesota</w:t>
            </w:r>
          </w:p>
          <w:p w14:paraId="45E97BB1" w14:textId="77777777" w:rsidR="003A23AE" w:rsidRPr="003720AF" w:rsidRDefault="003A23AE" w:rsidP="00824428">
            <w:pPr>
              <w:spacing w:before="40" w:after="40"/>
              <w:rPr>
                <w:lang w:val="en-NZ"/>
              </w:rPr>
            </w:pPr>
            <w:r w:rsidRPr="003720AF">
              <w:rPr>
                <w:lang w:val="en-NZ"/>
              </w:rPr>
              <w:t>Virginia</w:t>
            </w:r>
          </w:p>
          <w:p w14:paraId="293B0CBE" w14:textId="77777777" w:rsidR="003A23AE" w:rsidRPr="003720AF" w:rsidRDefault="003A23AE" w:rsidP="00824428">
            <w:pPr>
              <w:spacing w:before="40" w:after="40"/>
              <w:rPr>
                <w:lang w:val="en-NZ"/>
              </w:rPr>
            </w:pPr>
            <w:r w:rsidRPr="003720AF">
              <w:rPr>
                <w:lang w:val="en-NZ"/>
              </w:rPr>
              <w:t>Washington Wyoming</w:t>
            </w:r>
          </w:p>
        </w:tc>
        <w:tc>
          <w:tcPr>
            <w:tcW w:w="2160" w:type="dxa"/>
          </w:tcPr>
          <w:p w14:paraId="5964ADE3" w14:textId="77777777" w:rsidR="003A23AE" w:rsidRPr="003720AF" w:rsidRDefault="003A23AE" w:rsidP="00824428">
            <w:pPr>
              <w:spacing w:before="40" w:after="40"/>
              <w:ind w:left="215" w:hanging="215"/>
              <w:jc w:val="center"/>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1.5</w:t>
            </w:r>
          </w:p>
        </w:tc>
        <w:tc>
          <w:tcPr>
            <w:tcW w:w="6142" w:type="dxa"/>
          </w:tcPr>
          <w:p w14:paraId="066FC7A4" w14:textId="2B163668" w:rsidR="003A23AE" w:rsidRPr="003720AF" w:rsidRDefault="003A23AE" w:rsidP="00162B4B">
            <w:pPr>
              <w:spacing w:before="40" w:after="40"/>
              <w:ind w:left="469" w:hanging="10"/>
              <w:cnfStyle w:val="000000000000" w:firstRow="0" w:lastRow="0" w:firstColumn="0" w:lastColumn="0" w:oddVBand="0" w:evenVBand="0" w:oddHBand="0" w:evenHBand="0" w:firstRowFirstColumn="0" w:firstRowLastColumn="0" w:lastRowFirstColumn="0" w:lastRowLastColumn="0"/>
              <w:rPr>
                <w:lang w:val="en-NZ"/>
              </w:rPr>
            </w:pPr>
            <w:r w:rsidRPr="003720AF">
              <w:rPr>
                <w:lang w:val="en-NZ"/>
              </w:rPr>
              <w:t xml:space="preserve">OEHHA </w:t>
            </w:r>
            <w:r w:rsidR="00162B4B" w:rsidRPr="003720AF">
              <w:rPr>
                <w:lang w:val="en-NZ"/>
              </w:rPr>
              <w:t>2009a</w:t>
            </w:r>
            <w:r w:rsidR="00D70B19" w:rsidRPr="003720AF">
              <w:rPr>
                <w:lang w:val="en-NZ"/>
              </w:rPr>
              <w:t>,</w:t>
            </w:r>
            <w:r w:rsidRPr="003720AF">
              <w:rPr>
                <w:lang w:val="en-NZ"/>
              </w:rPr>
              <w:t xml:space="preserve"> Salocks 2016</w:t>
            </w:r>
          </w:p>
        </w:tc>
      </w:tr>
    </w:tbl>
    <w:p w14:paraId="0F083B49" w14:textId="5F8E3C58" w:rsidR="00BE4B70" w:rsidRPr="003720AF" w:rsidRDefault="00BE4B70" w:rsidP="00BE4B70">
      <w:pPr>
        <w:pStyle w:val="ListParagraph"/>
        <w:numPr>
          <w:ilvl w:val="0"/>
          <w:numId w:val="25"/>
        </w:numPr>
        <w:spacing w:after="200" w:line="276" w:lineRule="auto"/>
        <w:rPr>
          <w:rStyle w:val="Hyperlink"/>
          <w:sz w:val="20"/>
          <w:szCs w:val="20"/>
        </w:rPr>
      </w:pPr>
      <w:r w:rsidRPr="003720AF">
        <w:rPr>
          <w:sz w:val="20"/>
          <w:szCs w:val="20"/>
        </w:rPr>
        <w:t>AI</w:t>
      </w:r>
      <w:r w:rsidR="009212B5" w:rsidRPr="003720AF">
        <w:rPr>
          <w:sz w:val="20"/>
          <w:szCs w:val="20"/>
        </w:rPr>
        <w:t>HA presentation by Kate Serrano</w:t>
      </w:r>
      <w:r w:rsidRPr="003720AF">
        <w:rPr>
          <w:sz w:val="20"/>
          <w:szCs w:val="20"/>
        </w:rPr>
        <w:t xml:space="preserve"> 2012. </w:t>
      </w:r>
      <w:hyperlink r:id="rId28" w:history="1">
        <w:r w:rsidRPr="003720AF">
          <w:rPr>
            <w:rStyle w:val="Hyperlink"/>
            <w:sz w:val="20"/>
            <w:szCs w:val="20"/>
          </w:rPr>
          <w:t>https://www.aiha.org/get-involved/VolunteerGroups/Documents/2012%20AIHce%20RT%20225_Serrano.pdf</w:t>
        </w:r>
      </w:hyperlink>
    </w:p>
    <w:p w14:paraId="49D70C54" w14:textId="77777777" w:rsidR="00BE4B70" w:rsidRPr="003720AF" w:rsidRDefault="00BE4B70" w:rsidP="00BE4B70">
      <w:pPr>
        <w:pStyle w:val="Heading3"/>
      </w:pPr>
      <w:bookmarkStart w:id="15" w:name="_Toc463856032"/>
      <w:r w:rsidRPr="003720AF">
        <w:t>California</w:t>
      </w:r>
      <w:bookmarkEnd w:id="15"/>
    </w:p>
    <w:p w14:paraId="5A00BDD1" w14:textId="1EFF253B" w:rsidR="00BE4B70" w:rsidRPr="003720AF" w:rsidRDefault="00205733" w:rsidP="00BE4B70">
      <w:pPr>
        <w:spacing w:line="360" w:lineRule="auto"/>
      </w:pPr>
      <w:r w:rsidRPr="003720AF">
        <w:t>The California E</w:t>
      </w:r>
      <w:r w:rsidR="00B44B3D" w:rsidRPr="003720AF">
        <w:t>nvironmental Protection Agency (E</w:t>
      </w:r>
      <w:r w:rsidRPr="003720AF">
        <w:t>PA</w:t>
      </w:r>
      <w:r w:rsidR="00B44B3D" w:rsidRPr="003720AF">
        <w:t>)</w:t>
      </w:r>
      <w:r w:rsidRPr="003720AF">
        <w:t xml:space="preserve"> conducted a detailed risk assessment on MA residues and exposures from clan labs, considering two exposure models and using an RfD that</w:t>
      </w:r>
      <w:r w:rsidR="00B44B3D" w:rsidRPr="003720AF">
        <w:t xml:space="preserve"> was</w:t>
      </w:r>
      <w:r w:rsidR="009240D0" w:rsidRPr="003720AF">
        <w:t xml:space="preserve"> based on human data (OEHHA 2009b</w:t>
      </w:r>
      <w:r w:rsidR="00B44B3D" w:rsidRPr="003720AF">
        <w:t xml:space="preserve">). </w:t>
      </w:r>
      <w:r w:rsidRPr="003720AF">
        <w:t>Their risk assessment considered infants</w:t>
      </w:r>
      <w:r w:rsidR="00C72B0B" w:rsidRPr="003720AF">
        <w:t>’</w:t>
      </w:r>
      <w:r w:rsidRPr="003720AF">
        <w:t xml:space="preserve"> and adults</w:t>
      </w:r>
      <w:r w:rsidR="00C72B0B" w:rsidRPr="003720AF">
        <w:t>’</w:t>
      </w:r>
      <w:r w:rsidRPr="003720AF">
        <w:t xml:space="preserve"> exposures to MA, but did not consider the possibility of additional chemical precursors or breakdown products as contributors to a potential risk in remediated houses.</w:t>
      </w:r>
    </w:p>
    <w:p w14:paraId="697EE9D1" w14:textId="47223A51" w:rsidR="00205733" w:rsidRPr="003720AF" w:rsidRDefault="00205733" w:rsidP="00205733">
      <w:pPr>
        <w:spacing w:line="360" w:lineRule="auto"/>
      </w:pPr>
      <w:r w:rsidRPr="003720AF">
        <w:t>In their risk assessment on MA, the California EPA used two exposure models, developed by U</w:t>
      </w:r>
      <w:r w:rsidR="00B44B3D" w:rsidRPr="003720AF">
        <w:t xml:space="preserve">nited States </w:t>
      </w:r>
      <w:r w:rsidRPr="003720AF">
        <w:t>EPA to assess indoor exposure to pesticide residues (OEHHA 2010). The Standard Operating Procedures for Residen</w:t>
      </w:r>
      <w:r w:rsidR="00561FCF" w:rsidRPr="003720AF">
        <w:t>tial Exposure Assessments (SOPs,</w:t>
      </w:r>
      <w:r w:rsidRPr="003720AF">
        <w:t xml:space="preserve"> U.S. EPA 1997</w:t>
      </w:r>
      <w:r w:rsidR="00B44B3D" w:rsidRPr="003720AF">
        <w:t>,</w:t>
      </w:r>
      <w:r w:rsidRPr="003720AF">
        <w:t xml:space="preserve"> 2001)</w:t>
      </w:r>
      <w:r w:rsidR="00CF3AD4" w:rsidRPr="003720AF">
        <w:t xml:space="preserve"> is a deterministic model comp</w:t>
      </w:r>
      <w:r w:rsidR="001371F7" w:rsidRPr="003720AF">
        <w:t>o</w:t>
      </w:r>
      <w:r w:rsidRPr="003720AF">
        <w:t xml:space="preserve">sed of three mathematical expressions for calculating estimates of exposure from dermal contact with residues on carpet or hard surfaces, and incidental ingestion resulting from hand-to-mouth transfer. The second approach, used the </w:t>
      </w:r>
      <w:r w:rsidR="00CF3AD4" w:rsidRPr="003720AF">
        <w:t>stochastic h</w:t>
      </w:r>
      <w:r w:rsidRPr="003720AF">
        <w:t>um</w:t>
      </w:r>
      <w:r w:rsidR="00CF3AD4" w:rsidRPr="003720AF">
        <w:t>an exposure and dose s</w:t>
      </w:r>
      <w:r w:rsidRPr="003720AF">
        <w:t>imulation</w:t>
      </w:r>
      <w:r w:rsidR="007B5593" w:rsidRPr="003720AF">
        <w:t xml:space="preserve"> (SHEDS)</w:t>
      </w:r>
      <w:r w:rsidRPr="003720AF">
        <w:t xml:space="preserve"> </w:t>
      </w:r>
      <w:r w:rsidR="00CF3AD4" w:rsidRPr="003720AF">
        <w:t>m</w:t>
      </w:r>
      <w:r w:rsidRPr="003720AF">
        <w:t>odel</w:t>
      </w:r>
      <w:r w:rsidR="00CF3AD4" w:rsidRPr="003720AF">
        <w:t xml:space="preserve"> </w:t>
      </w:r>
      <w:r w:rsidRPr="003720AF">
        <w:t>for multimedia, multipathway chemic</w:t>
      </w:r>
      <w:r w:rsidR="00CF3AD4" w:rsidRPr="003720AF">
        <w:t>als (SHEDS-Multimedia; U.S. EPA</w:t>
      </w:r>
      <w:r w:rsidRPr="003720AF">
        <w:t xml:space="preserve"> 2007). SHED</w:t>
      </w:r>
      <w:r w:rsidR="00CF3AD4" w:rsidRPr="003720AF">
        <w:t>S</w:t>
      </w:r>
      <w:r w:rsidR="007B5593" w:rsidRPr="003720AF">
        <w:t>-M</w:t>
      </w:r>
      <w:r w:rsidRPr="003720AF">
        <w:t xml:space="preserve">ultimedia uses probability distributions and Monte Carlo sampling to generate a distribution of exposure estimates for a population. SHEDS-Multimedia provides </w:t>
      </w:r>
      <w:r w:rsidRPr="003720AF">
        <w:lastRenderedPageBreak/>
        <w:t>estimates of exposure via hand contact with surfaces, body contact with surfaces, and incidental ingestion via hand-to-mouth and object-to-mouth transfer. With both models, dermal exposure and absorption was based on the results of studies conducted at U</w:t>
      </w:r>
      <w:r w:rsidR="007B5593" w:rsidRPr="003720AF">
        <w:t>niversity of California</w:t>
      </w:r>
      <w:r w:rsidRPr="003720AF">
        <w:t xml:space="preserve"> San Francisco showing that the efficiency of dermal absorption of MA is 57 percent.</w:t>
      </w:r>
    </w:p>
    <w:p w14:paraId="44DCF089" w14:textId="70C153EC" w:rsidR="00205733" w:rsidRPr="003720AF" w:rsidRDefault="00205733" w:rsidP="00205733">
      <w:pPr>
        <w:spacing w:line="360" w:lineRule="auto"/>
      </w:pPr>
      <w:r w:rsidRPr="003720AF">
        <w:t xml:space="preserve">Results from the two models were evaluated and compared, and </w:t>
      </w:r>
      <w:r w:rsidR="007B5593" w:rsidRPr="003720AF">
        <w:t xml:space="preserve">the California </w:t>
      </w:r>
      <w:r w:rsidRPr="003720AF">
        <w:t xml:space="preserve">EPA used the SHEDS-Multimedia as a basis for deriving </w:t>
      </w:r>
      <w:r w:rsidR="007B5593" w:rsidRPr="003720AF">
        <w:t>its</w:t>
      </w:r>
      <w:r w:rsidRPr="003720AF">
        <w:t xml:space="preserve"> risk-based target cleanup standard for </w:t>
      </w:r>
      <w:r w:rsidR="007B5593" w:rsidRPr="003720AF">
        <w:t>MA of 1.5 </w:t>
      </w:r>
      <w:r w:rsidRPr="003720AF">
        <w:t>μg/100 cm</w:t>
      </w:r>
      <w:r w:rsidRPr="003720AF">
        <w:rPr>
          <w:vertAlign w:val="superscript"/>
        </w:rPr>
        <w:t>2</w:t>
      </w:r>
      <w:r w:rsidRPr="003720AF">
        <w:t xml:space="preserve">. </w:t>
      </w:r>
    </w:p>
    <w:p w14:paraId="6B048A0A" w14:textId="2AFBE4B6" w:rsidR="00205733" w:rsidRPr="003720AF" w:rsidRDefault="00205733" w:rsidP="00205733">
      <w:pPr>
        <w:widowControl w:val="0"/>
        <w:autoSpaceDE w:val="0"/>
        <w:autoSpaceDN w:val="0"/>
        <w:adjustRightInd w:val="0"/>
        <w:spacing w:line="360" w:lineRule="auto"/>
        <w:rPr>
          <w:rFonts w:cs="Arial"/>
          <w:color w:val="000000"/>
        </w:rPr>
      </w:pPr>
      <w:r w:rsidRPr="003720AF">
        <w:rPr>
          <w:rFonts w:cs="Arial"/>
          <w:color w:val="000000"/>
        </w:rPr>
        <w:t xml:space="preserve">The </w:t>
      </w:r>
      <w:r w:rsidR="007B5593" w:rsidRPr="003720AF">
        <w:rPr>
          <w:rFonts w:cs="Arial"/>
          <w:color w:val="000000"/>
        </w:rPr>
        <w:t xml:space="preserve">New Zealand </w:t>
      </w:r>
      <w:r w:rsidRPr="003720AF">
        <w:rPr>
          <w:rFonts w:cs="Arial"/>
          <w:color w:val="000000"/>
        </w:rPr>
        <w:t>M</w:t>
      </w:r>
      <w:r w:rsidR="007B5593" w:rsidRPr="003720AF">
        <w:rPr>
          <w:rFonts w:cs="Arial"/>
          <w:color w:val="000000"/>
        </w:rPr>
        <w:t>inistry of Health’s</w:t>
      </w:r>
      <w:r w:rsidRPr="003720AF">
        <w:rPr>
          <w:rFonts w:cs="Arial"/>
          <w:color w:val="000000"/>
        </w:rPr>
        <w:t xml:space="preserve"> guidance document from 2010 discusses several specific concerns about assumptions made in the California exposure/risk assessment:</w:t>
      </w:r>
    </w:p>
    <w:p w14:paraId="28308C68" w14:textId="77777777" w:rsidR="00205733" w:rsidRPr="003720AF" w:rsidRDefault="00205733" w:rsidP="00205733">
      <w:pPr>
        <w:widowControl w:val="0"/>
        <w:autoSpaceDE w:val="0"/>
        <w:autoSpaceDN w:val="0"/>
        <w:adjustRightInd w:val="0"/>
        <w:spacing w:line="360" w:lineRule="auto"/>
        <w:rPr>
          <w:rFonts w:cs="Arial"/>
          <w:i/>
          <w:color w:val="000000"/>
        </w:rPr>
      </w:pPr>
      <w:r w:rsidRPr="003720AF">
        <w:rPr>
          <w:rFonts w:cs="Arial"/>
          <w:i/>
          <w:color w:val="000000"/>
        </w:rPr>
        <w:t xml:space="preserve">“The total exposure to methamphetamine with a contaminated structure such as a house (comprising exposure to surface and airborne methamphetamine) may be much higher than that due to surface methamphetamine alone </w:t>
      </w:r>
    </w:p>
    <w:p w14:paraId="69874579" w14:textId="77777777" w:rsidR="00205733" w:rsidRPr="003720AF" w:rsidRDefault="00205733" w:rsidP="00205733">
      <w:pPr>
        <w:widowControl w:val="0"/>
        <w:autoSpaceDE w:val="0"/>
        <w:autoSpaceDN w:val="0"/>
        <w:adjustRightInd w:val="0"/>
        <w:spacing w:line="360" w:lineRule="auto"/>
        <w:rPr>
          <w:rFonts w:cs="Arial"/>
          <w:i/>
          <w:color w:val="000000"/>
        </w:rPr>
      </w:pPr>
      <w:r w:rsidRPr="003720AF">
        <w:rPr>
          <w:rFonts w:cs="Arial"/>
          <w:i/>
          <w:color w:val="000000"/>
        </w:rPr>
        <w:t xml:space="preserve">The duration of exposure for vulnerable population groups such as children living in methamphetamine contaminated properties could be longer than Salocks (2009) suggests. </w:t>
      </w:r>
    </w:p>
    <w:p w14:paraId="05812F0B" w14:textId="77777777" w:rsidR="00205733" w:rsidRPr="003720AF" w:rsidRDefault="00205733" w:rsidP="00205733">
      <w:pPr>
        <w:pStyle w:val="Default"/>
        <w:spacing w:line="360" w:lineRule="auto"/>
        <w:rPr>
          <w:rFonts w:ascii="Arial" w:hAnsi="Arial" w:cs="Arial"/>
          <w:i/>
          <w:sz w:val="22"/>
          <w:szCs w:val="22"/>
          <w:lang w:val="en-NZ"/>
        </w:rPr>
      </w:pPr>
      <w:r w:rsidRPr="003720AF">
        <w:rPr>
          <w:rFonts w:ascii="Arial" w:hAnsi="Arial" w:cs="Arial"/>
          <w:i/>
          <w:sz w:val="22"/>
          <w:szCs w:val="22"/>
          <w:lang w:val="en-NZ"/>
        </w:rPr>
        <w:t>Children outside the age group range considered by Salocks (2009) as being the most vulnerable (6 – 24 months) could be exposed to problematic levels of methamphetamine “</w:t>
      </w:r>
    </w:p>
    <w:p w14:paraId="47F664AE" w14:textId="77777777" w:rsidR="00205733" w:rsidRPr="003720AF" w:rsidRDefault="00205733" w:rsidP="00205733">
      <w:pPr>
        <w:widowControl w:val="0"/>
        <w:autoSpaceDE w:val="0"/>
        <w:autoSpaceDN w:val="0"/>
        <w:adjustRightInd w:val="0"/>
        <w:spacing w:line="360" w:lineRule="auto"/>
        <w:rPr>
          <w:rFonts w:cs="Arial"/>
          <w:color w:val="000000"/>
        </w:rPr>
      </w:pPr>
    </w:p>
    <w:p w14:paraId="52813D14" w14:textId="57010F5A" w:rsidR="00205733" w:rsidRPr="003720AF" w:rsidRDefault="00205733" w:rsidP="00205733">
      <w:pPr>
        <w:autoSpaceDE w:val="0"/>
        <w:autoSpaceDN w:val="0"/>
        <w:adjustRightInd w:val="0"/>
        <w:spacing w:line="360" w:lineRule="auto"/>
        <w:rPr>
          <w:rFonts w:cs="TimesNewRomanPS"/>
        </w:rPr>
      </w:pPr>
      <w:r w:rsidRPr="003720AF">
        <w:rPr>
          <w:rFonts w:cs="TimesNewRomanPS"/>
        </w:rPr>
        <w:t>The validity of these theoretical concerns has been considered</w:t>
      </w:r>
      <w:r w:rsidR="007B5593" w:rsidRPr="003720AF">
        <w:rPr>
          <w:rFonts w:cs="TimesNewRomanPS"/>
        </w:rPr>
        <w:t xml:space="preserve">. </w:t>
      </w:r>
      <w:r w:rsidRPr="003720AF">
        <w:rPr>
          <w:rFonts w:cs="TimesNewRomanPS"/>
        </w:rPr>
        <w:t xml:space="preserve">The first, that MA could become volatile if converted chemically to the free-base form, was considered by </w:t>
      </w:r>
      <w:r w:rsidR="007B5593" w:rsidRPr="003720AF">
        <w:rPr>
          <w:rFonts w:cs="TimesNewRomanPS"/>
        </w:rPr>
        <w:t xml:space="preserve">the </w:t>
      </w:r>
      <w:r w:rsidR="007B5593" w:rsidRPr="003720AF">
        <w:rPr>
          <w:rFonts w:cs="Arial"/>
        </w:rPr>
        <w:t>Office of Environmental Health Hazard Assessment (</w:t>
      </w:r>
      <w:r w:rsidRPr="003720AF">
        <w:rPr>
          <w:rFonts w:cs="TimesNewRomanPS"/>
        </w:rPr>
        <w:t>OEHHA</w:t>
      </w:r>
      <w:r w:rsidR="007B5593" w:rsidRPr="003720AF">
        <w:rPr>
          <w:rFonts w:cs="TimesNewRomanPS"/>
        </w:rPr>
        <w:t>)</w:t>
      </w:r>
      <w:r w:rsidRPr="003720AF">
        <w:rPr>
          <w:rFonts w:cs="TimesNewRomanPS"/>
        </w:rPr>
        <w:t xml:space="preserve"> to be unlikely, and even if possible, to present a negligible contribution to the overall exposure in comparison to dermal contact.</w:t>
      </w:r>
    </w:p>
    <w:p w14:paraId="43110840" w14:textId="3D197B87" w:rsidR="00205733" w:rsidRPr="003720AF" w:rsidRDefault="00BE4B70" w:rsidP="00205733">
      <w:pPr>
        <w:autoSpaceDE w:val="0"/>
        <w:autoSpaceDN w:val="0"/>
        <w:adjustRightInd w:val="0"/>
        <w:spacing w:line="360" w:lineRule="auto"/>
        <w:rPr>
          <w:rFonts w:cs="TimesNewRomanPS"/>
        </w:rPr>
      </w:pPr>
      <w:r w:rsidRPr="003720AF">
        <w:rPr>
          <w:rFonts w:cs="TimesNewRomanPS"/>
        </w:rPr>
        <w:t xml:space="preserve">The second concern, that the duration of exposure may exceed the subchronic exposure duration used in the OEHHA 2010 assessment (and the RfD which is also based on several months exposure), would only apply if the vulnerable group (toddlers) remained constant in their exposure behaviours over a chronic timeframe, if their increasing body weights </w:t>
      </w:r>
      <w:r w:rsidR="005E6ECD" w:rsidRPr="003720AF">
        <w:rPr>
          <w:rFonts w:cs="TimesNewRomanPS"/>
        </w:rPr>
        <w:t>were</w:t>
      </w:r>
      <w:r w:rsidRPr="003720AF">
        <w:rPr>
          <w:rFonts w:cs="TimesNewRomanPS"/>
        </w:rPr>
        <w:t xml:space="preserve"> not expected to reduce their daily doses, or if the effects of MA were known o</w:t>
      </w:r>
      <w:r w:rsidR="007B5593" w:rsidRPr="003720AF">
        <w:rPr>
          <w:rFonts w:cs="TimesNewRomanPS"/>
        </w:rPr>
        <w:t xml:space="preserve">r suspected to be cumulative. </w:t>
      </w:r>
      <w:r w:rsidRPr="003720AF">
        <w:rPr>
          <w:rFonts w:cs="TimesNewRomanPS"/>
        </w:rPr>
        <w:t>A similar point</w:t>
      </w:r>
      <w:r w:rsidR="005E6ECD" w:rsidRPr="003720AF">
        <w:rPr>
          <w:rFonts w:cs="TimesNewRomanPS"/>
        </w:rPr>
        <w:t xml:space="preserve"> exists for the third concern: that age groups outside the 6</w:t>
      </w:r>
      <w:r w:rsidR="005E6ECD" w:rsidRPr="003720AF">
        <w:rPr>
          <w:rFonts w:cs="Arial"/>
        </w:rPr>
        <w:t>–</w:t>
      </w:r>
      <w:r w:rsidR="005E6ECD" w:rsidRPr="003720AF">
        <w:rPr>
          <w:rFonts w:cs="TimesNewRomanPS"/>
        </w:rPr>
        <w:t>24 month age group w</w:t>
      </w:r>
      <w:r w:rsidRPr="003720AF">
        <w:rPr>
          <w:rFonts w:cs="TimesNewRomanPS"/>
        </w:rPr>
        <w:t xml:space="preserve">ould </w:t>
      </w:r>
      <w:r w:rsidR="005E6ECD" w:rsidRPr="003720AF">
        <w:rPr>
          <w:rFonts w:cs="TimesNewRomanPS"/>
        </w:rPr>
        <w:t xml:space="preserve">be inadequately accounted for. </w:t>
      </w:r>
      <w:r w:rsidR="007802C0" w:rsidRPr="003720AF">
        <w:rPr>
          <w:rFonts w:cs="TimesNewRomanPS"/>
        </w:rPr>
        <w:t>The 6</w:t>
      </w:r>
      <w:r w:rsidR="007802C0" w:rsidRPr="003720AF">
        <w:rPr>
          <w:rFonts w:cs="Arial"/>
        </w:rPr>
        <w:t>–</w:t>
      </w:r>
      <w:r w:rsidRPr="003720AF">
        <w:rPr>
          <w:rFonts w:cs="TimesNewRomanPS"/>
        </w:rPr>
        <w:t>24 month age group is a standard age group for risk assessment due</w:t>
      </w:r>
      <w:r w:rsidR="00BD414D" w:rsidRPr="003720AF">
        <w:rPr>
          <w:rFonts w:cs="TimesNewRomanPS"/>
        </w:rPr>
        <w:t xml:space="preserve"> to exploratory behaviour, hand-to-</w:t>
      </w:r>
      <w:r w:rsidRPr="003720AF">
        <w:rPr>
          <w:rFonts w:cs="TimesNewRomanPS"/>
        </w:rPr>
        <w:t>mouth tende</w:t>
      </w:r>
      <w:r w:rsidR="007802C0" w:rsidRPr="003720AF">
        <w:rPr>
          <w:rFonts w:cs="TimesNewRomanPS"/>
        </w:rPr>
        <w:t xml:space="preserve">ncies, and lower body weights. </w:t>
      </w:r>
      <w:r w:rsidRPr="003720AF">
        <w:rPr>
          <w:rFonts w:cs="TimesNewRomanPS"/>
        </w:rPr>
        <w:t>All of these factors decrease in significance with age in their contribution to exposure, making this group the most exposed in a household surface contact/remediation scenario.</w:t>
      </w:r>
      <w:r w:rsidR="00205733" w:rsidRPr="003720AF">
        <w:rPr>
          <w:rFonts w:cs="TimesNewRomanPS"/>
        </w:rPr>
        <w:t xml:space="preserve"> Regarding the second concern, the observation that MA persists in building materials such that exposure is </w:t>
      </w:r>
      <w:r w:rsidR="00205733" w:rsidRPr="003720AF">
        <w:rPr>
          <w:rFonts w:cs="TimesNewRomanPS"/>
        </w:rPr>
        <w:lastRenderedPageBreak/>
        <w:t>prolonged after the surface is cleaned, must be balanced by the observation that, over time, surface residual levels of MA and other organics will slowly reduce, due to cleanin</w:t>
      </w:r>
      <w:r w:rsidR="007802C0" w:rsidRPr="003720AF">
        <w:rPr>
          <w:rFonts w:cs="TimesNewRomanPS"/>
        </w:rPr>
        <w:t xml:space="preserve">g, touching, and volatilising. </w:t>
      </w:r>
      <w:r w:rsidR="00205733" w:rsidRPr="003720AF">
        <w:rPr>
          <w:rFonts w:cs="TimesNewRomanPS"/>
        </w:rPr>
        <w:t>Thus, exposures decline over time following remediation. The exposure assessments assume, however, that residue levels do not decline, which essentially incorporates an additional margin of safety.</w:t>
      </w:r>
      <w:r w:rsidR="007802C0" w:rsidRPr="003720AF">
        <w:rPr>
          <w:rFonts w:cs="TimesNewRomanPS"/>
        </w:rPr>
        <w:t xml:space="preserve"> </w:t>
      </w:r>
      <w:r w:rsidR="00205733" w:rsidRPr="003720AF">
        <w:rPr>
          <w:rFonts w:cs="TimesNewRomanPS"/>
        </w:rPr>
        <w:t>This concern is further mitigated by the observation described by Martyny</w:t>
      </w:r>
      <w:r w:rsidR="00AD5D5D" w:rsidRPr="003720AF">
        <w:rPr>
          <w:rFonts w:cs="TimesNewRomanPS"/>
        </w:rPr>
        <w:t xml:space="preserve"> et al</w:t>
      </w:r>
      <w:r w:rsidR="00205733" w:rsidRPr="003720AF">
        <w:rPr>
          <w:rFonts w:cs="TimesNewRomanPS"/>
        </w:rPr>
        <w:t xml:space="preserve"> (2008), that, once cleaned, residues become less dislodgeable, thereby reducing the transferable quantity.</w:t>
      </w:r>
    </w:p>
    <w:p w14:paraId="7DDA0ED3" w14:textId="77777777" w:rsidR="00BE4B70" w:rsidRPr="003720AF" w:rsidRDefault="00BE4B70" w:rsidP="00BE4B70">
      <w:pPr>
        <w:pStyle w:val="Heading3"/>
      </w:pPr>
      <w:bookmarkStart w:id="16" w:name="_Toc463856033"/>
      <w:r w:rsidRPr="003720AF">
        <w:t>Colorado</w:t>
      </w:r>
      <w:bookmarkEnd w:id="16"/>
    </w:p>
    <w:p w14:paraId="3177BFF2" w14:textId="232F24E1" w:rsidR="00205733" w:rsidRPr="003720AF" w:rsidRDefault="00205733" w:rsidP="00205733">
      <w:pPr>
        <w:spacing w:line="360" w:lineRule="auto"/>
      </w:pPr>
      <w:r w:rsidRPr="003720AF">
        <w:t xml:space="preserve">The Colorado Department of Public Health and the Environment (CDPHE) was the first health authority to develop health-based MA cleanup guidelines for clan labs, in 2005 (CDPHE 2005). </w:t>
      </w:r>
      <w:r w:rsidRPr="003720AF">
        <w:rPr>
          <w:color w:val="000000"/>
        </w:rPr>
        <w:t>One goal of the CDPHE standard is to protect the occupants (mainly children) from residual chemicals left from the production of illicit drugs.</w:t>
      </w:r>
      <w:r w:rsidR="003D4F47" w:rsidRPr="003720AF">
        <w:rPr>
          <w:color w:val="000000"/>
        </w:rPr>
        <w:t xml:space="preserve"> </w:t>
      </w:r>
      <w:r w:rsidRPr="003720AF">
        <w:rPr>
          <w:color w:val="000000"/>
        </w:rPr>
        <w:t>In their risk assessment, CDPHE estimated ex</w:t>
      </w:r>
      <w:r w:rsidR="00992ED0" w:rsidRPr="003720AF">
        <w:rPr>
          <w:color w:val="000000"/>
        </w:rPr>
        <w:t>posures and risks for children 1</w:t>
      </w:r>
      <w:r w:rsidRPr="003720AF">
        <w:rPr>
          <w:color w:val="000000"/>
        </w:rPr>
        <w:t xml:space="preserve"> year old, 6 years old, and adult women of child bearing years </w:t>
      </w:r>
      <w:r w:rsidR="003D4F47" w:rsidRPr="003720AF">
        <w:rPr>
          <w:color w:val="000000"/>
        </w:rPr>
        <w:t xml:space="preserve">(CDPHE 2005). </w:t>
      </w:r>
      <w:r w:rsidRPr="003720AF">
        <w:rPr>
          <w:color w:val="000000"/>
        </w:rPr>
        <w:t xml:space="preserve">An RfD was derived from a benchmark dose approach on reproductive and developmental toxicity data from mice and rats, of 4 </w:t>
      </w:r>
      <w:r w:rsidRPr="003720AF">
        <w:t>μg/kg bw/day.</w:t>
      </w:r>
      <w:r w:rsidR="003D4F47" w:rsidRPr="003720AF">
        <w:rPr>
          <w:color w:val="000000"/>
        </w:rPr>
        <w:t xml:space="preserve"> </w:t>
      </w:r>
      <w:r w:rsidRPr="003720AF">
        <w:rPr>
          <w:color w:val="000000"/>
        </w:rPr>
        <w:t>A deterministic approach was taken, using parameters that were available at the ti</w:t>
      </w:r>
      <w:r w:rsidR="00A54244" w:rsidRPr="003720AF">
        <w:rPr>
          <w:color w:val="000000"/>
        </w:rPr>
        <w:t>me to support a standard of 0.5 </w:t>
      </w:r>
      <w:r w:rsidRPr="003720AF">
        <w:t>μ</w:t>
      </w:r>
      <w:r w:rsidR="003D4F47" w:rsidRPr="003720AF">
        <w:t>g/100 </w:t>
      </w:r>
      <w:r w:rsidRPr="003720AF">
        <w:t>cm</w:t>
      </w:r>
      <w:r w:rsidRPr="003720AF">
        <w:rPr>
          <w:vertAlign w:val="superscript"/>
        </w:rPr>
        <w:t>2</w:t>
      </w:r>
      <w:r w:rsidRPr="003720AF">
        <w:t xml:space="preserve">.  </w:t>
      </w:r>
    </w:p>
    <w:p w14:paraId="5A0B742A" w14:textId="77777777" w:rsidR="00205733" w:rsidRPr="003720AF" w:rsidRDefault="00205733" w:rsidP="00205733">
      <w:pPr>
        <w:spacing w:line="360" w:lineRule="auto"/>
      </w:pPr>
      <w:r w:rsidRPr="003720AF">
        <w:t>The CDPHE report states in its discussion of uncertainties:</w:t>
      </w:r>
    </w:p>
    <w:p w14:paraId="04745384" w14:textId="77777777" w:rsidR="00205733" w:rsidRPr="003720AF" w:rsidRDefault="00205733" w:rsidP="00205733">
      <w:pPr>
        <w:spacing w:line="360" w:lineRule="auto"/>
        <w:rPr>
          <w:i/>
        </w:rPr>
      </w:pPr>
      <w:r w:rsidRPr="003720AF">
        <w:rPr>
          <w:i/>
          <w:color w:val="000000"/>
          <w:sz w:val="23"/>
          <w:szCs w:val="23"/>
        </w:rPr>
        <w:t>“Because of these numerous sources of uncertainty, none of the dose estimates should be considered to be precise, but rather should be thought of as approximations. It is important for risk managers, stakeholders and the public to take these uncertainties into account when interpreting these results and ultimately adopting a methamphetamine cleanup standard.”</w:t>
      </w:r>
    </w:p>
    <w:p w14:paraId="7DB4A3C6" w14:textId="77777777" w:rsidR="00205733" w:rsidRPr="003720AF" w:rsidRDefault="00205733" w:rsidP="00205733">
      <w:pPr>
        <w:spacing w:line="360" w:lineRule="auto"/>
      </w:pPr>
    </w:p>
    <w:p w14:paraId="15FBE54F" w14:textId="77777777" w:rsidR="00BE4B70" w:rsidRPr="003720AF" w:rsidRDefault="00FA2F89" w:rsidP="00BE4B70">
      <w:pPr>
        <w:pStyle w:val="Heading1"/>
      </w:pPr>
      <w:bookmarkStart w:id="17" w:name="_Toc463856034"/>
      <w:r w:rsidRPr="003720AF">
        <w:lastRenderedPageBreak/>
        <w:t>CLAN LABS VS NON-LABORATORY REMEDIATED HOUSES</w:t>
      </w:r>
      <w:bookmarkEnd w:id="17"/>
    </w:p>
    <w:p w14:paraId="7B98BD45" w14:textId="63D37177" w:rsidR="00205733" w:rsidRPr="003720AF" w:rsidRDefault="00205733" w:rsidP="00205733">
      <w:pPr>
        <w:spacing w:line="360" w:lineRule="auto"/>
      </w:pPr>
      <w:r w:rsidRPr="003720AF">
        <w:rPr>
          <w:rFonts w:cs="Times-Roman"/>
        </w:rPr>
        <w:t xml:space="preserve">The deposition of MA itself on indoor surfaces, under experimental conditions, has been studied. </w:t>
      </w:r>
      <w:r w:rsidRPr="003720AF">
        <w:t>A study by Serrano (2012) found MA residues on household surfaces to range from 0</w:t>
      </w:r>
      <w:r w:rsidR="0065064D" w:rsidRPr="003720AF">
        <w:t xml:space="preserve"> to </w:t>
      </w:r>
      <w:r w:rsidR="00C710D7" w:rsidRPr="003720AF">
        <w:t>35 </w:t>
      </w:r>
      <w:r w:rsidRPr="003720AF">
        <w:rPr>
          <w:rFonts w:ascii="Symbol" w:hAnsi="Symbol"/>
        </w:rPr>
        <w:t></w:t>
      </w:r>
      <w:r w:rsidRPr="003720AF">
        <w:t>g/100</w:t>
      </w:r>
      <w:r w:rsidR="00C710D7" w:rsidRPr="003720AF">
        <w:t> </w:t>
      </w:r>
      <w:r w:rsidRPr="003720AF">
        <w:t>cm</w:t>
      </w:r>
      <w:r w:rsidRPr="003720AF">
        <w:rPr>
          <w:vertAlign w:val="superscript"/>
        </w:rPr>
        <w:t>2</w:t>
      </w:r>
      <w:r w:rsidRPr="003720AF">
        <w:t xml:space="preserve"> from a simulated smoke, or from 41 </w:t>
      </w:r>
      <w:r w:rsidR="0065064D" w:rsidRPr="003720AF">
        <w:t>to</w:t>
      </w:r>
      <w:r w:rsidRPr="003720AF">
        <w:t xml:space="preserve"> 101 </w:t>
      </w:r>
      <w:r w:rsidRPr="003720AF">
        <w:rPr>
          <w:rFonts w:ascii="Symbol" w:hAnsi="Symbol"/>
        </w:rPr>
        <w:t></w:t>
      </w:r>
      <w:r w:rsidRPr="003720AF">
        <w:t>g/100 cm</w:t>
      </w:r>
      <w:r w:rsidRPr="003720AF">
        <w:rPr>
          <w:vertAlign w:val="superscript"/>
        </w:rPr>
        <w:t>2</w:t>
      </w:r>
      <w:r w:rsidRPr="003720AF">
        <w:t xml:space="preserve"> from a </w:t>
      </w:r>
      <w:r w:rsidR="0065064D" w:rsidRPr="003720AF">
        <w:t xml:space="preserve">simulated cook (Serrano 2012). </w:t>
      </w:r>
      <w:r w:rsidRPr="003720AF">
        <w:t>These values, however, do not necessarily represent what would be expected to be present follo</w:t>
      </w:r>
      <w:r w:rsidR="006A7725" w:rsidRPr="003720AF">
        <w:t>wing a thorough clean</w:t>
      </w:r>
      <w:r w:rsidRPr="003720AF">
        <w:t>up/remediation of a former lab.</w:t>
      </w:r>
    </w:p>
    <w:p w14:paraId="2DA1FB66" w14:textId="08EDB645" w:rsidR="00205733" w:rsidRPr="003720AF" w:rsidRDefault="00205733" w:rsidP="00205733">
      <w:pPr>
        <w:spacing w:line="360" w:lineRule="auto"/>
        <w:rPr>
          <w:rFonts w:cs="Times-Roman"/>
        </w:rPr>
      </w:pPr>
      <w:r w:rsidRPr="003720AF">
        <w:rPr>
          <w:rFonts w:cs="Times-Roman"/>
        </w:rPr>
        <w:t>As has been discussed in this report and in the 2010 New Zealand Guidelines, c</w:t>
      </w:r>
      <w:r w:rsidR="0065064D" w:rsidRPr="003720AF">
        <w:rPr>
          <w:rFonts w:cs="Times-Roman"/>
        </w:rPr>
        <w:t>lan labs can utilis</w:t>
      </w:r>
      <w:r w:rsidRPr="003720AF">
        <w:rPr>
          <w:rFonts w:cs="Times-Roman"/>
        </w:rPr>
        <w:t>e a range of chem</w:t>
      </w:r>
      <w:r w:rsidR="0065064D" w:rsidRPr="003720AF">
        <w:rPr>
          <w:rFonts w:cs="Times-Roman"/>
        </w:rPr>
        <w:t xml:space="preserve">icals in the production of MA. </w:t>
      </w:r>
      <w:r w:rsidRPr="003720AF">
        <w:rPr>
          <w:rFonts w:cs="Times-Roman"/>
        </w:rPr>
        <w:t xml:space="preserve">Some of these chemicals are themselves amphetamine derivatives or other organics </w:t>
      </w:r>
      <w:r w:rsidR="0065064D" w:rsidRPr="003720AF">
        <w:rPr>
          <w:rFonts w:cs="Times-Roman"/>
        </w:rPr>
        <w:t xml:space="preserve">with pharmacological properties (Table 2). </w:t>
      </w:r>
      <w:r w:rsidRPr="003720AF">
        <w:rPr>
          <w:rFonts w:cs="Times-Roman"/>
        </w:rPr>
        <w:t>MA may also be smoked in these laboratories, yielding still further chemical breakdown products and forming reservoirs o</w:t>
      </w:r>
      <w:r w:rsidR="007A07F1" w:rsidRPr="003720AF">
        <w:rPr>
          <w:rFonts w:cs="Times-Roman"/>
        </w:rPr>
        <w:t xml:space="preserve">f potential chemical exposure. </w:t>
      </w:r>
      <w:r w:rsidRPr="003720AF">
        <w:rPr>
          <w:rFonts w:cs="Times-Roman"/>
        </w:rPr>
        <w:t xml:space="preserve">Shakleya et al (2005) reported trans-phenylpropene (TPP) to be a pyrolytic breakdown product from heated MA, and found TPP </w:t>
      </w:r>
      <w:r w:rsidR="007A07F1" w:rsidRPr="003720AF">
        <w:rPr>
          <w:rFonts w:cs="Times-Roman"/>
        </w:rPr>
        <w:t xml:space="preserve">in the urine of MA users. </w:t>
      </w:r>
      <w:r w:rsidRPr="003720AF">
        <w:rPr>
          <w:rFonts w:cs="Times-Roman"/>
        </w:rPr>
        <w:t xml:space="preserve">Sanga and colleagues reported that TPP is converted by the liver to the oxide form by cytochrome P450 monoxygenase enzymes, with the oxide shown to be cytotoxic </w:t>
      </w:r>
      <w:r w:rsidRPr="003720AF">
        <w:rPr>
          <w:rFonts w:cs="Times-Roman"/>
          <w:i/>
        </w:rPr>
        <w:t>in vitro</w:t>
      </w:r>
      <w:r w:rsidR="007A07F1" w:rsidRPr="003720AF">
        <w:rPr>
          <w:rFonts w:cs="Times-Roman"/>
        </w:rPr>
        <w:t xml:space="preserve"> to glial cells (Sanga et al 2006). </w:t>
      </w:r>
      <w:r w:rsidRPr="003720AF">
        <w:rPr>
          <w:rFonts w:cs="Times-Roman"/>
        </w:rPr>
        <w:t>There is very little toxicological information directly relating to TPP that could be quantitativ</w:t>
      </w:r>
      <w:r w:rsidR="007A07F1" w:rsidRPr="003720AF">
        <w:rPr>
          <w:rFonts w:cs="Times-Roman"/>
        </w:rPr>
        <w:t xml:space="preserve">ely used in a risk assessment. </w:t>
      </w:r>
      <w:r w:rsidRPr="003720AF">
        <w:rPr>
          <w:rFonts w:cs="Times-Roman"/>
        </w:rPr>
        <w:t>A structural similarity to styrene would suggest that the toxicity is likely</w:t>
      </w:r>
      <w:r w:rsidR="005076C1" w:rsidRPr="003720AF">
        <w:rPr>
          <w:rFonts w:cs="Times-Roman"/>
        </w:rPr>
        <w:t xml:space="preserve"> to be</w:t>
      </w:r>
      <w:r w:rsidRPr="003720AF">
        <w:rPr>
          <w:rFonts w:cs="Times-Roman"/>
        </w:rPr>
        <w:t xml:space="preserve"> low on a dose basis compared with MA itself or related amphetamines.</w:t>
      </w:r>
    </w:p>
    <w:p w14:paraId="3A36514C" w14:textId="5C7CF8B7" w:rsidR="00205733" w:rsidRPr="003720AF" w:rsidRDefault="00205733" w:rsidP="00205733">
      <w:pPr>
        <w:spacing w:line="360" w:lineRule="auto"/>
        <w:rPr>
          <w:rFonts w:cs="Times-Roman"/>
        </w:rPr>
      </w:pPr>
      <w:r w:rsidRPr="003720AF">
        <w:rPr>
          <w:rFonts w:cs="Arial"/>
        </w:rPr>
        <w:t xml:space="preserve">Other reported pyrolysis products of methamphetamine in tobacco tar were measured and identified as methamphetamine, amphetamine, </w:t>
      </w:r>
      <w:r w:rsidRPr="003720AF">
        <w:rPr>
          <w:rFonts w:cs="Arial"/>
          <w:bCs/>
          <w:color w:val="0E0E0E"/>
        </w:rPr>
        <w:t>phenylacetone</w:t>
      </w:r>
      <w:r w:rsidRPr="003720AF">
        <w:rPr>
          <w:rFonts w:cs="Arial"/>
        </w:rPr>
        <w:t>, dimethylamphetamine, N-formyl-, N-acetyl-, N-propionyl-, and N-cyanomethyl-methamphetamine</w:t>
      </w:r>
      <w:r w:rsidR="007A07F1" w:rsidRPr="003720AF">
        <w:rPr>
          <w:rFonts w:cs="Arial"/>
        </w:rPr>
        <w:t xml:space="preserve"> (Sekine and Nakahara 1987). </w:t>
      </w:r>
      <w:r w:rsidRPr="003720AF">
        <w:rPr>
          <w:rFonts w:cs="Arial"/>
        </w:rPr>
        <w:t>It is not clear if these same residues are found on the remediated surfaces</w:t>
      </w:r>
      <w:r w:rsidR="007A07F1" w:rsidRPr="003720AF">
        <w:rPr>
          <w:rFonts w:cs="Arial"/>
        </w:rPr>
        <w:t xml:space="preserve"> of houses where MA is smoked. </w:t>
      </w:r>
      <w:r w:rsidRPr="003720AF">
        <w:rPr>
          <w:rFonts w:cs="Arial"/>
        </w:rPr>
        <w:t xml:space="preserve">The combusted derivatives of amphetamine may have less potency than MA itself, but there is no research to confirm this possibility.  </w:t>
      </w:r>
    </w:p>
    <w:p w14:paraId="50D990E6" w14:textId="05FF9446" w:rsidR="00205733" w:rsidRPr="003720AF" w:rsidRDefault="00205733" w:rsidP="00205733">
      <w:pPr>
        <w:spacing w:line="360" w:lineRule="auto"/>
        <w:rPr>
          <w:rFonts w:cs="Arial"/>
          <w:color w:val="000000"/>
        </w:rPr>
      </w:pPr>
      <w:r w:rsidRPr="003720AF">
        <w:rPr>
          <w:rFonts w:cs="Times-Roman"/>
        </w:rPr>
        <w:t>However, most of these chemicals do not have well defined toxicological threshol</w:t>
      </w:r>
      <w:r w:rsidR="007A07F1" w:rsidRPr="003720AF">
        <w:rPr>
          <w:rFonts w:cs="Times-Roman"/>
        </w:rPr>
        <w:t xml:space="preserve">ds based on a robust data set. </w:t>
      </w:r>
      <w:r w:rsidRPr="003720AF">
        <w:rPr>
          <w:rFonts w:cs="Times-Roman"/>
        </w:rPr>
        <w:t>This creates an additional layer of uncertainty in the assessment of the safety of any given residence that was formerly used as a lab, when usi</w:t>
      </w:r>
      <w:r w:rsidR="006A7725" w:rsidRPr="003720AF">
        <w:rPr>
          <w:rFonts w:cs="Times-Roman"/>
        </w:rPr>
        <w:t>ng MA residues alone as a clean</w:t>
      </w:r>
      <w:r w:rsidRPr="003720AF">
        <w:rPr>
          <w:rFonts w:cs="Times-Roman"/>
        </w:rPr>
        <w:t xml:space="preserve">up standard. </w:t>
      </w:r>
      <w:r w:rsidRPr="003720AF">
        <w:rPr>
          <w:rFonts w:cs="Arial"/>
          <w:color w:val="000000"/>
        </w:rPr>
        <w:t>The presence of precursor</w:t>
      </w:r>
      <w:r w:rsidR="007A07F1" w:rsidRPr="003720AF">
        <w:rPr>
          <w:rFonts w:cs="Arial"/>
          <w:color w:val="000000"/>
        </w:rPr>
        <w:t>s</w:t>
      </w:r>
      <w:r w:rsidRPr="003720AF">
        <w:rPr>
          <w:rFonts w:cs="Arial"/>
          <w:color w:val="000000"/>
        </w:rPr>
        <w:t>, by-product</w:t>
      </w:r>
      <w:r w:rsidR="007A07F1" w:rsidRPr="003720AF">
        <w:rPr>
          <w:rFonts w:cs="Arial"/>
          <w:color w:val="000000"/>
        </w:rPr>
        <w:t>s</w:t>
      </w:r>
      <w:r w:rsidRPr="003720AF">
        <w:rPr>
          <w:rFonts w:cs="Arial"/>
          <w:color w:val="000000"/>
        </w:rPr>
        <w:t xml:space="preserve">, or contaminants in such situations is expected and can be highly variable in nature, depending on production method, use or production of other drugs and numerous additional factors. </w:t>
      </w:r>
    </w:p>
    <w:p w14:paraId="45989B8D" w14:textId="663A9D80" w:rsidR="00BE4B70" w:rsidRPr="003720AF" w:rsidRDefault="00205733" w:rsidP="00BE4B70">
      <w:pPr>
        <w:spacing w:line="360" w:lineRule="auto"/>
        <w:rPr>
          <w:rFonts w:cs="Arial"/>
          <w:color w:val="000000"/>
        </w:rPr>
      </w:pPr>
      <w:r w:rsidRPr="003720AF">
        <w:rPr>
          <w:rFonts w:cs="Arial"/>
          <w:color w:val="000000"/>
        </w:rPr>
        <w:lastRenderedPageBreak/>
        <w:t>Some of the chemicals encountered are noticeable through smell or visible stains, but may not necessarily be of the gre</w:t>
      </w:r>
      <w:r w:rsidR="007A07F1" w:rsidRPr="003720AF">
        <w:rPr>
          <w:rFonts w:cs="Arial"/>
          <w:color w:val="000000"/>
        </w:rPr>
        <w:t xml:space="preserve">atest concern toxicologically. </w:t>
      </w:r>
      <w:r w:rsidRPr="003720AF">
        <w:rPr>
          <w:rFonts w:cs="Arial"/>
          <w:color w:val="000000"/>
        </w:rPr>
        <w:t>For example, ammonia and iodine may be encountered from different production methods, but these chemicals, aside from imparting odo</w:t>
      </w:r>
      <w:r w:rsidR="007A07F1" w:rsidRPr="003720AF">
        <w:rPr>
          <w:rFonts w:cs="Arial"/>
          <w:color w:val="000000"/>
        </w:rPr>
        <w:t>u</w:t>
      </w:r>
      <w:r w:rsidRPr="003720AF">
        <w:rPr>
          <w:rFonts w:cs="Arial"/>
          <w:color w:val="000000"/>
        </w:rPr>
        <w:t>rs and stains, are not of great toxicological concern at doses likely to be encountered post-remediation. On the other hand, there has been at least one report of a significant quantity of mercuric chloride at a clan lab, not detectable thro</w:t>
      </w:r>
      <w:r w:rsidR="00561FCF" w:rsidRPr="003720AF">
        <w:rPr>
          <w:rFonts w:cs="Arial"/>
          <w:color w:val="000000"/>
        </w:rPr>
        <w:t>ugh smell, but highly toxic (</w:t>
      </w:r>
      <w:r w:rsidRPr="003720AF">
        <w:rPr>
          <w:rFonts w:cs="Arial"/>
          <w:color w:val="000000"/>
        </w:rPr>
        <w:t>Megan McKin</w:t>
      </w:r>
      <w:r w:rsidR="00561FCF" w:rsidRPr="003720AF">
        <w:rPr>
          <w:rFonts w:cs="Arial"/>
          <w:color w:val="000000"/>
        </w:rPr>
        <w:t>nel,</w:t>
      </w:r>
      <w:r w:rsidRPr="003720AF">
        <w:rPr>
          <w:rFonts w:cs="Arial"/>
          <w:color w:val="000000"/>
        </w:rPr>
        <w:t xml:space="preserve"> ESR, 2016, </w:t>
      </w:r>
      <w:r w:rsidR="007A07F1" w:rsidRPr="003720AF">
        <w:rPr>
          <w:rFonts w:cs="Arial"/>
          <w:color w:val="000000"/>
        </w:rPr>
        <w:t xml:space="preserve">personal communication). </w:t>
      </w:r>
      <w:r w:rsidRPr="003720AF">
        <w:rPr>
          <w:rFonts w:cs="Arial"/>
          <w:color w:val="000000"/>
        </w:rPr>
        <w:t>The 2010 Guidance document further describes lead acetate as a production chemical in some instances. However, lead has not been found at c</w:t>
      </w:r>
      <w:r w:rsidR="00561FCF" w:rsidRPr="003720AF">
        <w:rPr>
          <w:rFonts w:cs="Arial"/>
          <w:color w:val="000000"/>
        </w:rPr>
        <w:t>lan lab sites in New Zealand (</w:t>
      </w:r>
      <w:r w:rsidRPr="003720AF">
        <w:rPr>
          <w:rFonts w:cs="Arial"/>
          <w:color w:val="000000"/>
        </w:rPr>
        <w:t>Megan McKin</w:t>
      </w:r>
      <w:r w:rsidR="00561FCF" w:rsidRPr="003720AF">
        <w:rPr>
          <w:rFonts w:cs="Arial"/>
          <w:color w:val="000000"/>
        </w:rPr>
        <w:t>nel</w:t>
      </w:r>
      <w:r w:rsidRPr="003720AF">
        <w:rPr>
          <w:rFonts w:cs="Arial"/>
          <w:color w:val="000000"/>
        </w:rPr>
        <w:t xml:space="preserve">, ESR, </w:t>
      </w:r>
      <w:r w:rsidR="007A07F1" w:rsidRPr="003720AF">
        <w:rPr>
          <w:rFonts w:cs="Arial"/>
          <w:color w:val="000000"/>
        </w:rPr>
        <w:t xml:space="preserve">2016, personal communication). </w:t>
      </w:r>
      <w:r w:rsidR="00675146" w:rsidRPr="003720AF">
        <w:rPr>
          <w:rFonts w:cs="Arial"/>
          <w:color w:val="000000"/>
        </w:rPr>
        <w:t>Pseudoephedrine, melamine</w:t>
      </w:r>
      <w:r w:rsidRPr="003720AF">
        <w:rPr>
          <w:rFonts w:cs="Arial"/>
          <w:color w:val="000000"/>
        </w:rPr>
        <w:t xml:space="preserve"> and </w:t>
      </w:r>
      <w:r w:rsidR="009F0267" w:rsidRPr="003720AF">
        <w:rPr>
          <w:rFonts w:cs="Arial"/>
          <w:color w:val="000000"/>
        </w:rPr>
        <w:t>phenyl-2-propanone (</w:t>
      </w:r>
      <w:r w:rsidR="00675146" w:rsidRPr="003720AF">
        <w:rPr>
          <w:rFonts w:cs="Arial"/>
          <w:color w:val="000000"/>
        </w:rPr>
        <w:t xml:space="preserve">phenyl-acetone, </w:t>
      </w:r>
      <w:r w:rsidRPr="003720AF">
        <w:rPr>
          <w:rFonts w:cs="Arial"/>
          <w:color w:val="000000"/>
        </w:rPr>
        <w:t>P2P</w:t>
      </w:r>
      <w:r w:rsidR="009F0267" w:rsidRPr="003720AF">
        <w:rPr>
          <w:rFonts w:cs="Arial"/>
          <w:color w:val="000000"/>
        </w:rPr>
        <w:t>)</w:t>
      </w:r>
      <w:r w:rsidRPr="003720AF">
        <w:rPr>
          <w:rFonts w:cs="Arial"/>
          <w:color w:val="000000"/>
        </w:rPr>
        <w:t xml:space="preserve"> are all organic chemicals involved in the production of MA, and may</w:t>
      </w:r>
      <w:r w:rsidR="007A07F1" w:rsidRPr="003720AF">
        <w:rPr>
          <w:rFonts w:cs="Arial"/>
          <w:color w:val="000000"/>
        </w:rPr>
        <w:t xml:space="preserve"> be present in a post-remediation house. </w:t>
      </w:r>
      <w:r w:rsidRPr="003720AF">
        <w:rPr>
          <w:rFonts w:cs="Arial"/>
          <w:color w:val="000000"/>
        </w:rPr>
        <w:t>S</w:t>
      </w:r>
      <w:r w:rsidR="006A7725" w:rsidRPr="003720AF">
        <w:rPr>
          <w:rFonts w:cs="Arial"/>
          <w:color w:val="000000"/>
        </w:rPr>
        <w:t>urface concentrations for clean</w:t>
      </w:r>
      <w:r w:rsidRPr="003720AF">
        <w:rPr>
          <w:rFonts w:cs="Arial"/>
          <w:color w:val="000000"/>
        </w:rPr>
        <w:t>up from Australia and New Zealand Guidance documents are shown in Table 4.</w:t>
      </w:r>
    </w:p>
    <w:p w14:paraId="0A943B74" w14:textId="38E7F07C" w:rsidR="00811CB2" w:rsidRPr="003720AF" w:rsidRDefault="00DE7980" w:rsidP="00DE7980">
      <w:pPr>
        <w:pStyle w:val="Caption"/>
        <w:tabs>
          <w:tab w:val="left" w:pos="993"/>
        </w:tabs>
        <w:ind w:left="993" w:hanging="993"/>
      </w:pPr>
      <w:bookmarkStart w:id="18" w:name="_Toc463799354"/>
      <w:r w:rsidRPr="003720AF">
        <w:t xml:space="preserve">Table </w:t>
      </w:r>
      <w:fldSimple w:instr=" SEQ Table \* ARABIC ">
        <w:r w:rsidR="00F6014F">
          <w:rPr>
            <w:noProof/>
          </w:rPr>
          <w:t>4</w:t>
        </w:r>
      </w:fldSimple>
      <w:r w:rsidR="00811CB2" w:rsidRPr="003720AF">
        <w:t>:</w:t>
      </w:r>
      <w:r w:rsidR="00811CB2" w:rsidRPr="003720AF">
        <w:tab/>
      </w:r>
      <w:r w:rsidR="00205733" w:rsidRPr="003720AF">
        <w:t>Chemical residues that may be found in former clan labs and New Zealand or Australian guideline s</w:t>
      </w:r>
      <w:r w:rsidR="007A07F1" w:rsidRPr="003720AF">
        <w:t>urface concentrations for clean</w:t>
      </w:r>
      <w:r w:rsidR="00205733" w:rsidRPr="003720AF">
        <w:t>up.</w:t>
      </w:r>
      <w:bookmarkEnd w:id="18"/>
    </w:p>
    <w:tbl>
      <w:tblPr>
        <w:tblStyle w:val="LightShading"/>
        <w:tblW w:w="0" w:type="auto"/>
        <w:tblLook w:val="04A0" w:firstRow="1" w:lastRow="0" w:firstColumn="1" w:lastColumn="0" w:noHBand="0" w:noVBand="1"/>
      </w:tblPr>
      <w:tblGrid>
        <w:gridCol w:w="2952"/>
        <w:gridCol w:w="2952"/>
        <w:gridCol w:w="2952"/>
      </w:tblGrid>
      <w:tr w:rsidR="00811CB2" w:rsidRPr="003720AF" w14:paraId="2AB2E88D" w14:textId="77777777" w:rsidTr="00CF7F4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952" w:type="dxa"/>
          </w:tcPr>
          <w:p w14:paraId="73B992B3" w14:textId="77777777" w:rsidR="00811CB2" w:rsidRPr="003720AF" w:rsidRDefault="00811CB2" w:rsidP="00CF7F41">
            <w:pPr>
              <w:spacing w:before="40" w:after="40"/>
              <w:jc w:val="both"/>
              <w:rPr>
                <w:rFonts w:cs="Arial"/>
                <w:lang w:val="en-NZ"/>
              </w:rPr>
            </w:pPr>
            <w:r w:rsidRPr="003720AF">
              <w:rPr>
                <w:rFonts w:cs="Arial"/>
                <w:lang w:val="en-NZ"/>
              </w:rPr>
              <w:t>Chemical</w:t>
            </w:r>
          </w:p>
        </w:tc>
        <w:tc>
          <w:tcPr>
            <w:tcW w:w="2952" w:type="dxa"/>
          </w:tcPr>
          <w:p w14:paraId="0E42D9E7" w14:textId="77777777" w:rsidR="00CF7F41" w:rsidRPr="003720AF" w:rsidRDefault="00811CB2" w:rsidP="00CF7F41">
            <w:pPr>
              <w:spacing w:before="40" w:after="40"/>
              <w:jc w:val="center"/>
              <w:cnfStyle w:val="100000000000" w:firstRow="1" w:lastRow="0" w:firstColumn="0" w:lastColumn="0" w:oddVBand="0" w:evenVBand="0" w:oddHBand="0" w:evenHBand="0" w:firstRowFirstColumn="0" w:firstRowLastColumn="0" w:lastRowFirstColumn="0" w:lastRowLastColumn="0"/>
              <w:rPr>
                <w:rFonts w:cs="Arial"/>
                <w:lang w:val="en-NZ"/>
              </w:rPr>
            </w:pPr>
            <w:r w:rsidRPr="003720AF">
              <w:rPr>
                <w:rFonts w:cs="Arial"/>
                <w:lang w:val="en-NZ"/>
              </w:rPr>
              <w:t>New Zealand*</w:t>
            </w:r>
          </w:p>
          <w:p w14:paraId="313DDAC2" w14:textId="7309D91F" w:rsidR="00811CB2" w:rsidRPr="003720AF" w:rsidRDefault="00811CB2" w:rsidP="00CF7F41">
            <w:pPr>
              <w:spacing w:before="40" w:after="40"/>
              <w:jc w:val="center"/>
              <w:cnfStyle w:val="100000000000" w:firstRow="1" w:lastRow="0" w:firstColumn="0" w:lastColumn="0" w:oddVBand="0" w:evenVBand="0" w:oddHBand="0" w:evenHBand="0" w:firstRowFirstColumn="0" w:firstRowLastColumn="0" w:lastRowFirstColumn="0" w:lastRowLastColumn="0"/>
              <w:rPr>
                <w:rFonts w:cs="Arial"/>
                <w:lang w:val="en-NZ"/>
              </w:rPr>
            </w:pPr>
            <w:r w:rsidRPr="003720AF">
              <w:rPr>
                <w:rFonts w:cs="Arial"/>
                <w:lang w:val="en-NZ"/>
              </w:rPr>
              <w:t>Guidance (</w:t>
            </w:r>
            <w:r w:rsidRPr="003720AF">
              <w:rPr>
                <w:rFonts w:cs="Lucida Grande"/>
                <w:color w:val="000000"/>
                <w:lang w:val="en-NZ"/>
              </w:rPr>
              <w:t>μ</w:t>
            </w:r>
            <w:r w:rsidRPr="003720AF">
              <w:rPr>
                <w:rFonts w:cs="Arial"/>
                <w:lang w:val="en-NZ"/>
              </w:rPr>
              <w:t>g/100 cm</w:t>
            </w:r>
            <w:r w:rsidRPr="003720AF">
              <w:rPr>
                <w:rFonts w:cs="Arial"/>
                <w:vertAlign w:val="superscript"/>
                <w:lang w:val="en-NZ"/>
              </w:rPr>
              <w:t>2</w:t>
            </w:r>
            <w:r w:rsidRPr="003720AF">
              <w:rPr>
                <w:rFonts w:cs="Arial"/>
                <w:lang w:val="en-NZ"/>
              </w:rPr>
              <w:t>)</w:t>
            </w:r>
          </w:p>
        </w:tc>
        <w:tc>
          <w:tcPr>
            <w:tcW w:w="2952" w:type="dxa"/>
          </w:tcPr>
          <w:p w14:paraId="427FC2C6" w14:textId="77777777" w:rsidR="00CF7F41" w:rsidRPr="003720AF" w:rsidRDefault="00CF7F41" w:rsidP="00CF7F41">
            <w:pPr>
              <w:spacing w:before="40" w:after="40"/>
              <w:jc w:val="center"/>
              <w:cnfStyle w:val="100000000000" w:firstRow="1" w:lastRow="0" w:firstColumn="0" w:lastColumn="0" w:oddVBand="0" w:evenVBand="0" w:oddHBand="0" w:evenHBand="0" w:firstRowFirstColumn="0" w:firstRowLastColumn="0" w:lastRowFirstColumn="0" w:lastRowLastColumn="0"/>
              <w:rPr>
                <w:rFonts w:cs="Arial"/>
                <w:lang w:val="en-NZ"/>
              </w:rPr>
            </w:pPr>
            <w:r w:rsidRPr="003720AF">
              <w:rPr>
                <w:rFonts w:cs="Arial"/>
                <w:lang w:val="en-NZ"/>
              </w:rPr>
              <w:t>Australia</w:t>
            </w:r>
            <w:r w:rsidR="00811CB2" w:rsidRPr="003720AF">
              <w:rPr>
                <w:rFonts w:cs="Arial"/>
                <w:lang w:val="en-NZ"/>
              </w:rPr>
              <w:t>**</w:t>
            </w:r>
          </w:p>
          <w:p w14:paraId="2CFE1686" w14:textId="11C404A5" w:rsidR="00811CB2" w:rsidRPr="003720AF" w:rsidRDefault="00811CB2" w:rsidP="00CF7F41">
            <w:pPr>
              <w:spacing w:before="40" w:after="40"/>
              <w:jc w:val="center"/>
              <w:cnfStyle w:val="100000000000" w:firstRow="1" w:lastRow="0" w:firstColumn="0" w:lastColumn="0" w:oddVBand="0" w:evenVBand="0" w:oddHBand="0" w:evenHBand="0" w:firstRowFirstColumn="0" w:firstRowLastColumn="0" w:lastRowFirstColumn="0" w:lastRowLastColumn="0"/>
              <w:rPr>
                <w:rFonts w:cs="Arial"/>
                <w:lang w:val="en-NZ"/>
              </w:rPr>
            </w:pPr>
            <w:r w:rsidRPr="003720AF">
              <w:rPr>
                <w:rFonts w:cs="Arial"/>
                <w:lang w:val="en-NZ"/>
              </w:rPr>
              <w:t>Guidance (</w:t>
            </w:r>
            <w:r w:rsidRPr="003720AF">
              <w:rPr>
                <w:rFonts w:cs="Lucida Grande"/>
                <w:color w:val="000000"/>
                <w:lang w:val="en-NZ"/>
              </w:rPr>
              <w:t>μ</w:t>
            </w:r>
            <w:r w:rsidRPr="003720AF">
              <w:rPr>
                <w:rFonts w:cs="Arial"/>
                <w:lang w:val="en-NZ"/>
              </w:rPr>
              <w:t>g/100 cm</w:t>
            </w:r>
            <w:r w:rsidRPr="003720AF">
              <w:rPr>
                <w:rFonts w:cs="Arial"/>
                <w:vertAlign w:val="superscript"/>
                <w:lang w:val="en-NZ"/>
              </w:rPr>
              <w:t>2</w:t>
            </w:r>
            <w:r w:rsidRPr="003720AF">
              <w:rPr>
                <w:rFonts w:cs="Arial"/>
                <w:lang w:val="en-NZ"/>
              </w:rPr>
              <w:t>)</w:t>
            </w:r>
          </w:p>
        </w:tc>
      </w:tr>
      <w:tr w:rsidR="00811CB2" w:rsidRPr="003720AF" w14:paraId="656453B9"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2C9022D8" w14:textId="77777777" w:rsidR="00811CB2" w:rsidRPr="003720AF" w:rsidRDefault="00811CB2" w:rsidP="00CF7F41">
            <w:pPr>
              <w:spacing w:before="40" w:after="40"/>
              <w:jc w:val="both"/>
              <w:rPr>
                <w:rFonts w:cs="Arial"/>
                <w:lang w:val="en-NZ"/>
              </w:rPr>
            </w:pPr>
            <w:r w:rsidRPr="003720AF">
              <w:rPr>
                <w:rFonts w:cs="Arial"/>
                <w:lang w:val="en-NZ"/>
              </w:rPr>
              <w:t>Methamphetamine</w:t>
            </w:r>
          </w:p>
        </w:tc>
        <w:tc>
          <w:tcPr>
            <w:tcW w:w="2952" w:type="dxa"/>
          </w:tcPr>
          <w:p w14:paraId="30958619"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0.5</w:t>
            </w:r>
          </w:p>
        </w:tc>
        <w:tc>
          <w:tcPr>
            <w:tcW w:w="2952" w:type="dxa"/>
          </w:tcPr>
          <w:p w14:paraId="73462773"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0.5</w:t>
            </w:r>
          </w:p>
        </w:tc>
      </w:tr>
      <w:tr w:rsidR="00811CB2" w:rsidRPr="003720AF" w14:paraId="10BBC931"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54ECBE3E" w14:textId="77777777" w:rsidR="00811CB2" w:rsidRPr="003720AF" w:rsidRDefault="00811CB2" w:rsidP="00CF7F41">
            <w:pPr>
              <w:spacing w:before="40" w:after="40"/>
              <w:jc w:val="both"/>
              <w:rPr>
                <w:rFonts w:cs="Arial"/>
                <w:lang w:val="en-NZ"/>
              </w:rPr>
            </w:pPr>
            <w:r w:rsidRPr="003720AF">
              <w:rPr>
                <w:rFonts w:cs="Arial"/>
                <w:lang w:val="en-NZ"/>
              </w:rPr>
              <w:t>Other amphetamines</w:t>
            </w:r>
          </w:p>
        </w:tc>
        <w:tc>
          <w:tcPr>
            <w:tcW w:w="2952" w:type="dxa"/>
          </w:tcPr>
          <w:p w14:paraId="194B28CB"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7368A62C"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1.0</w:t>
            </w:r>
          </w:p>
        </w:tc>
      </w:tr>
      <w:tr w:rsidR="00811CB2" w:rsidRPr="003720AF" w14:paraId="3C32F816"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0F222329" w14:textId="77777777" w:rsidR="00811CB2" w:rsidRPr="003720AF" w:rsidRDefault="00811CB2" w:rsidP="00CF7F41">
            <w:pPr>
              <w:spacing w:before="40" w:after="40"/>
              <w:jc w:val="both"/>
              <w:rPr>
                <w:rFonts w:cs="Arial"/>
                <w:lang w:val="en-NZ"/>
              </w:rPr>
            </w:pPr>
            <w:r w:rsidRPr="003720AF">
              <w:rPr>
                <w:rFonts w:cs="Arial"/>
                <w:lang w:val="en-NZ"/>
              </w:rPr>
              <w:t>MDMA</w:t>
            </w:r>
          </w:p>
        </w:tc>
        <w:tc>
          <w:tcPr>
            <w:tcW w:w="2952" w:type="dxa"/>
          </w:tcPr>
          <w:p w14:paraId="2BABA4E0"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72E0FC10"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7</w:t>
            </w:r>
          </w:p>
        </w:tc>
      </w:tr>
      <w:tr w:rsidR="00811CB2" w:rsidRPr="003720AF" w14:paraId="00AFA4DB"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0A642AA7" w14:textId="77777777" w:rsidR="00811CB2" w:rsidRPr="003720AF" w:rsidRDefault="00811CB2" w:rsidP="00CF7F41">
            <w:pPr>
              <w:spacing w:before="40" w:after="40"/>
              <w:jc w:val="both"/>
              <w:rPr>
                <w:rFonts w:cs="Arial"/>
                <w:lang w:val="en-NZ"/>
              </w:rPr>
            </w:pPr>
            <w:r w:rsidRPr="003720AF">
              <w:rPr>
                <w:rFonts w:cs="Arial"/>
                <w:lang w:val="en-NZ"/>
              </w:rPr>
              <w:t>Pseudoephedrine</w:t>
            </w:r>
          </w:p>
        </w:tc>
        <w:tc>
          <w:tcPr>
            <w:tcW w:w="2952" w:type="dxa"/>
          </w:tcPr>
          <w:p w14:paraId="3FC50729"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04B0761B"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600</w:t>
            </w:r>
          </w:p>
        </w:tc>
      </w:tr>
      <w:tr w:rsidR="00811CB2" w:rsidRPr="003720AF" w14:paraId="1CCBBAA6"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6D541E21" w14:textId="77777777" w:rsidR="00811CB2" w:rsidRPr="003720AF" w:rsidRDefault="00811CB2" w:rsidP="00CF7F41">
            <w:pPr>
              <w:spacing w:before="40" w:after="40"/>
              <w:jc w:val="both"/>
              <w:rPr>
                <w:rFonts w:cs="Arial"/>
                <w:lang w:val="en-NZ"/>
              </w:rPr>
            </w:pPr>
            <w:r w:rsidRPr="003720AF">
              <w:rPr>
                <w:rFonts w:cs="Arial"/>
                <w:lang w:val="en-NZ"/>
              </w:rPr>
              <w:t>Trans-phenylpropene  (TPP)</w:t>
            </w:r>
          </w:p>
        </w:tc>
        <w:tc>
          <w:tcPr>
            <w:tcW w:w="2952" w:type="dxa"/>
          </w:tcPr>
          <w:p w14:paraId="4F14B726"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68C3060B"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r>
      <w:tr w:rsidR="00811CB2" w:rsidRPr="003720AF" w14:paraId="38BE3082"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4EC4464C" w14:textId="77777777" w:rsidR="00811CB2" w:rsidRPr="003720AF" w:rsidRDefault="00811CB2" w:rsidP="00CF7F41">
            <w:pPr>
              <w:spacing w:before="40" w:after="40"/>
              <w:jc w:val="both"/>
              <w:rPr>
                <w:rFonts w:cs="Arial"/>
                <w:lang w:val="en-NZ"/>
              </w:rPr>
            </w:pPr>
            <w:r w:rsidRPr="003720AF">
              <w:rPr>
                <w:rFonts w:cs="Arial"/>
                <w:lang w:val="en-NZ"/>
              </w:rPr>
              <w:t>Phenyl-2-propanone (P2P)</w:t>
            </w:r>
          </w:p>
        </w:tc>
        <w:tc>
          <w:tcPr>
            <w:tcW w:w="2952" w:type="dxa"/>
          </w:tcPr>
          <w:p w14:paraId="5AC9C333"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09526375"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r>
      <w:tr w:rsidR="00811CB2" w:rsidRPr="003720AF" w14:paraId="04432771"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7357BD1F" w14:textId="77777777" w:rsidR="00811CB2" w:rsidRPr="003720AF" w:rsidRDefault="00811CB2" w:rsidP="00CF7F41">
            <w:pPr>
              <w:spacing w:before="40" w:after="40"/>
              <w:jc w:val="both"/>
              <w:rPr>
                <w:rFonts w:cs="Arial"/>
                <w:lang w:val="en-NZ"/>
              </w:rPr>
            </w:pPr>
            <w:r w:rsidRPr="003720AF">
              <w:rPr>
                <w:rFonts w:cs="Arial"/>
                <w:lang w:val="en-NZ"/>
              </w:rPr>
              <w:t>Ammonia</w:t>
            </w:r>
          </w:p>
        </w:tc>
        <w:tc>
          <w:tcPr>
            <w:tcW w:w="2952" w:type="dxa"/>
          </w:tcPr>
          <w:p w14:paraId="07FF3C8F"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65C2FBCF"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r>
      <w:tr w:rsidR="00811CB2" w:rsidRPr="003720AF" w14:paraId="12F5FCF4"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1F4CDB77" w14:textId="77777777" w:rsidR="00811CB2" w:rsidRPr="003720AF" w:rsidRDefault="00811CB2" w:rsidP="00CF7F41">
            <w:pPr>
              <w:spacing w:before="40" w:after="40"/>
              <w:jc w:val="both"/>
              <w:rPr>
                <w:rFonts w:cs="Arial"/>
                <w:lang w:val="en-NZ"/>
              </w:rPr>
            </w:pPr>
            <w:r w:rsidRPr="003720AF">
              <w:rPr>
                <w:rFonts w:cs="Arial"/>
                <w:lang w:val="en-NZ"/>
              </w:rPr>
              <w:t>Bromide</w:t>
            </w:r>
          </w:p>
        </w:tc>
        <w:tc>
          <w:tcPr>
            <w:tcW w:w="2952" w:type="dxa"/>
          </w:tcPr>
          <w:p w14:paraId="628C2DA9"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36C08689"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2000</w:t>
            </w:r>
          </w:p>
        </w:tc>
      </w:tr>
      <w:tr w:rsidR="00811CB2" w:rsidRPr="003720AF" w14:paraId="0A8D6D2F"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01F5E58D" w14:textId="77777777" w:rsidR="00811CB2" w:rsidRPr="003720AF" w:rsidRDefault="00811CB2" w:rsidP="00CF7F41">
            <w:pPr>
              <w:spacing w:before="40" w:after="40"/>
              <w:jc w:val="both"/>
              <w:rPr>
                <w:rFonts w:cs="Arial"/>
                <w:lang w:val="en-NZ"/>
              </w:rPr>
            </w:pPr>
            <w:r w:rsidRPr="003720AF">
              <w:rPr>
                <w:rFonts w:cs="Arial"/>
                <w:lang w:val="en-NZ"/>
              </w:rPr>
              <w:t>Mercury</w:t>
            </w:r>
          </w:p>
        </w:tc>
        <w:tc>
          <w:tcPr>
            <w:tcW w:w="2952" w:type="dxa"/>
          </w:tcPr>
          <w:p w14:paraId="5173FB95"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35</w:t>
            </w:r>
          </w:p>
        </w:tc>
        <w:tc>
          <w:tcPr>
            <w:tcW w:w="2952" w:type="dxa"/>
          </w:tcPr>
          <w:p w14:paraId="69876729"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35</w:t>
            </w:r>
          </w:p>
        </w:tc>
      </w:tr>
      <w:tr w:rsidR="00811CB2" w:rsidRPr="003720AF" w14:paraId="09BBD808"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6EA25D04" w14:textId="77777777" w:rsidR="00811CB2" w:rsidRPr="003720AF" w:rsidRDefault="00811CB2" w:rsidP="00CF7F41">
            <w:pPr>
              <w:spacing w:before="40" w:after="40"/>
              <w:jc w:val="both"/>
              <w:rPr>
                <w:rFonts w:cs="Arial"/>
                <w:lang w:val="en-NZ"/>
              </w:rPr>
            </w:pPr>
            <w:r w:rsidRPr="003720AF">
              <w:rPr>
                <w:rFonts w:cs="Arial"/>
                <w:lang w:val="en-NZ"/>
              </w:rPr>
              <w:t>Lead</w:t>
            </w:r>
          </w:p>
        </w:tc>
        <w:tc>
          <w:tcPr>
            <w:tcW w:w="2952" w:type="dxa"/>
          </w:tcPr>
          <w:p w14:paraId="65D76474"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2</w:t>
            </w:r>
          </w:p>
        </w:tc>
        <w:tc>
          <w:tcPr>
            <w:tcW w:w="2952" w:type="dxa"/>
          </w:tcPr>
          <w:p w14:paraId="133595AD" w14:textId="023669A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10**</w:t>
            </w:r>
            <w:r w:rsidR="00716006" w:rsidRPr="003720AF">
              <w:rPr>
                <w:rFonts w:cs="Arial"/>
                <w:lang w:val="en-NZ"/>
              </w:rPr>
              <w:t>*</w:t>
            </w:r>
          </w:p>
        </w:tc>
      </w:tr>
      <w:tr w:rsidR="00811CB2" w:rsidRPr="003720AF" w14:paraId="11A47158"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065B57A4" w14:textId="77777777" w:rsidR="00811CB2" w:rsidRPr="003720AF" w:rsidRDefault="00811CB2" w:rsidP="00CF7F41">
            <w:pPr>
              <w:spacing w:before="40" w:after="40"/>
              <w:jc w:val="both"/>
              <w:rPr>
                <w:rFonts w:cs="Arial"/>
                <w:lang w:val="en-NZ"/>
              </w:rPr>
            </w:pPr>
            <w:r w:rsidRPr="003720AF">
              <w:rPr>
                <w:rFonts w:cs="Arial"/>
                <w:lang w:val="en-NZ"/>
              </w:rPr>
              <w:t>Iodine</w:t>
            </w:r>
          </w:p>
        </w:tc>
        <w:tc>
          <w:tcPr>
            <w:tcW w:w="2952" w:type="dxa"/>
          </w:tcPr>
          <w:p w14:paraId="793DF2E9"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589CC7A9"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22</w:t>
            </w:r>
          </w:p>
        </w:tc>
      </w:tr>
      <w:tr w:rsidR="00811CB2" w:rsidRPr="003720AF" w14:paraId="17B0159C"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6C9CF35D" w14:textId="77777777" w:rsidR="00811CB2" w:rsidRPr="003720AF" w:rsidRDefault="00811CB2" w:rsidP="00CF7F41">
            <w:pPr>
              <w:spacing w:before="40" w:after="40"/>
              <w:jc w:val="both"/>
              <w:rPr>
                <w:rFonts w:cs="Arial"/>
                <w:lang w:val="en-NZ"/>
              </w:rPr>
            </w:pPr>
            <w:r w:rsidRPr="003720AF">
              <w:rPr>
                <w:rFonts w:cs="Arial"/>
                <w:lang w:val="en-NZ"/>
              </w:rPr>
              <w:t>Phosphorous</w:t>
            </w:r>
          </w:p>
        </w:tc>
        <w:tc>
          <w:tcPr>
            <w:tcW w:w="2952" w:type="dxa"/>
          </w:tcPr>
          <w:p w14:paraId="5C31320A"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6659A231"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0.07</w:t>
            </w:r>
          </w:p>
        </w:tc>
      </w:tr>
      <w:tr w:rsidR="00811CB2" w:rsidRPr="003720AF" w14:paraId="63CCAFAA"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5939B30C" w14:textId="77777777" w:rsidR="00811CB2" w:rsidRPr="003720AF" w:rsidRDefault="00811CB2" w:rsidP="00CF7F41">
            <w:pPr>
              <w:spacing w:before="40" w:after="40"/>
              <w:jc w:val="both"/>
              <w:rPr>
                <w:rFonts w:cs="Arial"/>
                <w:lang w:val="en-NZ"/>
              </w:rPr>
            </w:pPr>
            <w:r w:rsidRPr="003720AF">
              <w:rPr>
                <w:rFonts w:cs="Arial"/>
                <w:lang w:val="en-NZ"/>
              </w:rPr>
              <w:t>N-Methylformamide</w:t>
            </w:r>
          </w:p>
        </w:tc>
        <w:tc>
          <w:tcPr>
            <w:tcW w:w="2952" w:type="dxa"/>
          </w:tcPr>
          <w:p w14:paraId="1596C81A"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548740C5"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10</w:t>
            </w:r>
          </w:p>
        </w:tc>
      </w:tr>
      <w:tr w:rsidR="00811CB2" w:rsidRPr="003720AF" w14:paraId="6DDBD9AC"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3E7BEE64" w14:textId="77777777" w:rsidR="00811CB2" w:rsidRPr="003720AF" w:rsidRDefault="00811CB2" w:rsidP="00CF7F41">
            <w:pPr>
              <w:spacing w:before="40" w:after="40"/>
              <w:jc w:val="both"/>
              <w:rPr>
                <w:rFonts w:cs="Arial"/>
                <w:lang w:val="en-NZ"/>
              </w:rPr>
            </w:pPr>
            <w:r w:rsidRPr="003720AF">
              <w:rPr>
                <w:rFonts w:cs="Arial"/>
                <w:lang w:val="en-NZ"/>
              </w:rPr>
              <w:t>Methylamine</w:t>
            </w:r>
          </w:p>
        </w:tc>
        <w:tc>
          <w:tcPr>
            <w:tcW w:w="2952" w:type="dxa"/>
          </w:tcPr>
          <w:p w14:paraId="33753FCE"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341D94A2"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 (v)</w:t>
            </w:r>
          </w:p>
        </w:tc>
      </w:tr>
      <w:tr w:rsidR="00811CB2" w:rsidRPr="003720AF" w14:paraId="7067F8D9"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263A9EFC" w14:textId="77777777" w:rsidR="00811CB2" w:rsidRPr="003720AF" w:rsidRDefault="00811CB2" w:rsidP="00CF7F41">
            <w:pPr>
              <w:spacing w:before="40" w:after="40"/>
              <w:jc w:val="both"/>
              <w:rPr>
                <w:rFonts w:cs="Arial"/>
                <w:lang w:val="en-NZ"/>
              </w:rPr>
            </w:pPr>
            <w:r w:rsidRPr="003720AF">
              <w:rPr>
                <w:rFonts w:cs="Arial"/>
                <w:lang w:val="en-NZ"/>
              </w:rPr>
              <w:t>Nitroethane</w:t>
            </w:r>
          </w:p>
        </w:tc>
        <w:tc>
          <w:tcPr>
            <w:tcW w:w="2952" w:type="dxa"/>
          </w:tcPr>
          <w:p w14:paraId="31F1FAFF"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2B36CD1F"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 (v)</w:t>
            </w:r>
          </w:p>
        </w:tc>
      </w:tr>
      <w:tr w:rsidR="00811CB2" w:rsidRPr="003720AF" w14:paraId="7C90BB9C"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5FC28DD3" w14:textId="77777777" w:rsidR="00811CB2" w:rsidRPr="003720AF" w:rsidRDefault="00811CB2" w:rsidP="00CF7F41">
            <w:pPr>
              <w:spacing w:before="40" w:after="40"/>
              <w:jc w:val="both"/>
              <w:rPr>
                <w:rFonts w:cs="Arial"/>
                <w:lang w:val="en-NZ"/>
              </w:rPr>
            </w:pPr>
            <w:r w:rsidRPr="003720AF">
              <w:rPr>
                <w:rFonts w:cs="Arial"/>
                <w:lang w:val="en-NZ"/>
              </w:rPr>
              <w:t>Boron</w:t>
            </w:r>
          </w:p>
        </w:tc>
        <w:tc>
          <w:tcPr>
            <w:tcW w:w="2952" w:type="dxa"/>
          </w:tcPr>
          <w:p w14:paraId="45C7AE32"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18728623"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1800</w:t>
            </w:r>
          </w:p>
        </w:tc>
      </w:tr>
      <w:tr w:rsidR="00811CB2" w:rsidRPr="003720AF" w14:paraId="336EB6C1"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577A5A23" w14:textId="77777777" w:rsidR="00811CB2" w:rsidRPr="003720AF" w:rsidRDefault="00811CB2" w:rsidP="00CF7F41">
            <w:pPr>
              <w:spacing w:before="40" w:after="40"/>
              <w:jc w:val="both"/>
              <w:rPr>
                <w:rFonts w:cs="Arial"/>
                <w:lang w:val="en-NZ"/>
              </w:rPr>
            </w:pPr>
            <w:r w:rsidRPr="003720AF">
              <w:rPr>
                <w:rFonts w:cs="Arial"/>
                <w:lang w:val="en-NZ"/>
              </w:rPr>
              <w:t>Lithium</w:t>
            </w:r>
          </w:p>
        </w:tc>
        <w:tc>
          <w:tcPr>
            <w:tcW w:w="2952" w:type="dxa"/>
          </w:tcPr>
          <w:p w14:paraId="0BE0E455"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4DA44EC5"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46</w:t>
            </w:r>
          </w:p>
        </w:tc>
      </w:tr>
      <w:tr w:rsidR="00811CB2" w:rsidRPr="003720AF" w14:paraId="4102653F"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3965E620" w14:textId="77777777" w:rsidR="00811CB2" w:rsidRPr="003720AF" w:rsidRDefault="00811CB2" w:rsidP="00CF7F41">
            <w:pPr>
              <w:spacing w:before="40" w:after="40"/>
              <w:jc w:val="both"/>
              <w:rPr>
                <w:rFonts w:cs="Arial"/>
                <w:lang w:val="en-NZ"/>
              </w:rPr>
            </w:pPr>
            <w:r w:rsidRPr="003720AF">
              <w:rPr>
                <w:rFonts w:cs="Arial"/>
                <w:lang w:val="en-NZ"/>
              </w:rPr>
              <w:t>Benzaldehyde</w:t>
            </w:r>
          </w:p>
        </w:tc>
        <w:tc>
          <w:tcPr>
            <w:tcW w:w="2952" w:type="dxa"/>
          </w:tcPr>
          <w:p w14:paraId="153A3591"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7525AA47"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1500</w:t>
            </w:r>
          </w:p>
        </w:tc>
      </w:tr>
      <w:tr w:rsidR="00811CB2" w:rsidRPr="003720AF" w14:paraId="12B71379"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13F2FAAE" w14:textId="77777777" w:rsidR="00811CB2" w:rsidRPr="003720AF" w:rsidRDefault="00811CB2" w:rsidP="00CF7F41">
            <w:pPr>
              <w:spacing w:before="40" w:after="40"/>
              <w:jc w:val="both"/>
              <w:rPr>
                <w:rFonts w:cs="Arial"/>
                <w:lang w:val="en-NZ"/>
              </w:rPr>
            </w:pPr>
            <w:r w:rsidRPr="003720AF">
              <w:rPr>
                <w:rFonts w:cs="Arial"/>
                <w:lang w:val="en-NZ"/>
              </w:rPr>
              <w:t>Phosphine</w:t>
            </w:r>
          </w:p>
        </w:tc>
        <w:tc>
          <w:tcPr>
            <w:tcW w:w="2952" w:type="dxa"/>
          </w:tcPr>
          <w:p w14:paraId="6B87A20D"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4D60B971"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 (v)</w:t>
            </w:r>
          </w:p>
        </w:tc>
      </w:tr>
      <w:tr w:rsidR="00811CB2" w:rsidRPr="003720AF" w14:paraId="0B529C1D"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1472C042" w14:textId="77777777" w:rsidR="00811CB2" w:rsidRPr="003720AF" w:rsidRDefault="00811CB2" w:rsidP="00CF7F41">
            <w:pPr>
              <w:spacing w:before="40" w:after="40"/>
              <w:jc w:val="both"/>
              <w:rPr>
                <w:rFonts w:cs="Arial"/>
                <w:lang w:val="en-NZ"/>
              </w:rPr>
            </w:pPr>
            <w:r w:rsidRPr="003720AF">
              <w:rPr>
                <w:rFonts w:cs="Arial"/>
                <w:lang w:val="en-NZ"/>
              </w:rPr>
              <w:t>Safrole</w:t>
            </w:r>
          </w:p>
        </w:tc>
        <w:tc>
          <w:tcPr>
            <w:tcW w:w="2952" w:type="dxa"/>
          </w:tcPr>
          <w:p w14:paraId="11465967"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52E08B73"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16</w:t>
            </w:r>
          </w:p>
        </w:tc>
      </w:tr>
      <w:tr w:rsidR="00811CB2" w:rsidRPr="003720AF" w14:paraId="62223675"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7B3BB622" w14:textId="77777777" w:rsidR="00811CB2" w:rsidRPr="003720AF" w:rsidRDefault="00811CB2" w:rsidP="00CF7F41">
            <w:pPr>
              <w:spacing w:before="40" w:after="40"/>
              <w:jc w:val="both"/>
              <w:rPr>
                <w:rFonts w:cs="Arial"/>
                <w:lang w:val="en-NZ"/>
              </w:rPr>
            </w:pPr>
            <w:r w:rsidRPr="003720AF">
              <w:rPr>
                <w:rFonts w:cs="Arial"/>
                <w:lang w:val="en-NZ"/>
              </w:rPr>
              <w:lastRenderedPageBreak/>
              <w:t>Chloroform</w:t>
            </w:r>
          </w:p>
        </w:tc>
        <w:tc>
          <w:tcPr>
            <w:tcW w:w="2952" w:type="dxa"/>
          </w:tcPr>
          <w:p w14:paraId="3CC73FFF"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42EEE70A"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 (v)</w:t>
            </w:r>
          </w:p>
        </w:tc>
      </w:tr>
      <w:tr w:rsidR="00811CB2" w:rsidRPr="003720AF" w14:paraId="53FD927B"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55901FD0" w14:textId="77777777" w:rsidR="00811CB2" w:rsidRPr="003720AF" w:rsidRDefault="00811CB2" w:rsidP="00CF7F41">
            <w:pPr>
              <w:spacing w:before="40" w:after="40"/>
              <w:jc w:val="both"/>
              <w:rPr>
                <w:rFonts w:cs="Arial"/>
                <w:lang w:val="en-NZ"/>
              </w:rPr>
            </w:pPr>
            <w:r w:rsidRPr="003720AF">
              <w:rPr>
                <w:rFonts w:cs="Arial"/>
                <w:lang w:val="en-NZ"/>
              </w:rPr>
              <w:t>Dichloromethane</w:t>
            </w:r>
          </w:p>
        </w:tc>
        <w:tc>
          <w:tcPr>
            <w:tcW w:w="2952" w:type="dxa"/>
          </w:tcPr>
          <w:p w14:paraId="15214B54"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3953840C"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 (v)</w:t>
            </w:r>
          </w:p>
        </w:tc>
      </w:tr>
      <w:tr w:rsidR="00811CB2" w:rsidRPr="003720AF" w14:paraId="38931054"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41E95585" w14:textId="77777777" w:rsidR="00811CB2" w:rsidRPr="003720AF" w:rsidRDefault="00811CB2" w:rsidP="00CF7F41">
            <w:pPr>
              <w:spacing w:before="40" w:after="40"/>
              <w:jc w:val="both"/>
              <w:rPr>
                <w:rFonts w:cs="Arial"/>
                <w:lang w:val="en-NZ"/>
              </w:rPr>
            </w:pPr>
            <w:r w:rsidRPr="003720AF">
              <w:rPr>
                <w:rFonts w:cs="Arial"/>
                <w:lang w:val="en-NZ"/>
              </w:rPr>
              <w:t>Benzene</w:t>
            </w:r>
          </w:p>
        </w:tc>
        <w:tc>
          <w:tcPr>
            <w:tcW w:w="2952" w:type="dxa"/>
          </w:tcPr>
          <w:p w14:paraId="2F82AB2E"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42EDD1B6"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 (v)</w:t>
            </w:r>
          </w:p>
        </w:tc>
      </w:tr>
      <w:tr w:rsidR="00811CB2" w:rsidRPr="003720AF" w14:paraId="36041110"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7CE63EDA" w14:textId="77777777" w:rsidR="00811CB2" w:rsidRPr="003720AF" w:rsidRDefault="00811CB2" w:rsidP="00CF7F41">
            <w:pPr>
              <w:spacing w:before="40" w:after="40"/>
              <w:jc w:val="both"/>
              <w:rPr>
                <w:rFonts w:cs="Arial"/>
                <w:lang w:val="en-NZ"/>
              </w:rPr>
            </w:pPr>
            <w:r w:rsidRPr="003720AF">
              <w:rPr>
                <w:rFonts w:cs="Arial"/>
                <w:lang w:val="en-NZ"/>
              </w:rPr>
              <w:t>Toluene</w:t>
            </w:r>
          </w:p>
        </w:tc>
        <w:tc>
          <w:tcPr>
            <w:tcW w:w="2952" w:type="dxa"/>
          </w:tcPr>
          <w:p w14:paraId="28063752"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1184FDAA"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 (v)</w:t>
            </w:r>
          </w:p>
        </w:tc>
      </w:tr>
      <w:tr w:rsidR="00811CB2" w:rsidRPr="003720AF" w14:paraId="1AC28D39"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550F7664" w14:textId="77777777" w:rsidR="00811CB2" w:rsidRPr="003720AF" w:rsidRDefault="00811CB2" w:rsidP="00CF7F41">
            <w:pPr>
              <w:spacing w:before="40" w:after="40"/>
              <w:jc w:val="both"/>
              <w:rPr>
                <w:rFonts w:cs="Arial"/>
                <w:lang w:val="en-NZ"/>
              </w:rPr>
            </w:pPr>
            <w:r w:rsidRPr="003720AF">
              <w:rPr>
                <w:rFonts w:cs="Arial"/>
                <w:lang w:val="en-NZ"/>
              </w:rPr>
              <w:t>Ethylbenzene</w:t>
            </w:r>
          </w:p>
        </w:tc>
        <w:tc>
          <w:tcPr>
            <w:tcW w:w="2952" w:type="dxa"/>
          </w:tcPr>
          <w:p w14:paraId="4D3DC387"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w:t>
            </w:r>
          </w:p>
        </w:tc>
        <w:tc>
          <w:tcPr>
            <w:tcW w:w="2952" w:type="dxa"/>
          </w:tcPr>
          <w:p w14:paraId="5582ECC8"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 (v)</w:t>
            </w:r>
          </w:p>
        </w:tc>
      </w:tr>
      <w:tr w:rsidR="00811CB2" w:rsidRPr="003720AF" w14:paraId="4731702F" w14:textId="77777777" w:rsidTr="00811CB2">
        <w:tc>
          <w:tcPr>
            <w:cnfStyle w:val="001000000000" w:firstRow="0" w:lastRow="0" w:firstColumn="1" w:lastColumn="0" w:oddVBand="0" w:evenVBand="0" w:oddHBand="0" w:evenHBand="0" w:firstRowFirstColumn="0" w:firstRowLastColumn="0" w:lastRowFirstColumn="0" w:lastRowLastColumn="0"/>
            <w:tcW w:w="2952" w:type="dxa"/>
          </w:tcPr>
          <w:p w14:paraId="34B09202" w14:textId="77777777" w:rsidR="00811CB2" w:rsidRPr="003720AF" w:rsidRDefault="00811CB2" w:rsidP="00CF7F41">
            <w:pPr>
              <w:spacing w:before="40" w:after="40"/>
              <w:jc w:val="both"/>
              <w:rPr>
                <w:rFonts w:cs="Arial"/>
                <w:lang w:val="en-NZ"/>
              </w:rPr>
            </w:pPr>
            <w:r w:rsidRPr="003720AF">
              <w:rPr>
                <w:rFonts w:cs="Arial"/>
                <w:lang w:val="en-NZ"/>
              </w:rPr>
              <w:t>Xylene</w:t>
            </w:r>
          </w:p>
        </w:tc>
        <w:tc>
          <w:tcPr>
            <w:tcW w:w="2952" w:type="dxa"/>
          </w:tcPr>
          <w:p w14:paraId="74DE2972"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w:t>
            </w:r>
          </w:p>
        </w:tc>
        <w:tc>
          <w:tcPr>
            <w:tcW w:w="2952" w:type="dxa"/>
          </w:tcPr>
          <w:p w14:paraId="09E8E8A3" w14:textId="77777777" w:rsidR="00811CB2" w:rsidRPr="003720AF" w:rsidRDefault="00811CB2" w:rsidP="00CF7F41">
            <w:pPr>
              <w:spacing w:before="40" w:after="40"/>
              <w:jc w:val="center"/>
              <w:cnfStyle w:val="000000000000" w:firstRow="0" w:lastRow="0" w:firstColumn="0" w:lastColumn="0" w:oddVBand="0" w:evenVBand="0" w:oddHBand="0" w:evenHBand="0" w:firstRowFirstColumn="0" w:firstRowLastColumn="0" w:lastRowFirstColumn="0" w:lastRowLastColumn="0"/>
              <w:rPr>
                <w:rFonts w:cs="Arial"/>
                <w:lang w:val="en-NZ"/>
              </w:rPr>
            </w:pPr>
            <w:r w:rsidRPr="003720AF">
              <w:rPr>
                <w:rFonts w:cs="Arial"/>
                <w:lang w:val="en-NZ"/>
              </w:rPr>
              <w:t>-- (v)</w:t>
            </w:r>
          </w:p>
        </w:tc>
      </w:tr>
      <w:tr w:rsidR="00811CB2" w:rsidRPr="003720AF" w14:paraId="3E3E1F1A"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52" w:type="dxa"/>
          </w:tcPr>
          <w:p w14:paraId="4EA9930A" w14:textId="77777777" w:rsidR="00811CB2" w:rsidRPr="003720AF" w:rsidRDefault="00811CB2" w:rsidP="00CF7F41">
            <w:pPr>
              <w:spacing w:before="40" w:after="40"/>
              <w:jc w:val="both"/>
              <w:rPr>
                <w:rFonts w:cs="Arial"/>
                <w:lang w:val="en-NZ"/>
              </w:rPr>
            </w:pPr>
            <w:r w:rsidRPr="003720AF">
              <w:rPr>
                <w:rFonts w:cs="Arial"/>
                <w:lang w:val="en-NZ"/>
              </w:rPr>
              <w:t>pH</w:t>
            </w:r>
          </w:p>
        </w:tc>
        <w:tc>
          <w:tcPr>
            <w:tcW w:w="2952" w:type="dxa"/>
          </w:tcPr>
          <w:p w14:paraId="5A7AC9E9"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r w:rsidRPr="003720AF">
              <w:rPr>
                <w:rFonts w:cs="Arial"/>
                <w:lang w:val="en-NZ"/>
              </w:rPr>
              <w:t>6 - 8</w:t>
            </w:r>
          </w:p>
        </w:tc>
        <w:tc>
          <w:tcPr>
            <w:tcW w:w="2952" w:type="dxa"/>
          </w:tcPr>
          <w:p w14:paraId="33A0E356" w14:textId="77777777" w:rsidR="00811CB2" w:rsidRPr="003720AF" w:rsidRDefault="00811CB2" w:rsidP="00CF7F41">
            <w:pPr>
              <w:spacing w:before="40" w:after="40"/>
              <w:jc w:val="center"/>
              <w:cnfStyle w:val="000000100000" w:firstRow="0" w:lastRow="0" w:firstColumn="0" w:lastColumn="0" w:oddVBand="0" w:evenVBand="0" w:oddHBand="1" w:evenHBand="0" w:firstRowFirstColumn="0" w:firstRowLastColumn="0" w:lastRowFirstColumn="0" w:lastRowLastColumn="0"/>
              <w:rPr>
                <w:rFonts w:cs="Arial"/>
                <w:lang w:val="en-NZ"/>
              </w:rPr>
            </w:pPr>
          </w:p>
        </w:tc>
      </w:tr>
    </w:tbl>
    <w:p w14:paraId="703BFF82" w14:textId="77777777" w:rsidR="00811CB2" w:rsidRPr="003720AF" w:rsidRDefault="00811CB2" w:rsidP="00811CB2">
      <w:pPr>
        <w:rPr>
          <w:rFonts w:cs="Arial"/>
          <w:sz w:val="20"/>
          <w:szCs w:val="20"/>
        </w:rPr>
      </w:pPr>
      <w:r w:rsidRPr="003720AF">
        <w:rPr>
          <w:rFonts w:cs="Arial"/>
          <w:sz w:val="20"/>
          <w:szCs w:val="20"/>
        </w:rPr>
        <w:t>NA = Not available.  (v) = volatile</w:t>
      </w:r>
    </w:p>
    <w:p w14:paraId="48C620FA" w14:textId="77777777" w:rsidR="00811CB2" w:rsidRPr="003720AF" w:rsidRDefault="00811CB2" w:rsidP="00CF7F41">
      <w:pPr>
        <w:spacing w:after="0"/>
        <w:rPr>
          <w:rFonts w:cs="Arial"/>
          <w:sz w:val="20"/>
          <w:szCs w:val="20"/>
        </w:rPr>
      </w:pPr>
      <w:r w:rsidRPr="003720AF">
        <w:rPr>
          <w:rFonts w:cs="Arial"/>
          <w:sz w:val="20"/>
          <w:szCs w:val="20"/>
        </w:rPr>
        <w:t xml:space="preserve">Sources:  </w:t>
      </w:r>
    </w:p>
    <w:p w14:paraId="73EBEF4F" w14:textId="253BF975" w:rsidR="00811CB2" w:rsidRPr="003720AF" w:rsidRDefault="00CF7F41" w:rsidP="00CF7F41">
      <w:pPr>
        <w:tabs>
          <w:tab w:val="left" w:pos="851"/>
        </w:tabs>
        <w:spacing w:after="0"/>
        <w:ind w:left="426"/>
        <w:rPr>
          <w:rFonts w:cs="Arial"/>
          <w:sz w:val="20"/>
          <w:szCs w:val="20"/>
        </w:rPr>
      </w:pPr>
      <w:r w:rsidRPr="003720AF">
        <w:rPr>
          <w:rFonts w:cs="Arial"/>
          <w:sz w:val="20"/>
          <w:szCs w:val="20"/>
        </w:rPr>
        <w:t>*</w:t>
      </w:r>
      <w:r w:rsidRPr="003720AF">
        <w:rPr>
          <w:rFonts w:cs="Arial"/>
          <w:sz w:val="20"/>
          <w:szCs w:val="20"/>
        </w:rPr>
        <w:tab/>
      </w:r>
      <w:r w:rsidR="00811CB2" w:rsidRPr="003720AF">
        <w:rPr>
          <w:rFonts w:cs="Arial"/>
          <w:sz w:val="20"/>
          <w:szCs w:val="20"/>
        </w:rPr>
        <w:t>MoH 2010</w:t>
      </w:r>
    </w:p>
    <w:p w14:paraId="3D489765" w14:textId="0C960FA9" w:rsidR="00811CB2" w:rsidRPr="003720AF" w:rsidRDefault="00811CB2" w:rsidP="00CF7F41">
      <w:pPr>
        <w:tabs>
          <w:tab w:val="left" w:pos="851"/>
        </w:tabs>
        <w:spacing w:after="0"/>
        <w:ind w:left="426"/>
        <w:rPr>
          <w:rFonts w:cs="Arial"/>
          <w:sz w:val="20"/>
          <w:szCs w:val="20"/>
        </w:rPr>
      </w:pPr>
      <w:r w:rsidRPr="003720AF">
        <w:rPr>
          <w:rFonts w:cs="Arial"/>
          <w:sz w:val="20"/>
          <w:szCs w:val="20"/>
        </w:rPr>
        <w:t>**</w:t>
      </w:r>
      <w:r w:rsidR="00CF7F41" w:rsidRPr="003720AF">
        <w:rPr>
          <w:rFonts w:cs="Arial"/>
          <w:sz w:val="20"/>
          <w:szCs w:val="20"/>
        </w:rPr>
        <w:tab/>
        <w:t>Australian Government 2001.</w:t>
      </w:r>
    </w:p>
    <w:p w14:paraId="24E4D489" w14:textId="73E37F6A" w:rsidR="00811CB2" w:rsidRPr="003720AF" w:rsidRDefault="00CF7F41" w:rsidP="00CF7F41">
      <w:pPr>
        <w:tabs>
          <w:tab w:val="left" w:pos="851"/>
        </w:tabs>
        <w:spacing w:after="0"/>
        <w:ind w:left="426"/>
        <w:rPr>
          <w:rFonts w:cs="Arial"/>
          <w:sz w:val="20"/>
          <w:szCs w:val="20"/>
        </w:rPr>
      </w:pPr>
      <w:r w:rsidRPr="003720AF">
        <w:rPr>
          <w:rFonts w:cs="Arial"/>
          <w:sz w:val="20"/>
          <w:szCs w:val="20"/>
        </w:rPr>
        <w:t>***</w:t>
      </w:r>
      <w:r w:rsidRPr="003720AF">
        <w:rPr>
          <w:rFonts w:cs="Arial"/>
          <w:sz w:val="20"/>
          <w:szCs w:val="20"/>
        </w:rPr>
        <w:tab/>
        <w:t>NSW</w:t>
      </w:r>
      <w:r w:rsidR="00811CB2" w:rsidRPr="003720AF">
        <w:rPr>
          <w:rFonts w:cs="Arial"/>
          <w:sz w:val="20"/>
          <w:szCs w:val="20"/>
        </w:rPr>
        <w:t xml:space="preserve"> 2015</w:t>
      </w:r>
    </w:p>
    <w:p w14:paraId="79BA533F" w14:textId="77777777" w:rsidR="00811CB2" w:rsidRPr="003720AF" w:rsidRDefault="00811CB2" w:rsidP="00811CB2"/>
    <w:p w14:paraId="7C18A306" w14:textId="614425C9" w:rsidR="00811CB2" w:rsidRPr="003720AF" w:rsidRDefault="00205733" w:rsidP="00811CB2">
      <w:pPr>
        <w:spacing w:line="360" w:lineRule="auto"/>
        <w:rPr>
          <w:rFonts w:cs="Arial"/>
          <w:color w:val="000000"/>
        </w:rPr>
      </w:pPr>
      <w:r w:rsidRPr="003720AF">
        <w:rPr>
          <w:rFonts w:cs="Arial"/>
          <w:color w:val="000000"/>
        </w:rPr>
        <w:t>The possible presence of mercury and lead from older production methods presents serious toxicological considerations that would not be adequately accounted for by u</w:t>
      </w:r>
      <w:r w:rsidR="00353D82" w:rsidRPr="003720AF">
        <w:rPr>
          <w:rFonts w:cs="Arial"/>
          <w:color w:val="000000"/>
        </w:rPr>
        <w:t xml:space="preserve">tilizing an MA standard alone. </w:t>
      </w:r>
      <w:r w:rsidRPr="003720AF">
        <w:rPr>
          <w:rFonts w:cs="Arial"/>
          <w:color w:val="000000"/>
        </w:rPr>
        <w:t xml:space="preserve">These and other heavy metals that may be found at a given clan lab scene, should undergo their own separate assessment for safe re-occupation, using airborne (for </w:t>
      </w:r>
      <w:r w:rsidR="00E42A8A" w:rsidRPr="003720AF">
        <w:rPr>
          <w:rFonts w:cs="Arial"/>
          <w:color w:val="000000"/>
        </w:rPr>
        <w:t>mercury</w:t>
      </w:r>
      <w:r w:rsidRPr="003720AF">
        <w:rPr>
          <w:rFonts w:cs="Arial"/>
          <w:color w:val="000000"/>
        </w:rPr>
        <w:t xml:space="preserve">) and surface wipe samples (for </w:t>
      </w:r>
      <w:r w:rsidR="00E42A8A" w:rsidRPr="003720AF">
        <w:rPr>
          <w:rFonts w:cs="Arial"/>
          <w:color w:val="000000"/>
        </w:rPr>
        <w:t>mercury</w:t>
      </w:r>
      <w:r w:rsidRPr="003720AF">
        <w:rPr>
          <w:rFonts w:cs="Arial"/>
          <w:color w:val="000000"/>
        </w:rPr>
        <w:t xml:space="preserve"> and </w:t>
      </w:r>
      <w:r w:rsidR="00E42A8A" w:rsidRPr="003720AF">
        <w:rPr>
          <w:rFonts w:cs="Arial"/>
          <w:color w:val="000000"/>
        </w:rPr>
        <w:t>lead</w:t>
      </w:r>
      <w:r w:rsidRPr="003720AF">
        <w:rPr>
          <w:rFonts w:cs="Arial"/>
          <w:color w:val="000000"/>
        </w:rPr>
        <w:t>). Mercury salts can persist in contaminated houses and become widespread and bioavailable through volatilization as well as th</w:t>
      </w:r>
      <w:r w:rsidR="00353D82" w:rsidRPr="003720AF">
        <w:rPr>
          <w:rFonts w:cs="Arial"/>
          <w:color w:val="000000"/>
        </w:rPr>
        <w:t xml:space="preserve">rough skin contact (Copan et al 2015). </w:t>
      </w:r>
      <w:r w:rsidRPr="003720AF">
        <w:rPr>
          <w:rFonts w:cs="Arial"/>
          <w:color w:val="000000"/>
        </w:rPr>
        <w:t xml:space="preserve">As shown in Table 4, surface standards are reported to exist in New Zealand for these metals, although their basis and review is beyond the scope </w:t>
      </w:r>
      <w:r w:rsidR="00C27EEF" w:rsidRPr="003720AF">
        <w:rPr>
          <w:rFonts w:cs="Arial"/>
          <w:color w:val="000000"/>
        </w:rPr>
        <w:t xml:space="preserve">of </w:t>
      </w:r>
      <w:r w:rsidRPr="003720AF">
        <w:rPr>
          <w:rFonts w:cs="Arial"/>
          <w:color w:val="000000"/>
        </w:rPr>
        <w:t>the current report.</w:t>
      </w:r>
    </w:p>
    <w:p w14:paraId="58332938" w14:textId="3E2AA398" w:rsidR="00205733" w:rsidRPr="003720AF" w:rsidRDefault="00205733" w:rsidP="00205733">
      <w:pPr>
        <w:spacing w:line="360" w:lineRule="auto"/>
        <w:rPr>
          <w:rFonts w:cs="Arial"/>
          <w:color w:val="000000"/>
        </w:rPr>
      </w:pPr>
      <w:r w:rsidRPr="003720AF">
        <w:rPr>
          <w:rFonts w:cs="Arial"/>
          <w:color w:val="000000"/>
        </w:rPr>
        <w:t>To analytically capture each and every chemical residue in a given former clan lab and assess the unique combination in terms of a mixtures toxicity risk assessment would be extremely complex, time consuming and fraught with uncertainties. In the absence of such data, one practical alternative approach to addressing the</w:t>
      </w:r>
      <w:r w:rsidR="00A667E4" w:rsidRPr="003720AF">
        <w:rPr>
          <w:rFonts w:cs="Arial"/>
          <w:color w:val="000000"/>
        </w:rPr>
        <w:t xml:space="preserve"> added potential for toxicity of</w:t>
      </w:r>
      <w:r w:rsidRPr="003720AF">
        <w:rPr>
          <w:rFonts w:cs="Arial"/>
          <w:color w:val="000000"/>
        </w:rPr>
        <w:t xml:space="preserve"> the various chemical residues that may be present in clan labs is to use MA as a sentinel marker, and to then employ a standard strict</w:t>
      </w:r>
      <w:r w:rsidR="00A667E4" w:rsidRPr="003720AF">
        <w:rPr>
          <w:rFonts w:cs="Arial"/>
          <w:color w:val="000000"/>
        </w:rPr>
        <w:t>er</w:t>
      </w:r>
      <w:r w:rsidRPr="003720AF">
        <w:rPr>
          <w:rFonts w:cs="Arial"/>
          <w:color w:val="000000"/>
        </w:rPr>
        <w:t xml:space="preserve"> than if MA alone were present. The Minn</w:t>
      </w:r>
      <w:r w:rsidR="00A667E4" w:rsidRPr="003720AF">
        <w:rPr>
          <w:rFonts w:cs="Arial"/>
          <w:color w:val="000000"/>
        </w:rPr>
        <w:t>esota Department of Health (MDH</w:t>
      </w:r>
      <w:r w:rsidRPr="003720AF">
        <w:rPr>
          <w:rFonts w:cs="Arial"/>
          <w:color w:val="000000"/>
        </w:rPr>
        <w:t xml:space="preserve"> 2013) describes the need to consider MA as a surrogate for the variety of other chemicals in a former laboratory setting as described below: </w:t>
      </w:r>
    </w:p>
    <w:p w14:paraId="3DC135EA" w14:textId="77777777" w:rsidR="00811CB2" w:rsidRPr="003720AF" w:rsidRDefault="00811CB2" w:rsidP="00811CB2">
      <w:pPr>
        <w:autoSpaceDE w:val="0"/>
        <w:autoSpaceDN w:val="0"/>
        <w:adjustRightInd w:val="0"/>
        <w:spacing w:line="360" w:lineRule="auto"/>
        <w:rPr>
          <w:rFonts w:cs="Arial"/>
          <w:color w:val="000000"/>
        </w:rPr>
      </w:pPr>
    </w:p>
    <w:p w14:paraId="383E336A" w14:textId="77777777" w:rsidR="00811CB2" w:rsidRPr="003720AF" w:rsidRDefault="00811CB2" w:rsidP="00811CB2">
      <w:pPr>
        <w:autoSpaceDE w:val="0"/>
        <w:autoSpaceDN w:val="0"/>
        <w:adjustRightInd w:val="0"/>
        <w:spacing w:after="63" w:line="360" w:lineRule="auto"/>
        <w:rPr>
          <w:rFonts w:cs="Arial"/>
          <w:i/>
          <w:color w:val="000000"/>
        </w:rPr>
      </w:pPr>
      <w:r w:rsidRPr="003720AF">
        <w:rPr>
          <w:rFonts w:cs="Arial"/>
          <w:i/>
          <w:color w:val="000000"/>
        </w:rPr>
        <w:t xml:space="preserve">“Other meth lab chemicals are not persistent in the indoor environment and sampling for the purpose of characterizing the extent of contamination would not be productive. For example, volatile organic compounds (VOCs), which are used in most meth labs, dissipate rapidly after the cooking step and under normal ventilation. </w:t>
      </w:r>
    </w:p>
    <w:p w14:paraId="45474871" w14:textId="77777777" w:rsidR="00811CB2" w:rsidRPr="003720AF" w:rsidRDefault="00811CB2" w:rsidP="00811CB2">
      <w:pPr>
        <w:autoSpaceDE w:val="0"/>
        <w:autoSpaceDN w:val="0"/>
        <w:adjustRightInd w:val="0"/>
        <w:spacing w:after="63" w:line="360" w:lineRule="auto"/>
        <w:rPr>
          <w:rFonts w:cs="Arial"/>
          <w:i/>
          <w:color w:val="000000"/>
        </w:rPr>
      </w:pPr>
    </w:p>
    <w:p w14:paraId="5AB2F635" w14:textId="77777777" w:rsidR="00811CB2" w:rsidRPr="003720AF" w:rsidRDefault="00811CB2" w:rsidP="00811CB2">
      <w:pPr>
        <w:autoSpaceDE w:val="0"/>
        <w:autoSpaceDN w:val="0"/>
        <w:adjustRightInd w:val="0"/>
        <w:spacing w:line="360" w:lineRule="auto"/>
        <w:rPr>
          <w:rFonts w:cs="Arial"/>
          <w:i/>
          <w:color w:val="000000"/>
        </w:rPr>
      </w:pPr>
      <w:r w:rsidRPr="003720AF">
        <w:rPr>
          <w:rFonts w:cs="Arial"/>
          <w:i/>
          <w:color w:val="000000"/>
        </w:rPr>
        <w:t>Relatively few samples for meth are needed to provide a reasonable estimate of the overall contamination of a structure because meth becomes airborne and disperses throughout the structure in a widespread and contiguous pattern. Some meth lab chemicals, such as reagents (acids, bases, and solvents) used to drive the chemical reactions are not evenly dispersed in a building but are found in small, discrete 'puddles' in several areas of the property and may be easy to miss in cursory sampling.”</w:t>
      </w:r>
    </w:p>
    <w:p w14:paraId="1E9C4352" w14:textId="2FC94C9C" w:rsidR="00205733" w:rsidRPr="003720AF" w:rsidRDefault="00205733" w:rsidP="00205733">
      <w:pPr>
        <w:autoSpaceDE w:val="0"/>
        <w:autoSpaceDN w:val="0"/>
        <w:adjustRightInd w:val="0"/>
        <w:spacing w:line="360" w:lineRule="auto"/>
        <w:rPr>
          <w:rFonts w:cs="TimesNewRomanPS"/>
        </w:rPr>
      </w:pPr>
      <w:r w:rsidRPr="003720AF">
        <w:rPr>
          <w:rFonts w:cs="TimesNewRomanPS"/>
        </w:rPr>
        <w:t>A sentinel marker approach may, therefore be justified</w:t>
      </w:r>
      <w:r w:rsidR="00A667E4" w:rsidRPr="003720AF">
        <w:rPr>
          <w:rFonts w:cs="TimesNewRomanPS"/>
        </w:rPr>
        <w:t xml:space="preserve">. </w:t>
      </w:r>
      <w:r w:rsidRPr="003720AF">
        <w:rPr>
          <w:rFonts w:cs="TimesNewRomanPS"/>
        </w:rPr>
        <w:t>However, it should be recognized that such an approach essentially amounts to an additional margin of safety due to unknowns and uncertainties.</w:t>
      </w:r>
      <w:r w:rsidR="00A667E4" w:rsidRPr="003720AF">
        <w:rPr>
          <w:rFonts w:cs="TimesNewRomanPS"/>
        </w:rPr>
        <w:t xml:space="preserve"> </w:t>
      </w:r>
      <w:r w:rsidRPr="003720AF">
        <w:rPr>
          <w:rFonts w:cs="TimesNewRomanPS"/>
        </w:rPr>
        <w:t xml:space="preserve">The potential or even likely presence of chemicals </w:t>
      </w:r>
      <w:r w:rsidR="00A667E4" w:rsidRPr="003720AF">
        <w:rPr>
          <w:rFonts w:cs="TimesNewRomanPS"/>
        </w:rPr>
        <w:t>listed in</w:t>
      </w:r>
      <w:r w:rsidRPr="003720AF">
        <w:rPr>
          <w:rFonts w:cs="TimesNewRomanPS"/>
        </w:rPr>
        <w:t xml:space="preserve"> Table 4 in a remediated clan lab, invokes a need to consider additional uncertainty and conservative assumptions.</w:t>
      </w:r>
    </w:p>
    <w:p w14:paraId="6BCF6220" w14:textId="2A7C1A64" w:rsidR="00205733" w:rsidRPr="003720AF" w:rsidRDefault="00205733" w:rsidP="00205733">
      <w:pPr>
        <w:autoSpaceDE w:val="0"/>
        <w:autoSpaceDN w:val="0"/>
        <w:adjustRightInd w:val="0"/>
        <w:spacing w:line="360" w:lineRule="auto"/>
        <w:rPr>
          <w:rFonts w:cs="TimesNewRomanPS"/>
        </w:rPr>
      </w:pPr>
      <w:r w:rsidRPr="003720AF">
        <w:rPr>
          <w:rFonts w:cs="TimesNewRomanPS"/>
        </w:rPr>
        <w:t xml:space="preserve">Even though a sentinel marker approach may be justified for practical reasons, it should not replace the need to ensure that highly toxic and persistent materials were not also </w:t>
      </w:r>
      <w:r w:rsidR="00A667E4" w:rsidRPr="003720AF">
        <w:rPr>
          <w:rFonts w:cs="TimesNewRomanPS"/>
        </w:rPr>
        <w:t>present in the former clan lab.</w:t>
      </w:r>
      <w:r w:rsidRPr="003720AF">
        <w:rPr>
          <w:rFonts w:cs="TimesNewRomanPS"/>
        </w:rPr>
        <w:t xml:space="preserve"> In particular, because mercury has been found in at least one clan lab in New Zealand, and because other heavy metals may have been used for unknown reasons and not assessed, it is recommended that a heavy metals screen (notably mercury and lead) be conducted in the house (air and/or wipe samples) independently of the MA residues found.</w:t>
      </w:r>
    </w:p>
    <w:p w14:paraId="0DF44E74" w14:textId="77777777" w:rsidR="00811CB2" w:rsidRPr="003720AF" w:rsidRDefault="00811CB2" w:rsidP="00811CB2">
      <w:pPr>
        <w:spacing w:line="360" w:lineRule="auto"/>
      </w:pPr>
    </w:p>
    <w:p w14:paraId="7072701C" w14:textId="77777777" w:rsidR="00811CB2" w:rsidRPr="003720AF" w:rsidRDefault="00AD1EE9" w:rsidP="00811CB2">
      <w:pPr>
        <w:pStyle w:val="Heading1"/>
      </w:pPr>
      <w:bookmarkStart w:id="19" w:name="_Toc463856035"/>
      <w:r w:rsidRPr="003720AF">
        <w:lastRenderedPageBreak/>
        <w:t>RISK ASSESSMENT</w:t>
      </w:r>
      <w:bookmarkEnd w:id="19"/>
      <w:r w:rsidR="00811CB2" w:rsidRPr="003720AF">
        <w:t xml:space="preserve"> </w:t>
      </w:r>
    </w:p>
    <w:p w14:paraId="7143D64F" w14:textId="77777777" w:rsidR="00811CB2" w:rsidRPr="003720AF" w:rsidRDefault="00811CB2" w:rsidP="00811CB2">
      <w:pPr>
        <w:pStyle w:val="Heading2"/>
        <w:rPr>
          <w:rFonts w:hint="eastAsia"/>
        </w:rPr>
      </w:pPr>
      <w:bookmarkStart w:id="20" w:name="_Toc335228161"/>
      <w:bookmarkStart w:id="21" w:name="_Toc335332104"/>
      <w:bookmarkStart w:id="22" w:name="_Toc463856036"/>
      <w:r w:rsidRPr="003720AF">
        <w:t>Hazard Assessment of MA</w:t>
      </w:r>
      <w:bookmarkEnd w:id="20"/>
      <w:bookmarkEnd w:id="21"/>
      <w:bookmarkEnd w:id="22"/>
    </w:p>
    <w:p w14:paraId="52818384" w14:textId="17C94606" w:rsidR="00205733" w:rsidRPr="003720AF" w:rsidRDefault="00205733" w:rsidP="00205733">
      <w:pPr>
        <w:spacing w:line="360" w:lineRule="auto"/>
        <w:rPr>
          <w:color w:val="000000"/>
        </w:rPr>
      </w:pPr>
      <w:bookmarkStart w:id="23" w:name="_Toc335228162"/>
      <w:bookmarkStart w:id="24" w:name="_Toc335332105"/>
      <w:r w:rsidRPr="003720AF">
        <w:rPr>
          <w:color w:val="000000"/>
        </w:rPr>
        <w:t>A complete review of the toxicology of MA is not provided in this r</w:t>
      </w:r>
      <w:r w:rsidR="000D34CC" w:rsidRPr="003720AF">
        <w:rPr>
          <w:color w:val="000000"/>
        </w:rPr>
        <w:t xml:space="preserve">eport. </w:t>
      </w:r>
      <w:r w:rsidRPr="003720AF">
        <w:rPr>
          <w:color w:val="000000"/>
        </w:rPr>
        <w:t>Some brief discussion is provided below with detail added on critical endpoints re</w:t>
      </w:r>
      <w:r w:rsidR="000D34CC" w:rsidRPr="003720AF">
        <w:rPr>
          <w:color w:val="000000"/>
        </w:rPr>
        <w:t xml:space="preserve">levant to the risk assessment. </w:t>
      </w:r>
      <w:r w:rsidRPr="003720AF">
        <w:rPr>
          <w:color w:val="000000"/>
        </w:rPr>
        <w:t>Comprehensive reviews of MA toxicity are available in the OEHHA 2010, CDPHE 2005, ERS 2009 reports.</w:t>
      </w:r>
    </w:p>
    <w:p w14:paraId="4D9F51AB" w14:textId="77777777" w:rsidR="00811CB2" w:rsidRPr="003720AF" w:rsidRDefault="00811CB2" w:rsidP="00811CB2">
      <w:pPr>
        <w:pStyle w:val="Heading3"/>
      </w:pPr>
      <w:bookmarkStart w:id="25" w:name="_Toc463856037"/>
      <w:r w:rsidRPr="003720AF">
        <w:t>Acute Toxicity</w:t>
      </w:r>
      <w:bookmarkEnd w:id="23"/>
      <w:bookmarkEnd w:id="24"/>
      <w:bookmarkEnd w:id="25"/>
    </w:p>
    <w:p w14:paraId="740CEA7B" w14:textId="48DE7A45" w:rsidR="00205733" w:rsidRPr="003720AF" w:rsidRDefault="00205733" w:rsidP="00205733">
      <w:pPr>
        <w:spacing w:line="360" w:lineRule="auto"/>
      </w:pPr>
      <w:bookmarkStart w:id="26" w:name="_Toc335228163"/>
      <w:bookmarkStart w:id="27" w:name="_Toc335332106"/>
      <w:r w:rsidRPr="003720AF">
        <w:t>Characteristic signs and symptoms of MA toxicity in humans include general sympathomimetic effects such as stimulation of the central nervous system (CNS), dyspnea (shortness of breath or labo</w:t>
      </w:r>
      <w:r w:rsidR="000D34CC" w:rsidRPr="003720AF">
        <w:t>u</w:t>
      </w:r>
      <w:r w:rsidRPr="003720AF">
        <w:t>red breathing), mydriasis (dilation of the pupils), hyperpyrexia (exceptionally high fever), diaphoresis (profuse perspiration) and anorexia (loss of appetite), and cardiovascular effects such as tachycardia (rapid heart rate), palpitations (irregular and/or forceful h</w:t>
      </w:r>
      <w:r w:rsidR="000D34CC" w:rsidRPr="003720AF">
        <w:t xml:space="preserve">eart beats), and hypertension. </w:t>
      </w:r>
      <w:r w:rsidRPr="003720AF">
        <w:t>Higher doses and/or repeated exposure can lead to cardiomyopathy, myocardial infarction, rhabdomyolysis (destruction of skeletal muscle cells), intracerebral bleeding and stroke, seizure and coma (NLM 2016)</w:t>
      </w:r>
      <w:r w:rsidR="000D34CC" w:rsidRPr="003720AF">
        <w:t xml:space="preserve">. </w:t>
      </w:r>
      <w:r w:rsidRPr="003720AF">
        <w:t xml:space="preserve">In a report of 18 cases of MA poisoning in pediatric patients the most common presenting symptom was agitation, and the most common presenting signs were tachycardia, inconsolable irritability and </w:t>
      </w:r>
      <w:r w:rsidR="000D34CC" w:rsidRPr="003720AF">
        <w:t>crying, and protracted vomiting</w:t>
      </w:r>
      <w:r w:rsidR="006C254C" w:rsidRPr="003720AF">
        <w:t xml:space="preserve"> (Kolecki</w:t>
      </w:r>
      <w:r w:rsidRPr="003720AF">
        <w:t xml:space="preserve"> 1998).</w:t>
      </w:r>
    </w:p>
    <w:p w14:paraId="2E8C56F6" w14:textId="77777777" w:rsidR="00811CB2" w:rsidRPr="003720AF" w:rsidRDefault="00811CB2" w:rsidP="00811CB2">
      <w:pPr>
        <w:pStyle w:val="Heading3"/>
      </w:pPr>
      <w:bookmarkStart w:id="28" w:name="_Toc463856038"/>
      <w:r w:rsidRPr="003720AF">
        <w:t>Carcinogenicity/Mutagenicity</w:t>
      </w:r>
      <w:bookmarkEnd w:id="26"/>
      <w:bookmarkEnd w:id="27"/>
      <w:bookmarkEnd w:id="28"/>
    </w:p>
    <w:p w14:paraId="58F0F2F5" w14:textId="77777777" w:rsidR="00811CB2" w:rsidRPr="003720AF" w:rsidRDefault="00811CB2" w:rsidP="00811CB2">
      <w:pPr>
        <w:spacing w:line="360" w:lineRule="auto"/>
      </w:pPr>
      <w:r w:rsidRPr="003720AF">
        <w:t xml:space="preserve">MA is not considered by any authority to have mutagenic or carcinogenic properties (OEHHA 2010).  </w:t>
      </w:r>
    </w:p>
    <w:p w14:paraId="2EA587CF" w14:textId="77777777" w:rsidR="00811CB2" w:rsidRPr="003720AF" w:rsidRDefault="00811CB2" w:rsidP="00811CB2">
      <w:pPr>
        <w:pStyle w:val="Heading3"/>
      </w:pPr>
      <w:bookmarkStart w:id="29" w:name="_Toc335228164"/>
      <w:bookmarkStart w:id="30" w:name="_Toc335332107"/>
      <w:bookmarkStart w:id="31" w:name="_Toc463856039"/>
      <w:r w:rsidRPr="003720AF">
        <w:t>Developmental and Reproductive Toxicity</w:t>
      </w:r>
      <w:bookmarkEnd w:id="29"/>
      <w:bookmarkEnd w:id="30"/>
      <w:bookmarkEnd w:id="31"/>
    </w:p>
    <w:p w14:paraId="1F57CBC5" w14:textId="59DD6F53" w:rsidR="00205733" w:rsidRPr="003720AF" w:rsidRDefault="00205733" w:rsidP="00205733">
      <w:pPr>
        <w:autoSpaceDE w:val="0"/>
        <w:autoSpaceDN w:val="0"/>
        <w:adjustRightInd w:val="0"/>
        <w:spacing w:line="360" w:lineRule="auto"/>
        <w:rPr>
          <w:rFonts w:cs="Times-Roman"/>
        </w:rPr>
      </w:pPr>
      <w:r w:rsidRPr="003720AF">
        <w:rPr>
          <w:rFonts w:cs="Times-Roman"/>
        </w:rPr>
        <w:t>In 2005, the National Toxicology Program (NTP) [A division of the United States National Institute of Environmental Health Sciences; NIEHS] Center for the Evaluation of Risks to Human Reproduction (CERHR) conducted an evaluation of the potential for amphetamines (including MA) to induce adverse effects on reproduct</w:t>
      </w:r>
      <w:r w:rsidR="00E86184" w:rsidRPr="003720AF">
        <w:rPr>
          <w:rFonts w:cs="Times-Roman"/>
        </w:rPr>
        <w:t xml:space="preserve">ion and development in humans. </w:t>
      </w:r>
      <w:r w:rsidRPr="003720AF">
        <w:rPr>
          <w:rFonts w:cs="Times-Roman"/>
        </w:rPr>
        <w:t xml:space="preserve">For MA it was concluded that </w:t>
      </w:r>
      <w:r w:rsidRPr="003720AF">
        <w:rPr>
          <w:rFonts w:cs="Times-Bold"/>
          <w:bCs/>
        </w:rPr>
        <w:t xml:space="preserve">there was some concern for MA-induced adverse </w:t>
      </w:r>
      <w:r w:rsidRPr="003720AF">
        <w:rPr>
          <w:rFonts w:cs="Times-Bold"/>
          <w:bCs/>
          <w:i/>
        </w:rPr>
        <w:t>developmental</w:t>
      </w:r>
      <w:r w:rsidRPr="003720AF">
        <w:rPr>
          <w:rFonts w:cs="Times-Bold"/>
          <w:bCs/>
        </w:rPr>
        <w:t xml:space="preserve"> effects in therapeutic and non-th</w:t>
      </w:r>
      <w:r w:rsidR="00E86184" w:rsidRPr="003720AF">
        <w:rPr>
          <w:rFonts w:cs="Times-Bold"/>
          <w:bCs/>
        </w:rPr>
        <w:t xml:space="preserve">erapeutic settings for humans. </w:t>
      </w:r>
      <w:r w:rsidRPr="003720AF">
        <w:rPr>
          <w:rFonts w:cs="Times-Roman"/>
        </w:rPr>
        <w:t xml:space="preserve">This conclusion was based on evidence from </w:t>
      </w:r>
      <w:r w:rsidR="00775039" w:rsidRPr="003720AF">
        <w:rPr>
          <w:rFonts w:cs="Times-Roman"/>
        </w:rPr>
        <w:t xml:space="preserve">inhalation </w:t>
      </w:r>
      <w:r w:rsidRPr="003720AF">
        <w:rPr>
          <w:rFonts w:cs="Times-Roman"/>
        </w:rPr>
        <w:t>studies in experimental animals that prenatal and postnatal exposures to methamphetamine could produce neurobehavioral alterations, small litter size</w:t>
      </w:r>
      <w:r w:rsidR="00E86184" w:rsidRPr="003720AF">
        <w:rPr>
          <w:rFonts w:cs="Times-Roman"/>
        </w:rPr>
        <w:t xml:space="preserve">, and low birth weight. </w:t>
      </w:r>
      <w:r w:rsidRPr="003720AF">
        <w:rPr>
          <w:rFonts w:cs="Times-Roman"/>
        </w:rPr>
        <w:t>However, t</w:t>
      </w:r>
      <w:r w:rsidRPr="003720AF">
        <w:rPr>
          <w:rFonts w:cs="TimesNewRomanPS"/>
        </w:rPr>
        <w:t>here were no MA developmental toxicity studies in experimental animals completed using the oral route of exposure available for evaluation by the expert panel</w:t>
      </w:r>
      <w:r w:rsidR="00E86184" w:rsidRPr="003720AF">
        <w:rPr>
          <w:rFonts w:cs="TimesNewRomanPS"/>
        </w:rPr>
        <w:t xml:space="preserve">. </w:t>
      </w:r>
      <w:r w:rsidRPr="003720AF">
        <w:rPr>
          <w:rFonts w:cs="TimesNewRomanPS"/>
        </w:rPr>
        <w:t xml:space="preserve">This would be the primary route of exposure </w:t>
      </w:r>
      <w:r w:rsidRPr="003720AF">
        <w:rPr>
          <w:rFonts w:cs="TimesNewRomanPS"/>
        </w:rPr>
        <w:lastRenderedPageBreak/>
        <w:t>for pregnant fem</w:t>
      </w:r>
      <w:r w:rsidR="00E33479" w:rsidRPr="003720AF">
        <w:rPr>
          <w:rFonts w:cs="TimesNewRomanPS"/>
        </w:rPr>
        <w:t xml:space="preserve">ales in a remediated setting. </w:t>
      </w:r>
      <w:r w:rsidRPr="003720AF">
        <w:rPr>
          <w:rFonts w:cs="TimesNewRomanPS"/>
        </w:rPr>
        <w:t xml:space="preserve">There was insufficient hazard and or exposure data in laboratory animals to make a conclusion on </w:t>
      </w:r>
      <w:r w:rsidRPr="003720AF">
        <w:rPr>
          <w:rFonts w:cs="TimesNewRomanPS"/>
          <w:i/>
        </w:rPr>
        <w:t>reproductive</w:t>
      </w:r>
      <w:r w:rsidRPr="003720AF">
        <w:rPr>
          <w:rFonts w:cs="TimesNewRomanPS"/>
        </w:rPr>
        <w:t xml:space="preserve"> effects.</w:t>
      </w:r>
      <w:r w:rsidRPr="003720AF">
        <w:rPr>
          <w:rFonts w:cs="Times-Roman"/>
        </w:rPr>
        <w:t xml:space="preserve">  </w:t>
      </w:r>
    </w:p>
    <w:p w14:paraId="0631078E" w14:textId="1DABB6C0" w:rsidR="00811CB2" w:rsidRPr="003720AF" w:rsidRDefault="00205733" w:rsidP="00811CB2">
      <w:pPr>
        <w:autoSpaceDE w:val="0"/>
        <w:autoSpaceDN w:val="0"/>
        <w:adjustRightInd w:val="0"/>
        <w:spacing w:line="360" w:lineRule="auto"/>
        <w:rPr>
          <w:rFonts w:cs="Times-Roman"/>
        </w:rPr>
      </w:pPr>
      <w:r w:rsidRPr="003720AF">
        <w:rPr>
          <w:rFonts w:cs="Times-Roman"/>
        </w:rPr>
        <w:t>Results from studies in humans suggest that MA may cause low birth weight and shortened gestation, but study confounders</w:t>
      </w:r>
      <w:r w:rsidR="00E33479" w:rsidRPr="003720AF">
        <w:rPr>
          <w:rFonts w:cs="Times-Roman"/>
        </w:rPr>
        <w:t>,</w:t>
      </w:r>
      <w:r w:rsidRPr="003720AF">
        <w:rPr>
          <w:rFonts w:cs="Times-Roman"/>
        </w:rPr>
        <w:t xml:space="preserve"> such as possible multiple drug usage</w:t>
      </w:r>
      <w:r w:rsidR="00E33479" w:rsidRPr="003720AF">
        <w:rPr>
          <w:rFonts w:cs="Times-Roman"/>
        </w:rPr>
        <w:t>,</w:t>
      </w:r>
      <w:r w:rsidRPr="003720AF">
        <w:rPr>
          <w:rFonts w:cs="Times-Roman"/>
        </w:rPr>
        <w:t xml:space="preserve"> </w:t>
      </w:r>
      <w:r w:rsidR="00056A5A" w:rsidRPr="003720AF">
        <w:rPr>
          <w:rFonts w:cs="Times-Roman"/>
        </w:rPr>
        <w:t xml:space="preserve">have </w:t>
      </w:r>
      <w:r w:rsidRPr="003720AF">
        <w:rPr>
          <w:rFonts w:cs="Times-Roman"/>
        </w:rPr>
        <w:t>prevented definitive conclusions (NTP 2005)</w:t>
      </w:r>
      <w:r w:rsidR="00E33479" w:rsidRPr="003720AF">
        <w:rPr>
          <w:rFonts w:cs="Times-Roman"/>
        </w:rPr>
        <w:t xml:space="preserve">. </w:t>
      </w:r>
      <w:r w:rsidRPr="003720AF">
        <w:rPr>
          <w:rFonts w:cs="Times-Roman"/>
        </w:rPr>
        <w:t>Levels of MA utilized under abusive circumstances are very high (50 – 200 mg/day) and exposure routes are of such a manner (inhalation/smoking, insufflation/snorting, and injection) as to rapidly result</w:t>
      </w:r>
      <w:r w:rsidR="00E33479" w:rsidRPr="003720AF">
        <w:rPr>
          <w:rFonts w:cs="Times-Roman"/>
        </w:rPr>
        <w:t xml:space="preserve"> in high blood concentrations. </w:t>
      </w:r>
      <w:r w:rsidRPr="003720AF">
        <w:rPr>
          <w:rFonts w:cs="Times-Roman"/>
        </w:rPr>
        <w:t>The nature of exposure in a remediated setting is vastly different in route (primarily dermal) and the amount and frequency (low and slow) compared to the aforementioned conditions, and as such, the risk to f</w:t>
      </w:r>
      <w:r w:rsidR="00E33479" w:rsidRPr="003720AF">
        <w:rPr>
          <w:rFonts w:cs="Times-Roman"/>
        </w:rPr>
        <w:t>o</w:t>
      </w:r>
      <w:r w:rsidRPr="003720AF">
        <w:rPr>
          <w:rFonts w:cs="Times-Roman"/>
        </w:rPr>
        <w:t>etuses and neonates in such circumstances are likely quit</w:t>
      </w:r>
      <w:r w:rsidR="00E33479" w:rsidRPr="003720AF">
        <w:rPr>
          <w:rFonts w:cs="Times-Roman"/>
        </w:rPr>
        <w:t xml:space="preserve">e different. </w:t>
      </w:r>
      <w:r w:rsidRPr="003720AF">
        <w:rPr>
          <w:rFonts w:cs="Times-Roman"/>
        </w:rPr>
        <w:t>The NTP report concluded that there is insufficient evidence for a conclusion of the effects of MA on reproductive toxicity in humans</w:t>
      </w:r>
      <w:r w:rsidR="00811CB2" w:rsidRPr="003720AF">
        <w:rPr>
          <w:rFonts w:cs="Times-Roman"/>
        </w:rPr>
        <w:t xml:space="preserve">.  </w:t>
      </w:r>
    </w:p>
    <w:p w14:paraId="21FB94E6" w14:textId="5307C1B2" w:rsidR="00205733" w:rsidRPr="003720AF" w:rsidRDefault="00205733" w:rsidP="00205733">
      <w:pPr>
        <w:autoSpaceDE w:val="0"/>
        <w:autoSpaceDN w:val="0"/>
        <w:adjustRightInd w:val="0"/>
        <w:spacing w:line="360" w:lineRule="auto"/>
        <w:rPr>
          <w:rFonts w:eastAsia="Times New Roman" w:cs="Times New Roman"/>
        </w:rPr>
      </w:pPr>
      <w:r w:rsidRPr="003720AF">
        <w:rPr>
          <w:rFonts w:cs="Times-Roman"/>
        </w:rPr>
        <w:t>Overall</w:t>
      </w:r>
      <w:r w:rsidR="00E33479" w:rsidRPr="003720AF">
        <w:rPr>
          <w:rFonts w:cs="Times-Roman"/>
        </w:rPr>
        <w:t>,</w:t>
      </w:r>
      <w:r w:rsidRPr="003720AF">
        <w:rPr>
          <w:rFonts w:cs="Times-Roman"/>
        </w:rPr>
        <w:t xml:space="preserve"> it was noted that the quality of all the studies in both laboratory animals and humans prevented the NTP from making stronger conclusions about MA’s potential to n</w:t>
      </w:r>
      <w:r w:rsidR="00E33479" w:rsidRPr="003720AF">
        <w:rPr>
          <w:rFonts w:cs="Times-Roman"/>
        </w:rPr>
        <w:t xml:space="preserve">egatively impact reproduction. </w:t>
      </w:r>
      <w:r w:rsidRPr="003720AF">
        <w:rPr>
          <w:rFonts w:cs="Times-Roman"/>
        </w:rPr>
        <w:t>The U</w:t>
      </w:r>
      <w:r w:rsidR="00E33479" w:rsidRPr="003720AF">
        <w:rPr>
          <w:rFonts w:cs="Times-Roman"/>
        </w:rPr>
        <w:t>nited States Food and Drug Administ</w:t>
      </w:r>
      <w:r w:rsidR="00AA0962" w:rsidRPr="003720AF">
        <w:rPr>
          <w:rFonts w:cs="Times-Roman"/>
        </w:rPr>
        <w:t>r</w:t>
      </w:r>
      <w:r w:rsidR="00E33479" w:rsidRPr="003720AF">
        <w:rPr>
          <w:rFonts w:cs="Times-Roman"/>
        </w:rPr>
        <w:t>a</w:t>
      </w:r>
      <w:r w:rsidR="00AA0962" w:rsidRPr="003720AF">
        <w:rPr>
          <w:rFonts w:cs="Times-Roman"/>
        </w:rPr>
        <w:t>tion reproductive category for D</w:t>
      </w:r>
      <w:r w:rsidRPr="003720AF">
        <w:rPr>
          <w:rFonts w:cs="Times-Roman"/>
        </w:rPr>
        <w:t>esoxyn</w:t>
      </w:r>
      <w:r w:rsidR="00AA0962" w:rsidRPr="003720AF">
        <w:rPr>
          <w:rFonts w:asciiTheme="minorHAnsi" w:hAnsiTheme="minorHAnsi"/>
        </w:rPr>
        <w:t>®</w:t>
      </w:r>
      <w:r w:rsidRPr="003720AF">
        <w:rPr>
          <w:rFonts w:cs="Times-Roman"/>
        </w:rPr>
        <w:t xml:space="preserve"> </w:t>
      </w:r>
      <w:r w:rsidR="00DF5610" w:rsidRPr="003720AF">
        <w:rPr>
          <w:rFonts w:cs="Times-Roman"/>
        </w:rPr>
        <w:t xml:space="preserve">(therapeutic MA) </w:t>
      </w:r>
      <w:r w:rsidRPr="003720AF">
        <w:rPr>
          <w:rFonts w:cs="Times-Roman"/>
        </w:rPr>
        <w:t xml:space="preserve">is, </w:t>
      </w:r>
      <w:r w:rsidRPr="003720AF">
        <w:t>Category C, which states: “</w:t>
      </w:r>
      <w:r w:rsidRPr="003720AF">
        <w:rPr>
          <w:rFonts w:eastAsia="Times New Roman" w:cs="Times New Roman"/>
        </w:rPr>
        <w:t>Animal reproduction studies have shown an adverse effect on the f</w:t>
      </w:r>
      <w:r w:rsidR="003720AF" w:rsidRPr="003720AF">
        <w:rPr>
          <w:rFonts w:eastAsia="Times New Roman" w:cs="Times New Roman"/>
        </w:rPr>
        <w:t>o</w:t>
      </w:r>
      <w:r w:rsidRPr="003720AF">
        <w:rPr>
          <w:rFonts w:eastAsia="Times New Roman" w:cs="Times New Roman"/>
        </w:rPr>
        <w:t>etus and there are no adequate and well-controlled studies in humans, but potential benefits may warrant use of the drug in pregnant women despite potential risks.” (USFDA 2011).</w:t>
      </w:r>
    </w:p>
    <w:p w14:paraId="4B8C0BE1" w14:textId="053DADAB" w:rsidR="00205733" w:rsidRPr="003720AF" w:rsidRDefault="00205733" w:rsidP="00205733">
      <w:pPr>
        <w:autoSpaceDE w:val="0"/>
        <w:autoSpaceDN w:val="0"/>
        <w:adjustRightInd w:val="0"/>
        <w:spacing w:line="360" w:lineRule="auto"/>
        <w:rPr>
          <w:rFonts w:eastAsia="Times New Roman" w:cs="Times New Roman"/>
        </w:rPr>
      </w:pPr>
      <w:r w:rsidRPr="003720AF">
        <w:rPr>
          <w:rFonts w:eastAsia="Times New Roman" w:cs="Times New Roman"/>
        </w:rPr>
        <w:t>In the years since the NTP review, a number of publications have emerged examining the effects on f</w:t>
      </w:r>
      <w:r w:rsidR="00AF5275" w:rsidRPr="003720AF">
        <w:rPr>
          <w:rFonts w:eastAsia="Times New Roman" w:cs="Times New Roman"/>
        </w:rPr>
        <w:t>o</w:t>
      </w:r>
      <w:r w:rsidRPr="003720AF">
        <w:rPr>
          <w:rFonts w:eastAsia="Times New Roman" w:cs="Times New Roman"/>
        </w:rPr>
        <w:t xml:space="preserve">etal neurodevelopment from exposures </w:t>
      </w:r>
      <w:r w:rsidRPr="003720AF">
        <w:rPr>
          <w:rFonts w:eastAsia="Times New Roman" w:cs="Times New Roman"/>
          <w:i/>
        </w:rPr>
        <w:t>in utero</w:t>
      </w:r>
      <w:r w:rsidR="00AF5275" w:rsidRPr="003720AF">
        <w:rPr>
          <w:rFonts w:eastAsia="Times New Roman" w:cs="Times New Roman"/>
        </w:rPr>
        <w:t xml:space="preserve"> to MA, from drug-using mothers. </w:t>
      </w:r>
      <w:r w:rsidRPr="003720AF">
        <w:rPr>
          <w:rFonts w:eastAsia="Times New Roman" w:cs="Times New Roman"/>
        </w:rPr>
        <w:t>The Infant Development, Environment, and Lifestyle (IDEAL) study, which includes New Zealand children, examined the outcome of child growth and developmental findings from prena</w:t>
      </w:r>
      <w:r w:rsidR="00AF5275" w:rsidRPr="003720AF">
        <w:rPr>
          <w:rFonts w:eastAsia="Times New Roman" w:cs="Times New Roman"/>
        </w:rPr>
        <w:t xml:space="preserve">tal exposure to MA through drug-abusing mothers (Smith et al 2015). </w:t>
      </w:r>
      <w:r w:rsidRPr="003720AF">
        <w:rPr>
          <w:rFonts w:eastAsia="Times New Roman" w:cs="Times New Roman"/>
        </w:rPr>
        <w:t xml:space="preserve">Control children included those exposed to a range of drugs </w:t>
      </w:r>
      <w:r w:rsidRPr="003720AF">
        <w:rPr>
          <w:rFonts w:eastAsia="Times New Roman" w:cs="Times New Roman"/>
          <w:i/>
        </w:rPr>
        <w:t>in utero</w:t>
      </w:r>
      <w:r w:rsidRPr="003720AF">
        <w:rPr>
          <w:rFonts w:eastAsia="Times New Roman" w:cs="Times New Roman"/>
        </w:rPr>
        <w:t xml:space="preserve"> but not MA, and another set of controls included mothers who did not use </w:t>
      </w:r>
      <w:r w:rsidR="00AF5275" w:rsidRPr="003720AF">
        <w:rPr>
          <w:rFonts w:eastAsia="Times New Roman" w:cs="Times New Roman"/>
        </w:rPr>
        <w:t xml:space="preserve">drugs at all (Chakraborty et al 2015). </w:t>
      </w:r>
      <w:r w:rsidRPr="003720AF">
        <w:rPr>
          <w:rFonts w:eastAsia="Times New Roman" w:cs="Times New Roman"/>
        </w:rPr>
        <w:t>Among the findings of the IDEAL study were increased neonatal stress correlating with MA metabolites in the meconium, and neurodevelopmental impairments observe</w:t>
      </w:r>
      <w:r w:rsidR="00AF5275" w:rsidRPr="003720AF">
        <w:rPr>
          <w:rFonts w:eastAsia="Times New Roman" w:cs="Times New Roman"/>
        </w:rPr>
        <w:t xml:space="preserve">d at </w:t>
      </w:r>
      <w:r w:rsidR="00992ED0" w:rsidRPr="003720AF">
        <w:rPr>
          <w:rFonts w:eastAsia="Times New Roman" w:cs="Times New Roman"/>
        </w:rPr>
        <w:t>1</w:t>
      </w:r>
      <w:r w:rsidRPr="003720AF">
        <w:rPr>
          <w:rFonts w:eastAsia="Times New Roman" w:cs="Times New Roman"/>
        </w:rPr>
        <w:t xml:space="preserve"> year and beyond, up to 7.5 years of age at the t</w:t>
      </w:r>
      <w:r w:rsidR="00AF5275" w:rsidRPr="003720AF">
        <w:rPr>
          <w:rFonts w:eastAsia="Times New Roman" w:cs="Times New Roman"/>
        </w:rPr>
        <w:t>ime of this report (Smith et al</w:t>
      </w:r>
      <w:r w:rsidRPr="003720AF">
        <w:rPr>
          <w:rFonts w:eastAsia="Times New Roman" w:cs="Times New Roman"/>
        </w:rPr>
        <w:t xml:space="preserve"> 2015).</w:t>
      </w:r>
    </w:p>
    <w:p w14:paraId="4D09620F" w14:textId="4773A3B3" w:rsidR="00811CB2" w:rsidRPr="003720AF" w:rsidRDefault="00205733" w:rsidP="00811CB2">
      <w:pPr>
        <w:autoSpaceDE w:val="0"/>
        <w:autoSpaceDN w:val="0"/>
        <w:adjustRightInd w:val="0"/>
        <w:spacing w:line="360" w:lineRule="auto"/>
        <w:rPr>
          <w:rFonts w:eastAsia="Times New Roman" w:cs="Times New Roman"/>
        </w:rPr>
      </w:pPr>
      <w:r w:rsidRPr="003720AF">
        <w:rPr>
          <w:rFonts w:eastAsia="Times New Roman" w:cs="Times New Roman"/>
        </w:rPr>
        <w:t>Derauf and colleagues, also using the IDEAL cohort, reported effects on poorer self-control in school age children born from heavy MA user mothers (Derauf et a</w:t>
      </w:r>
      <w:r w:rsidR="00B05869" w:rsidRPr="003720AF">
        <w:rPr>
          <w:rFonts w:eastAsia="Times New Roman" w:cs="Times New Roman"/>
        </w:rPr>
        <w:t>l</w:t>
      </w:r>
      <w:r w:rsidR="00AF5275" w:rsidRPr="003720AF">
        <w:rPr>
          <w:rFonts w:eastAsia="Times New Roman" w:cs="Times New Roman"/>
        </w:rPr>
        <w:t xml:space="preserve"> 2012).</w:t>
      </w:r>
      <w:r w:rsidRPr="003720AF">
        <w:rPr>
          <w:rFonts w:eastAsia="Times New Roman" w:cs="Times New Roman"/>
        </w:rPr>
        <w:t xml:space="preserve"> Similar effects on early adverse events and aggressive behavio</w:t>
      </w:r>
      <w:r w:rsidR="00AF5275" w:rsidRPr="003720AF">
        <w:rPr>
          <w:rFonts w:eastAsia="Times New Roman" w:cs="Times New Roman"/>
        </w:rPr>
        <w:t>u</w:t>
      </w:r>
      <w:r w:rsidRPr="003720AF">
        <w:rPr>
          <w:rFonts w:eastAsia="Times New Roman" w:cs="Times New Roman"/>
        </w:rPr>
        <w:t>r were also found in prenatally MA-exposed children in a 7.5-year fol</w:t>
      </w:r>
      <w:r w:rsidR="00AF5275" w:rsidRPr="003720AF">
        <w:rPr>
          <w:rFonts w:eastAsia="Times New Roman" w:cs="Times New Roman"/>
        </w:rPr>
        <w:t>low up to this study (Eze et al</w:t>
      </w:r>
      <w:r w:rsidRPr="003720AF">
        <w:rPr>
          <w:rFonts w:eastAsia="Times New Roman" w:cs="Times New Roman"/>
        </w:rPr>
        <w:t xml:space="preserve"> 2016).</w:t>
      </w:r>
    </w:p>
    <w:p w14:paraId="7C03C4D1" w14:textId="17D7183A" w:rsidR="00205733" w:rsidRPr="003720AF" w:rsidRDefault="00205733" w:rsidP="00205733">
      <w:pPr>
        <w:autoSpaceDE w:val="0"/>
        <w:autoSpaceDN w:val="0"/>
        <w:adjustRightInd w:val="0"/>
        <w:spacing w:line="360" w:lineRule="auto"/>
        <w:rPr>
          <w:rFonts w:eastAsia="Times New Roman" w:cs="Times New Roman"/>
        </w:rPr>
      </w:pPr>
      <w:r w:rsidRPr="003720AF">
        <w:rPr>
          <w:color w:val="000000"/>
        </w:rPr>
        <w:lastRenderedPageBreak/>
        <w:t>Methamphetamine can readily cross the placenta, resulting in intrauterine exposure of f</w:t>
      </w:r>
      <w:r w:rsidR="00AF5275" w:rsidRPr="003720AF">
        <w:rPr>
          <w:color w:val="000000"/>
        </w:rPr>
        <w:t>o</w:t>
      </w:r>
      <w:r w:rsidRPr="003720AF">
        <w:rPr>
          <w:color w:val="000000"/>
        </w:rPr>
        <w:t>etuses (</w:t>
      </w:r>
      <w:r w:rsidR="00AD2F45" w:rsidRPr="003720AF">
        <w:rPr>
          <w:color w:val="000000"/>
        </w:rPr>
        <w:t>CDPHE 2005,</w:t>
      </w:r>
      <w:r w:rsidRPr="003720AF">
        <w:rPr>
          <w:color w:val="000000"/>
        </w:rPr>
        <w:t xml:space="preserve"> </w:t>
      </w:r>
      <w:r w:rsidR="00AF5275" w:rsidRPr="003720AF">
        <w:rPr>
          <w:color w:val="000000"/>
        </w:rPr>
        <w:t>Williams et al</w:t>
      </w:r>
      <w:r w:rsidRPr="003720AF">
        <w:rPr>
          <w:color w:val="000000"/>
        </w:rPr>
        <w:t xml:space="preserve"> 2003). Studies on methamphetamine use during pregnancy have reported adverse effects including intrauterine growth retardation, prematurity, and perinatal complications (</w:t>
      </w:r>
      <w:r w:rsidR="00D70B19" w:rsidRPr="003720AF">
        <w:rPr>
          <w:color w:val="000000"/>
        </w:rPr>
        <w:t>CDPHE 2005,</w:t>
      </w:r>
      <w:r w:rsidRPr="003720AF">
        <w:rPr>
          <w:color w:val="000000"/>
        </w:rPr>
        <w:t xml:space="preserve"> </w:t>
      </w:r>
      <w:r w:rsidR="00D70B19" w:rsidRPr="003720AF">
        <w:rPr>
          <w:color w:val="000000"/>
        </w:rPr>
        <w:t>Oro and Dixon</w:t>
      </w:r>
      <w:r w:rsidRPr="003720AF">
        <w:rPr>
          <w:color w:val="000000"/>
        </w:rPr>
        <w:t xml:space="preserve"> 1987). The over-use of amphetamines in the first trimester of pregnancy has been associated with an increased risk of malformations, including heart defects, cleft palate, exencephaly, microcephaly, and</w:t>
      </w:r>
      <w:r w:rsidR="00D70B19" w:rsidRPr="003720AF">
        <w:rPr>
          <w:color w:val="000000"/>
        </w:rPr>
        <w:t xml:space="preserve"> mental retardation (Plessinger</w:t>
      </w:r>
      <w:r w:rsidRPr="003720AF">
        <w:rPr>
          <w:color w:val="000000"/>
        </w:rPr>
        <w:t xml:space="preserve"> 1998). At birth, methamphetamine withdrawal symptoms may include abnormal sleep patterns, tremors, hypertonicity, a high-pitched cry, poor feeding patterns, sneezing, frantic sucking, an</w:t>
      </w:r>
      <w:r w:rsidR="00D70B19" w:rsidRPr="003720AF">
        <w:rPr>
          <w:color w:val="000000"/>
        </w:rPr>
        <w:t>d tachypnea (</w:t>
      </w:r>
      <w:r w:rsidR="00AF5275" w:rsidRPr="003720AF">
        <w:rPr>
          <w:color w:val="000000"/>
        </w:rPr>
        <w:t>Smith et al</w:t>
      </w:r>
      <w:r w:rsidR="00B010AA" w:rsidRPr="003720AF">
        <w:rPr>
          <w:color w:val="000000"/>
        </w:rPr>
        <w:t xml:space="preserve"> 2003</w:t>
      </w:r>
      <w:r w:rsidRPr="003720AF">
        <w:rPr>
          <w:color w:val="000000"/>
        </w:rPr>
        <w:t xml:space="preserve">). In some cases, methamphetamine use during pregnancy has resulted in </w:t>
      </w:r>
      <w:r w:rsidR="00AF5275" w:rsidRPr="003720AF">
        <w:rPr>
          <w:color w:val="000000"/>
        </w:rPr>
        <w:t xml:space="preserve">the </w:t>
      </w:r>
      <w:r w:rsidRPr="003720AF">
        <w:rPr>
          <w:color w:val="000000"/>
        </w:rPr>
        <w:t xml:space="preserve">death </w:t>
      </w:r>
      <w:r w:rsidR="00AF5275" w:rsidRPr="003720AF">
        <w:rPr>
          <w:color w:val="000000"/>
        </w:rPr>
        <w:t>of</w:t>
      </w:r>
      <w:r w:rsidRPr="003720AF">
        <w:rPr>
          <w:color w:val="000000"/>
        </w:rPr>
        <w:t xml:space="preserve"> the developing f</w:t>
      </w:r>
      <w:r w:rsidR="00AF5275" w:rsidRPr="003720AF">
        <w:rPr>
          <w:color w:val="000000"/>
        </w:rPr>
        <w:t>o</w:t>
      </w:r>
      <w:r w:rsidRPr="003720AF">
        <w:rPr>
          <w:color w:val="000000"/>
        </w:rPr>
        <w:t>etus (CDPHE 2005). Methamphetamine is also readily excreted in breast milk and nursing infants may be exposed as a result of maternal environmental exposure (CDPHE 2005).</w:t>
      </w:r>
    </w:p>
    <w:p w14:paraId="37A2914B" w14:textId="1AB19728" w:rsidR="00205733" w:rsidRPr="003720AF" w:rsidRDefault="00205733" w:rsidP="00205733">
      <w:pPr>
        <w:spacing w:line="360" w:lineRule="auto"/>
        <w:rPr>
          <w:bCs/>
        </w:rPr>
      </w:pPr>
      <w:bookmarkStart w:id="32" w:name="_Toc335228165"/>
      <w:bookmarkStart w:id="33" w:name="_Toc335332108"/>
      <w:r w:rsidRPr="003720AF">
        <w:rPr>
          <w:bCs/>
        </w:rPr>
        <w:t xml:space="preserve">Profound neurodevelopmental effects are also found in neonatal rats exposed to human therapeutic doses (McDonnell-Dowling </w:t>
      </w:r>
      <w:r w:rsidR="00D70B19" w:rsidRPr="003720AF">
        <w:rPr>
          <w:bCs/>
        </w:rPr>
        <w:t>et al 2014,</w:t>
      </w:r>
      <w:r w:rsidRPr="003720AF">
        <w:rPr>
          <w:bCs/>
        </w:rPr>
        <w:t xml:space="preserve"> NTP 2005). These relatively new findings indicate that scientists do not yet completely understand the dose-response relationship at low doses of MA to f</w:t>
      </w:r>
      <w:r w:rsidR="005C2490" w:rsidRPr="003720AF">
        <w:rPr>
          <w:bCs/>
        </w:rPr>
        <w:t>o</w:t>
      </w:r>
      <w:r w:rsidRPr="003720AF">
        <w:rPr>
          <w:bCs/>
        </w:rPr>
        <w:t>etuses or early n</w:t>
      </w:r>
      <w:r w:rsidR="005C2490" w:rsidRPr="003720AF">
        <w:rPr>
          <w:bCs/>
        </w:rPr>
        <w:t>eonates.</w:t>
      </w:r>
      <w:r w:rsidRPr="003720AF">
        <w:rPr>
          <w:bCs/>
        </w:rPr>
        <w:t xml:space="preserve"> The database uncertainty factor of 3 employed by the California EPA was incorporated explicitly to acknowledge this data gap, and is completely justified.  </w:t>
      </w:r>
    </w:p>
    <w:p w14:paraId="72ACBE63" w14:textId="0F77DFFF" w:rsidR="00205733" w:rsidRPr="003720AF" w:rsidRDefault="00205733" w:rsidP="00205733">
      <w:pPr>
        <w:autoSpaceDE w:val="0"/>
        <w:autoSpaceDN w:val="0"/>
        <w:adjustRightInd w:val="0"/>
        <w:spacing w:line="360" w:lineRule="auto"/>
        <w:rPr>
          <w:rFonts w:eastAsia="Times New Roman" w:cs="Times New Roman"/>
        </w:rPr>
      </w:pPr>
      <w:r w:rsidRPr="003720AF">
        <w:rPr>
          <w:rFonts w:eastAsia="Times New Roman" w:cs="Times New Roman"/>
        </w:rPr>
        <w:t>Dose levels to the developing f</w:t>
      </w:r>
      <w:r w:rsidR="005C2490" w:rsidRPr="003720AF">
        <w:rPr>
          <w:rFonts w:eastAsia="Times New Roman" w:cs="Times New Roman"/>
        </w:rPr>
        <w:t>o</w:t>
      </w:r>
      <w:r w:rsidRPr="003720AF">
        <w:rPr>
          <w:rFonts w:eastAsia="Times New Roman" w:cs="Times New Roman"/>
        </w:rPr>
        <w:t xml:space="preserve">etuses exposed during MA abuse by pregnant women in these clinical and epidemiological investigations are almost certainly substantially higher than any incidental dermal contact by a pregnant woman would cause. However, the lack of a known threshold dose for such effects, and the lasting developmental effects indicate that early exposures to MA, especially </w:t>
      </w:r>
      <w:r w:rsidRPr="003720AF">
        <w:rPr>
          <w:rFonts w:eastAsia="Times New Roman" w:cs="Times New Roman"/>
          <w:i/>
        </w:rPr>
        <w:t>in utero</w:t>
      </w:r>
      <w:r w:rsidRPr="003720AF">
        <w:rPr>
          <w:rFonts w:eastAsia="Times New Roman" w:cs="Times New Roman"/>
        </w:rPr>
        <w:t>, may be critically sensitive t</w:t>
      </w:r>
      <w:r w:rsidR="005C2490" w:rsidRPr="003720AF">
        <w:rPr>
          <w:rFonts w:eastAsia="Times New Roman" w:cs="Times New Roman"/>
        </w:rPr>
        <w:t xml:space="preserve">imes for MA to exert toxicity. </w:t>
      </w:r>
      <w:r w:rsidRPr="003720AF">
        <w:rPr>
          <w:rFonts w:eastAsia="Times New Roman" w:cs="Times New Roman"/>
        </w:rPr>
        <w:t>For this reason we modelled the exposure of both infants and women of child bearing age resident in a house that was either a former clan lab, or a home where MA was routinely smoked.</w:t>
      </w:r>
    </w:p>
    <w:p w14:paraId="6810DB7E" w14:textId="77777777" w:rsidR="00811CB2" w:rsidRPr="003720AF" w:rsidRDefault="00811CB2" w:rsidP="00811CB2">
      <w:pPr>
        <w:pStyle w:val="Heading2"/>
        <w:rPr>
          <w:rFonts w:hint="eastAsia"/>
        </w:rPr>
      </w:pPr>
      <w:bookmarkStart w:id="34" w:name="_Toc463856040"/>
      <w:r w:rsidRPr="003720AF">
        <w:t xml:space="preserve">Reference Dose for </w:t>
      </w:r>
      <w:bookmarkEnd w:id="32"/>
      <w:r w:rsidRPr="003720AF">
        <w:t>MA</w:t>
      </w:r>
      <w:bookmarkEnd w:id="33"/>
      <w:bookmarkEnd w:id="34"/>
    </w:p>
    <w:p w14:paraId="69C1509B" w14:textId="77777777" w:rsidR="00205733" w:rsidRPr="003720AF" w:rsidRDefault="00205733" w:rsidP="00205733">
      <w:pPr>
        <w:spacing w:line="360" w:lineRule="auto"/>
      </w:pPr>
      <w:r w:rsidRPr="003720AF">
        <w:t xml:space="preserve">Methamphetamine, although a commonly abused pharmaceutical stimulant, has a history of legitimate medicinal end-uses for which it may be legally prescribed.  </w:t>
      </w:r>
    </w:p>
    <w:p w14:paraId="383E305D" w14:textId="5DAB9FA0" w:rsidR="00205733" w:rsidRPr="003720AF" w:rsidRDefault="00205733" w:rsidP="00205733">
      <w:pPr>
        <w:spacing w:line="360" w:lineRule="auto"/>
      </w:pPr>
      <w:r w:rsidRPr="003720AF">
        <w:t>The establishment of an exposure or dose level of MA that would be unlikely to induce any detectable physiological effect is needed as a first step in understanding to what degree a former MA clan lab needs to be cleaned during</w:t>
      </w:r>
      <w:r w:rsidR="005C2490" w:rsidRPr="003720AF">
        <w:t xml:space="preserve"> remediation. </w:t>
      </w:r>
      <w:r w:rsidRPr="003720AF">
        <w:t>This dose level is often referred to as a reference dose (RfD) or a heal</w:t>
      </w:r>
      <w:r w:rsidR="005C2490" w:rsidRPr="003720AF">
        <w:t>th based exposure value (HBEV).</w:t>
      </w:r>
      <w:r w:rsidRPr="003720AF">
        <w:t xml:space="preserve"> Thus, as long as the potential </w:t>
      </w:r>
      <w:r w:rsidRPr="003720AF">
        <w:lastRenderedPageBreak/>
        <w:t>exposure dose from the remediated clan lab is less than the RfD/HBEV exposure level, the environment should be sufficiently clean and safe for occupancy.</w:t>
      </w:r>
    </w:p>
    <w:p w14:paraId="44D22265" w14:textId="365AC78E" w:rsidR="00205733" w:rsidRPr="003720AF" w:rsidRDefault="00205733" w:rsidP="00811CB2">
      <w:pPr>
        <w:spacing w:line="360" w:lineRule="auto"/>
      </w:pPr>
      <w:r w:rsidRPr="003720AF">
        <w:t>As noted, MA is a drug which has gov</w:t>
      </w:r>
      <w:r w:rsidR="005C2490" w:rsidRPr="003720AF">
        <w:t>ernmental regulatory approval e</w:t>
      </w:r>
      <w:r w:rsidRPr="003720AF">
        <w:t xml:space="preserve">g, </w:t>
      </w:r>
      <w:r w:rsidR="005C2490" w:rsidRPr="003720AF">
        <w:t xml:space="preserve">the </w:t>
      </w:r>
      <w:r w:rsidRPr="003720AF">
        <w:t>U</w:t>
      </w:r>
      <w:r w:rsidR="005C2490" w:rsidRPr="003720AF">
        <w:t xml:space="preserve">nited States </w:t>
      </w:r>
      <w:r w:rsidR="00AA0962" w:rsidRPr="003720AF">
        <w:t xml:space="preserve">Food and Drug Administration </w:t>
      </w:r>
      <w:r w:rsidRPr="003720AF">
        <w:t xml:space="preserve">for legitimate medicinal purposes </w:t>
      </w:r>
      <w:r w:rsidR="00AA0962" w:rsidRPr="003720AF">
        <w:t>in</w:t>
      </w:r>
      <w:r w:rsidRPr="003720AF">
        <w:t xml:space="preserve"> the treatment of ADHD and for o</w:t>
      </w:r>
      <w:r w:rsidR="00AA0962" w:rsidRPr="003720AF">
        <w:t xml:space="preserve">besity (Trade name: Desoxyn®). </w:t>
      </w:r>
      <w:r w:rsidRPr="003720AF">
        <w:t>For treatment of ADHD it may</w:t>
      </w:r>
      <w:r w:rsidR="00AA0962" w:rsidRPr="003720AF">
        <w:t xml:space="preserve"> be prescribed to children age six</w:t>
      </w:r>
      <w:r w:rsidRPr="003720AF">
        <w:t xml:space="preserve"> years and above starti</w:t>
      </w:r>
      <w:r w:rsidR="00AA0962" w:rsidRPr="003720AF">
        <w:t>ng out at 5 mg/day and increasing</w:t>
      </w:r>
      <w:r w:rsidRPr="003720AF">
        <w:t xml:space="preserve"> </w:t>
      </w:r>
      <w:r w:rsidR="00AA0962" w:rsidRPr="003720AF">
        <w:t xml:space="preserve">the dose </w:t>
      </w:r>
      <w:r w:rsidRPr="003720AF">
        <w:t xml:space="preserve">to achieve the desired effect. </w:t>
      </w:r>
      <w:r w:rsidR="00AA0962" w:rsidRPr="003720AF">
        <w:t>This results in doses of 0.25</w:t>
      </w:r>
      <w:r w:rsidR="00AA0962" w:rsidRPr="003720AF">
        <w:rPr>
          <w:rFonts w:cs="Arial"/>
        </w:rPr>
        <w:t>–</w:t>
      </w:r>
      <w:r w:rsidR="00AA0962" w:rsidRPr="003720AF">
        <w:t>0.3 mg/kg per day for a six</w:t>
      </w:r>
      <w:r w:rsidRPr="003720AF">
        <w:t xml:space="preserve"> year old female based on the median (50%; 20 kg) to lower 10% (17 kg) percentile of body weight (CDC growth chart 2000, </w:t>
      </w:r>
      <w:hyperlink r:id="rId29" w:history="1">
        <w:r w:rsidRPr="003720AF">
          <w:rPr>
            <w:rStyle w:val="Hyperlink"/>
          </w:rPr>
          <w:t>http://www.cdc.gov/growthcharts/data/set1clinical/cj41l022.pdf</w:t>
        </w:r>
      </w:hyperlink>
      <w:r w:rsidR="00AA0962" w:rsidRPr="003720AF">
        <w:t xml:space="preserve">). </w:t>
      </w:r>
      <w:r w:rsidRPr="003720AF">
        <w:t>Amphetamine, which is pharmacologically similar in its actions to MA (but considered to be less potent) is approved f</w:t>
      </w:r>
      <w:r w:rsidR="00AA0962" w:rsidRPr="003720AF">
        <w:t>or use in children as young as three</w:t>
      </w:r>
      <w:r w:rsidRPr="003720AF">
        <w:t xml:space="preserve"> years of age. </w:t>
      </w:r>
    </w:p>
    <w:p w14:paraId="4C7E68E3" w14:textId="0692A448" w:rsidR="00205733" w:rsidRPr="003720AF" w:rsidRDefault="00205733" w:rsidP="00205733">
      <w:pPr>
        <w:spacing w:line="360" w:lineRule="auto"/>
      </w:pPr>
      <w:r w:rsidRPr="003720AF">
        <w:t>Three recent comprehensive reviews of the effects of stimulants in children with ADHD have been conduct</w:t>
      </w:r>
      <w:r w:rsidR="00AA0962" w:rsidRPr="003720AF">
        <w:t xml:space="preserve">ed and were reviewed by OEHHA. </w:t>
      </w:r>
      <w:r w:rsidRPr="003720AF">
        <w:t>While they do not specifically address the adverse effects of MA, these reviews provide detailed, authoritative summaries on the effects of drugs whose pharmacodynamic</w:t>
      </w:r>
      <w:r w:rsidR="00AD2F45" w:rsidRPr="003720AF">
        <w:t>s are similar to those of MA (e</w:t>
      </w:r>
      <w:r w:rsidRPr="003720AF">
        <w:t>g, methylphenidate) or whose pharmacodynamics and chemical structu</w:t>
      </w:r>
      <w:r w:rsidR="00AD2F45" w:rsidRPr="003720AF">
        <w:t>re are similar to that of MA (e</w:t>
      </w:r>
      <w:r w:rsidRPr="003720AF">
        <w:t xml:space="preserve">g, amphetamine).  These reviews include a 1997 study by the American Medical Association’s Council on Scientific Affairs that published a report on the diagnosis and treatment of ADHD in children and adolescents (Goldman </w:t>
      </w:r>
      <w:r w:rsidR="00AA0962" w:rsidRPr="003720AF">
        <w:t>et al</w:t>
      </w:r>
      <w:r w:rsidR="002F6760" w:rsidRPr="003720AF">
        <w:t xml:space="preserve"> 1997). </w:t>
      </w:r>
      <w:r w:rsidRPr="003720AF">
        <w:t>A 1998 National Institutes of Health (NIH) Consensus Statement on the diagnosis and treatment of ADHD was prepared by a 13-member panel representing the fields of psychology, psychiatry, neurology, pediatrics, epidemiology, biostatistics and education. The panel developed its conclusions based on open forum presentations from 31 experts in the same fields and extensive review of the scientific literature. Two of the predefined questions the panel was tasked with addressing were</w:t>
      </w:r>
      <w:r w:rsidRPr="003720AF">
        <w:rPr>
          <w:i/>
        </w:rPr>
        <w:t>, “What are the effective treatments for ADHD?”</w:t>
      </w:r>
      <w:r w:rsidRPr="003720AF">
        <w:t xml:space="preserve"> and </w:t>
      </w:r>
      <w:r w:rsidRPr="003720AF">
        <w:rPr>
          <w:i/>
        </w:rPr>
        <w:t>“What are the risks of the use of stimulant medication and other treatments?”</w:t>
      </w:r>
      <w:r w:rsidRPr="003720AF">
        <w:t xml:space="preserve">  In addition, in 2001, the American Academy of Pediatrics (AAP</w:t>
      </w:r>
      <w:r w:rsidR="002A06EA" w:rsidRPr="003720AF">
        <w:t xml:space="preserve"> 2001</w:t>
      </w:r>
      <w:r w:rsidRPr="003720AF">
        <w:t>) issued a clinical practice guideline for treatment of children between 6 and 12 years of age with ADHD (This study was updated in 2005 by Brown et al).  While toxicity endpoints were not the emphasis of their study they concluded that adverse effects, when manifested, are usually mild, of short duration, and controllable with adjustments in</w:t>
      </w:r>
      <w:r w:rsidR="002F6760" w:rsidRPr="003720AF">
        <w:t xml:space="preserve"> dose or the timing of dosing. </w:t>
      </w:r>
      <w:r w:rsidRPr="003720AF">
        <w:t>The most common adverse effects are insomnia, decreased appetite, stomach</w:t>
      </w:r>
      <w:r w:rsidR="002F6760" w:rsidRPr="003720AF">
        <w:t xml:space="preserve"> </w:t>
      </w:r>
      <w:r w:rsidRPr="003720AF">
        <w:t>a</w:t>
      </w:r>
      <w:r w:rsidR="002F6760" w:rsidRPr="003720AF">
        <w:t>che, headache, and jitteriness.</w:t>
      </w:r>
      <w:r w:rsidRPr="003720AF">
        <w:t xml:space="preserve"> The significance of these studies relative to the establishment of an RfD/HBEV is that a physician may utilize such drugs at the therapeutic dose with an </w:t>
      </w:r>
      <w:r w:rsidRPr="003720AF">
        <w:rPr>
          <w:i/>
        </w:rPr>
        <w:t>a priori</w:t>
      </w:r>
      <w:r w:rsidRPr="003720AF">
        <w:t xml:space="preserve"> assumption that the amount being administered is considered safe and without an overt concern for inducing significant toxicity or adverse effects of such a magnitude that the </w:t>
      </w:r>
      <w:r w:rsidRPr="003720AF">
        <w:lastRenderedPageBreak/>
        <w:t>therapeutic dose may be duly</w:t>
      </w:r>
      <w:r w:rsidR="002F6760" w:rsidRPr="003720AF">
        <w:t xml:space="preserve"> lowered. </w:t>
      </w:r>
      <w:r w:rsidRPr="003720AF">
        <w:t>However, in the case of MA, while a risk/benefit decision may be taken in the context of a prescription medicine, there are no benefits to incidental contact with MA residues.</w:t>
      </w:r>
    </w:p>
    <w:p w14:paraId="6BC43CDD" w14:textId="77777777" w:rsidR="00811CB2" w:rsidRPr="003720AF" w:rsidRDefault="00811CB2" w:rsidP="00811CB2">
      <w:pPr>
        <w:pStyle w:val="Heading3"/>
      </w:pPr>
      <w:bookmarkStart w:id="35" w:name="_Toc335228166"/>
      <w:bookmarkStart w:id="36" w:name="_Toc335332109"/>
      <w:bookmarkStart w:id="37" w:name="_Toc463856041"/>
      <w:r w:rsidRPr="003720AF">
        <w:t>Reference Dose (RfD)/HBEV</w:t>
      </w:r>
      <w:bookmarkEnd w:id="35"/>
      <w:bookmarkEnd w:id="36"/>
      <w:bookmarkEnd w:id="37"/>
    </w:p>
    <w:p w14:paraId="625FEDEF" w14:textId="6DE4BED7" w:rsidR="00932D1A" w:rsidRPr="003720AF" w:rsidRDefault="00932D1A" w:rsidP="00932D1A">
      <w:pPr>
        <w:autoSpaceDE w:val="0"/>
        <w:autoSpaceDN w:val="0"/>
        <w:adjustRightInd w:val="0"/>
        <w:spacing w:line="360" w:lineRule="auto"/>
        <w:rPr>
          <w:rFonts w:cs="Times-Roman"/>
        </w:rPr>
      </w:pPr>
      <w:r w:rsidRPr="003720AF">
        <w:rPr>
          <w:rFonts w:cs="Times-Roman"/>
        </w:rPr>
        <w:t>The existing health-based MA surface safe reoccupation numbers were derived using varying approaches, but are derived by applying standard uncertainty or safety factors to the lowest observable dose level at which an undesirable</w:t>
      </w:r>
      <w:r w:rsidR="002F6760" w:rsidRPr="003720AF">
        <w:rPr>
          <w:rFonts w:cs="Times-Roman"/>
        </w:rPr>
        <w:t xml:space="preserve"> effect occurs. </w:t>
      </w:r>
      <w:r w:rsidRPr="003720AF">
        <w:rPr>
          <w:rFonts w:cs="Times-Roman"/>
        </w:rPr>
        <w:t>Thus, the RfD is an exposure value at</w:t>
      </w:r>
      <w:r w:rsidR="00DF5610" w:rsidRPr="003720AF">
        <w:rPr>
          <w:rFonts w:cs="Times-Roman"/>
        </w:rPr>
        <w:t>,</w:t>
      </w:r>
      <w:r w:rsidRPr="003720AF">
        <w:rPr>
          <w:rFonts w:cs="Times-Roman"/>
        </w:rPr>
        <w:t xml:space="preserve"> or below</w:t>
      </w:r>
      <w:r w:rsidR="00DF5610" w:rsidRPr="003720AF">
        <w:rPr>
          <w:rFonts w:cs="Times-Roman"/>
        </w:rPr>
        <w:t>,</w:t>
      </w:r>
      <w:r w:rsidRPr="003720AF">
        <w:rPr>
          <w:rFonts w:cs="Times-Roman"/>
        </w:rPr>
        <w:t xml:space="preserve"> which</w:t>
      </w:r>
      <w:r w:rsidR="00DF5610" w:rsidRPr="003720AF">
        <w:rPr>
          <w:rFonts w:cs="Times-Roman"/>
        </w:rPr>
        <w:t xml:space="preserve"> it</w:t>
      </w:r>
      <w:r w:rsidRPr="003720AF">
        <w:rPr>
          <w:rFonts w:cs="Times-Roman"/>
        </w:rPr>
        <w:t xml:space="preserve"> is unlikely that there will be induction of any adverse </w:t>
      </w:r>
      <w:r w:rsidR="002F6760" w:rsidRPr="003720AF">
        <w:rPr>
          <w:rFonts w:cs="Times-Roman"/>
        </w:rPr>
        <w:t>effect.</w:t>
      </w:r>
      <w:r w:rsidRPr="003720AF">
        <w:rPr>
          <w:rFonts w:cs="Times-Roman"/>
        </w:rPr>
        <w:t xml:space="preserve"> Currently two such values have been established by U</w:t>
      </w:r>
      <w:r w:rsidR="002F6760" w:rsidRPr="003720AF">
        <w:rPr>
          <w:rFonts w:cs="Times-Roman"/>
        </w:rPr>
        <w:t>nited States</w:t>
      </w:r>
      <w:r w:rsidRPr="003720AF">
        <w:rPr>
          <w:rFonts w:cs="Times-Roman"/>
        </w:rPr>
        <w:t xml:space="preserve"> governmental regulatory agencies (California – Office of Environmental Health Hazard Assessment (OEHHA), and the Colorado Department of Public Health (CDPHE) and are being utilized in the United States as the basis for setting a safe exposure level for remediation of clan labs (Table 5).</w:t>
      </w:r>
    </w:p>
    <w:p w14:paraId="1537C936" w14:textId="64BA3F8C" w:rsidR="00811CB2" w:rsidRPr="003720AF" w:rsidRDefault="00DE7980" w:rsidP="00DE7980">
      <w:pPr>
        <w:pStyle w:val="Caption"/>
        <w:tabs>
          <w:tab w:val="left" w:pos="993"/>
        </w:tabs>
        <w:ind w:left="993" w:hanging="993"/>
      </w:pPr>
      <w:bookmarkStart w:id="38" w:name="_Toc463799355"/>
      <w:r w:rsidRPr="003720AF">
        <w:t xml:space="preserve">Table </w:t>
      </w:r>
      <w:fldSimple w:instr=" SEQ Table \* ARABIC ">
        <w:r w:rsidR="00F6014F">
          <w:rPr>
            <w:noProof/>
          </w:rPr>
          <w:t>5</w:t>
        </w:r>
      </w:fldSimple>
      <w:r w:rsidR="00811CB2" w:rsidRPr="003720AF">
        <w:t>:</w:t>
      </w:r>
      <w:r w:rsidR="00811CB2" w:rsidRPr="003720AF">
        <w:tab/>
        <w:t>Comparison of Reference Doses for MA Developed by the States of California and Colorado</w:t>
      </w:r>
      <w:bookmarkEnd w:id="38"/>
    </w:p>
    <w:tbl>
      <w:tblPr>
        <w:tblStyle w:val="LightShading"/>
        <w:tblW w:w="0" w:type="auto"/>
        <w:tblLook w:val="04A0" w:firstRow="1" w:lastRow="0" w:firstColumn="1" w:lastColumn="0" w:noHBand="0" w:noVBand="1"/>
      </w:tblPr>
      <w:tblGrid>
        <w:gridCol w:w="2721"/>
        <w:gridCol w:w="3294"/>
        <w:gridCol w:w="3011"/>
      </w:tblGrid>
      <w:tr w:rsidR="00811CB2" w:rsidRPr="003720AF" w14:paraId="0752B3CC" w14:textId="77777777" w:rsidTr="002F676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721" w:type="dxa"/>
          </w:tcPr>
          <w:p w14:paraId="182ED8DD" w14:textId="6F64592F" w:rsidR="00811CB2" w:rsidRPr="003720AF" w:rsidRDefault="00811CB2" w:rsidP="002F6760">
            <w:pPr>
              <w:tabs>
                <w:tab w:val="right" w:pos="2505"/>
              </w:tabs>
              <w:autoSpaceDE w:val="0"/>
              <w:autoSpaceDN w:val="0"/>
              <w:adjustRightInd w:val="0"/>
              <w:spacing w:before="40" w:after="40"/>
              <w:rPr>
                <w:rFonts w:cs="Times-Roman"/>
                <w:lang w:val="en-NZ"/>
              </w:rPr>
            </w:pPr>
            <w:r w:rsidRPr="003720AF">
              <w:rPr>
                <w:rFonts w:cs="Times-Roman"/>
                <w:lang w:val="en-NZ"/>
              </w:rPr>
              <w:t>Regulatory Agency</w:t>
            </w:r>
            <w:r w:rsidR="002F6760" w:rsidRPr="003720AF">
              <w:rPr>
                <w:rFonts w:cs="Times-Roman"/>
                <w:lang w:val="en-NZ"/>
              </w:rPr>
              <w:tab/>
            </w:r>
          </w:p>
        </w:tc>
        <w:tc>
          <w:tcPr>
            <w:tcW w:w="3294" w:type="dxa"/>
          </w:tcPr>
          <w:p w14:paraId="58424B42" w14:textId="04A69771" w:rsidR="00811CB2" w:rsidRPr="003720AF" w:rsidRDefault="00811CB2" w:rsidP="002F6760">
            <w:pPr>
              <w:autoSpaceDE w:val="0"/>
              <w:autoSpaceDN w:val="0"/>
              <w:adjustRightInd w:val="0"/>
              <w:spacing w:before="40" w:after="40"/>
              <w:cnfStyle w:val="100000000000" w:firstRow="1" w:lastRow="0" w:firstColumn="0" w:lastColumn="0" w:oddVBand="0" w:evenVBand="0" w:oddHBand="0" w:evenHBand="0" w:firstRowFirstColumn="0" w:firstRowLastColumn="0" w:lastRowFirstColumn="0" w:lastRowLastColumn="0"/>
              <w:rPr>
                <w:rFonts w:cs="Times-Roman"/>
                <w:vertAlign w:val="superscript"/>
                <w:lang w:val="en-NZ"/>
              </w:rPr>
            </w:pPr>
            <w:r w:rsidRPr="003720AF">
              <w:rPr>
                <w:rFonts w:cs="Times-Roman"/>
                <w:lang w:val="en-NZ"/>
              </w:rPr>
              <w:t>California – OEHHA</w:t>
            </w:r>
            <w:r w:rsidR="002F6760" w:rsidRPr="003720AF">
              <w:rPr>
                <w:rFonts w:cs="Times-Roman"/>
                <w:lang w:val="en-NZ"/>
              </w:rPr>
              <w:t>*</w:t>
            </w:r>
          </w:p>
        </w:tc>
        <w:tc>
          <w:tcPr>
            <w:tcW w:w="3011" w:type="dxa"/>
          </w:tcPr>
          <w:p w14:paraId="024E0CEE" w14:textId="2A7D1B98" w:rsidR="00811CB2" w:rsidRPr="003720AF" w:rsidRDefault="00811CB2" w:rsidP="002F6760">
            <w:pPr>
              <w:autoSpaceDE w:val="0"/>
              <w:autoSpaceDN w:val="0"/>
              <w:adjustRightInd w:val="0"/>
              <w:spacing w:before="40" w:after="40"/>
              <w:cnfStyle w:val="100000000000" w:firstRow="1" w:lastRow="0" w:firstColumn="0" w:lastColumn="0" w:oddVBand="0" w:evenVBand="0" w:oddHBand="0" w:evenHBand="0" w:firstRowFirstColumn="0" w:firstRowLastColumn="0" w:lastRowFirstColumn="0" w:lastRowLastColumn="0"/>
              <w:rPr>
                <w:rFonts w:cs="Times-Roman"/>
                <w:vertAlign w:val="superscript"/>
                <w:lang w:val="en-NZ"/>
              </w:rPr>
            </w:pPr>
            <w:r w:rsidRPr="003720AF">
              <w:rPr>
                <w:rFonts w:cs="Times-Roman"/>
                <w:lang w:val="en-NZ"/>
              </w:rPr>
              <w:t>Colorado DPHE</w:t>
            </w:r>
            <w:r w:rsidR="002F6760" w:rsidRPr="003720AF">
              <w:rPr>
                <w:rFonts w:cs="Times-Roman"/>
                <w:lang w:val="en-NZ"/>
              </w:rPr>
              <w:t>**</w:t>
            </w:r>
          </w:p>
        </w:tc>
      </w:tr>
      <w:tr w:rsidR="00811CB2" w:rsidRPr="003720AF" w14:paraId="2AD0DE96"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0AC84878" w14:textId="77777777" w:rsidR="00811CB2" w:rsidRPr="003720AF" w:rsidRDefault="00811CB2" w:rsidP="002F6760">
            <w:pPr>
              <w:autoSpaceDE w:val="0"/>
              <w:autoSpaceDN w:val="0"/>
              <w:adjustRightInd w:val="0"/>
              <w:spacing w:before="40" w:after="40"/>
              <w:rPr>
                <w:rFonts w:cs="Times-Roman"/>
                <w:lang w:val="en-NZ"/>
              </w:rPr>
            </w:pPr>
            <w:r w:rsidRPr="003720AF">
              <w:rPr>
                <w:rFonts w:cs="Times-Roman"/>
                <w:lang w:val="en-NZ"/>
              </w:rPr>
              <w:t>Study Basis</w:t>
            </w:r>
          </w:p>
        </w:tc>
        <w:tc>
          <w:tcPr>
            <w:tcW w:w="3294" w:type="dxa"/>
          </w:tcPr>
          <w:p w14:paraId="4090E645" w14:textId="77777777" w:rsidR="00811CB2" w:rsidRPr="003720AF" w:rsidRDefault="00811CB2" w:rsidP="002F676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Humans (adult pregnant women)</w:t>
            </w:r>
          </w:p>
        </w:tc>
        <w:tc>
          <w:tcPr>
            <w:tcW w:w="3011" w:type="dxa"/>
          </w:tcPr>
          <w:p w14:paraId="11DEC8FA" w14:textId="77777777" w:rsidR="00811CB2" w:rsidRPr="003720AF" w:rsidRDefault="00811CB2" w:rsidP="002F676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Laboratory Animals (developmental toxicity studies in rats)</w:t>
            </w:r>
          </w:p>
        </w:tc>
      </w:tr>
      <w:tr w:rsidR="00811CB2" w:rsidRPr="003720AF" w14:paraId="2FDC6B00" w14:textId="77777777" w:rsidTr="00811CB2">
        <w:tc>
          <w:tcPr>
            <w:cnfStyle w:val="001000000000" w:firstRow="0" w:lastRow="0" w:firstColumn="1" w:lastColumn="0" w:oddVBand="0" w:evenVBand="0" w:oddHBand="0" w:evenHBand="0" w:firstRowFirstColumn="0" w:firstRowLastColumn="0" w:lastRowFirstColumn="0" w:lastRowLastColumn="0"/>
            <w:tcW w:w="2721" w:type="dxa"/>
          </w:tcPr>
          <w:p w14:paraId="29F7EA13" w14:textId="77777777" w:rsidR="00811CB2" w:rsidRPr="003720AF" w:rsidRDefault="00811CB2" w:rsidP="002F6760">
            <w:pPr>
              <w:autoSpaceDE w:val="0"/>
              <w:autoSpaceDN w:val="0"/>
              <w:adjustRightInd w:val="0"/>
              <w:spacing w:before="40" w:after="40"/>
              <w:rPr>
                <w:rFonts w:cs="Times-Roman"/>
                <w:lang w:val="en-NZ"/>
              </w:rPr>
            </w:pPr>
            <w:r w:rsidRPr="003720AF">
              <w:rPr>
                <w:rFonts w:cs="Times-Roman"/>
                <w:lang w:val="en-NZ"/>
              </w:rPr>
              <w:t>Effects Dose</w:t>
            </w:r>
          </w:p>
        </w:tc>
        <w:tc>
          <w:tcPr>
            <w:tcW w:w="3294" w:type="dxa"/>
          </w:tcPr>
          <w:p w14:paraId="26DB9C9E"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0.08 mg/kg-day (5 mg/day)</w:t>
            </w:r>
          </w:p>
          <w:p w14:paraId="52141856" w14:textId="77777777" w:rsidR="00811CB2" w:rsidRPr="003720AF" w:rsidRDefault="00811CB2" w:rsidP="002F6760">
            <w:pPr>
              <w:pStyle w:val="ListParagraph"/>
              <w:numPr>
                <w:ilvl w:val="0"/>
                <w:numId w:val="27"/>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sz w:val="24"/>
                <w:szCs w:val="24"/>
                <w:lang w:val="en-NZ"/>
              </w:rPr>
            </w:pPr>
            <w:r w:rsidRPr="003720AF">
              <w:rPr>
                <w:rFonts w:cs="Times-Roman"/>
                <w:sz w:val="24"/>
                <w:szCs w:val="24"/>
                <w:lang w:val="en-NZ"/>
              </w:rPr>
              <w:t>Lowest observed adverse effect level (LOAEL)</w:t>
            </w:r>
          </w:p>
        </w:tc>
        <w:tc>
          <w:tcPr>
            <w:tcW w:w="3011" w:type="dxa"/>
          </w:tcPr>
          <w:p w14:paraId="67F68B42"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1.5 – 20 mg/kg-day</w:t>
            </w:r>
          </w:p>
          <w:p w14:paraId="78495204" w14:textId="77777777" w:rsidR="00811CB2" w:rsidRPr="003720AF" w:rsidRDefault="00932D1A" w:rsidP="002F6760">
            <w:pPr>
              <w:pStyle w:val="ListParagraph"/>
              <w:numPr>
                <w:ilvl w:val="0"/>
                <w:numId w:val="27"/>
              </w:num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sz w:val="24"/>
                <w:szCs w:val="24"/>
                <w:lang w:val="en-NZ"/>
              </w:rPr>
            </w:pPr>
            <w:r w:rsidRPr="003720AF">
              <w:rPr>
                <w:rFonts w:cs="Times-Roman"/>
                <w:sz w:val="24"/>
                <w:szCs w:val="24"/>
                <w:lang w:val="en-NZ"/>
              </w:rPr>
              <w:t xml:space="preserve">Calculated BMDL10 </w:t>
            </w:r>
          </w:p>
        </w:tc>
      </w:tr>
      <w:tr w:rsidR="00811CB2" w:rsidRPr="003720AF" w14:paraId="7539054A"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3601A91B" w14:textId="77777777" w:rsidR="00811CB2" w:rsidRPr="003720AF" w:rsidRDefault="00811CB2" w:rsidP="002F6760">
            <w:pPr>
              <w:autoSpaceDE w:val="0"/>
              <w:autoSpaceDN w:val="0"/>
              <w:adjustRightInd w:val="0"/>
              <w:spacing w:before="40" w:after="40"/>
              <w:rPr>
                <w:rFonts w:cs="Times-Roman"/>
                <w:lang w:val="en-NZ"/>
              </w:rPr>
            </w:pPr>
            <w:r w:rsidRPr="003720AF">
              <w:rPr>
                <w:rFonts w:cs="Times-Roman"/>
                <w:lang w:val="en-NZ"/>
              </w:rPr>
              <w:t>Effect</w:t>
            </w:r>
          </w:p>
        </w:tc>
        <w:tc>
          <w:tcPr>
            <w:tcW w:w="3294" w:type="dxa"/>
          </w:tcPr>
          <w:p w14:paraId="78C13CEF" w14:textId="77777777" w:rsidR="00811CB2" w:rsidRPr="003720AF" w:rsidRDefault="00811CB2" w:rsidP="002F676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Reduced weight gain</w:t>
            </w:r>
          </w:p>
        </w:tc>
        <w:tc>
          <w:tcPr>
            <w:tcW w:w="3011" w:type="dxa"/>
          </w:tcPr>
          <w:p w14:paraId="284B8BA5" w14:textId="77777777" w:rsidR="00811CB2" w:rsidRPr="003720AF" w:rsidRDefault="00811CB2" w:rsidP="002F676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Developmental changes in offspring</w:t>
            </w:r>
          </w:p>
        </w:tc>
      </w:tr>
      <w:tr w:rsidR="00811CB2" w:rsidRPr="003720AF" w14:paraId="5D912578" w14:textId="77777777" w:rsidTr="00811CB2">
        <w:tc>
          <w:tcPr>
            <w:cnfStyle w:val="001000000000" w:firstRow="0" w:lastRow="0" w:firstColumn="1" w:lastColumn="0" w:oddVBand="0" w:evenVBand="0" w:oddHBand="0" w:evenHBand="0" w:firstRowFirstColumn="0" w:firstRowLastColumn="0" w:lastRowFirstColumn="0" w:lastRowLastColumn="0"/>
            <w:tcW w:w="2721" w:type="dxa"/>
          </w:tcPr>
          <w:p w14:paraId="278CEB9C" w14:textId="77777777" w:rsidR="00811CB2" w:rsidRPr="003720AF" w:rsidRDefault="00811CB2" w:rsidP="002F6760">
            <w:pPr>
              <w:autoSpaceDE w:val="0"/>
              <w:autoSpaceDN w:val="0"/>
              <w:adjustRightInd w:val="0"/>
              <w:spacing w:before="40" w:after="40"/>
              <w:rPr>
                <w:rFonts w:cs="Times-Roman"/>
                <w:lang w:val="en-NZ"/>
              </w:rPr>
            </w:pPr>
            <w:r w:rsidRPr="003720AF">
              <w:rPr>
                <w:rFonts w:cs="Times-Roman"/>
                <w:lang w:val="en-NZ"/>
              </w:rPr>
              <w:t xml:space="preserve">Uncertainty/Safety Factor </w:t>
            </w:r>
          </w:p>
        </w:tc>
        <w:tc>
          <w:tcPr>
            <w:tcW w:w="3294" w:type="dxa"/>
          </w:tcPr>
          <w:p w14:paraId="64377FBC"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300</w:t>
            </w:r>
          </w:p>
          <w:p w14:paraId="402C34C0"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 New Roman"/>
                <w:color w:val="000000"/>
                <w:lang w:val="en-NZ"/>
              </w:rPr>
            </w:pPr>
            <w:r w:rsidRPr="003720AF">
              <w:rPr>
                <w:rFonts w:cs="Times New Roman"/>
                <w:color w:val="000000"/>
                <w:lang w:val="en-NZ"/>
              </w:rPr>
              <w:t xml:space="preserve">10X - Variation in susceptibility among the members of the human population </w:t>
            </w:r>
          </w:p>
          <w:p w14:paraId="7AF08157"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 New Roman"/>
                <w:color w:val="000000"/>
                <w:lang w:val="en-NZ"/>
              </w:rPr>
            </w:pPr>
            <w:r w:rsidRPr="003720AF">
              <w:rPr>
                <w:rFonts w:cs="Times New Roman"/>
                <w:color w:val="000000"/>
                <w:lang w:val="en-NZ"/>
              </w:rPr>
              <w:t xml:space="preserve">10X - Uncertainty in extrapolating from a LOAEL to a NOAEL </w:t>
            </w:r>
          </w:p>
          <w:p w14:paraId="779ECD67"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 New Roman"/>
                <w:color w:val="000000"/>
                <w:lang w:val="en-NZ"/>
              </w:rPr>
              <w:t xml:space="preserve">3X - Uncertainty associated with extrapolation when the database is incomplete </w:t>
            </w:r>
          </w:p>
        </w:tc>
        <w:tc>
          <w:tcPr>
            <w:tcW w:w="3011" w:type="dxa"/>
          </w:tcPr>
          <w:p w14:paraId="223AF0B7"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300</w:t>
            </w:r>
          </w:p>
          <w:p w14:paraId="4A315F8A"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 New Roman"/>
                <w:color w:val="000000"/>
                <w:lang w:val="en-NZ"/>
              </w:rPr>
            </w:pPr>
            <w:r w:rsidRPr="003720AF">
              <w:rPr>
                <w:rFonts w:cs="Times New Roman"/>
                <w:color w:val="000000"/>
                <w:lang w:val="en-NZ"/>
              </w:rPr>
              <w:t xml:space="preserve">10X - Variation in susceptibility among the members of the human population </w:t>
            </w:r>
          </w:p>
          <w:p w14:paraId="632B20C6"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 New Roman"/>
                <w:color w:val="000000"/>
                <w:lang w:val="en-NZ"/>
              </w:rPr>
            </w:pPr>
            <w:r w:rsidRPr="003720AF">
              <w:rPr>
                <w:rFonts w:cs="Times New Roman"/>
                <w:color w:val="000000"/>
                <w:lang w:val="en-NZ"/>
              </w:rPr>
              <w:t xml:space="preserve">10X - Uncertainty in extrapolating animal data to humans </w:t>
            </w:r>
          </w:p>
          <w:p w14:paraId="08953E80"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 New Roman"/>
                <w:color w:val="000000"/>
                <w:lang w:val="en-NZ"/>
              </w:rPr>
            </w:pPr>
            <w:r w:rsidRPr="003720AF">
              <w:rPr>
                <w:rFonts w:cs="Times New Roman"/>
                <w:color w:val="000000"/>
                <w:lang w:val="en-NZ"/>
              </w:rPr>
              <w:t xml:space="preserve">3X - Uncertainty associated with extrapolation when the database is incomplete </w:t>
            </w:r>
          </w:p>
          <w:p w14:paraId="608B5D8F" w14:textId="77777777" w:rsidR="00811CB2" w:rsidRPr="003720AF" w:rsidRDefault="00811CB2" w:rsidP="002F6760">
            <w:pPr>
              <w:autoSpaceDE w:val="0"/>
              <w:autoSpaceDN w:val="0"/>
              <w:adjustRightInd w:val="0"/>
              <w:spacing w:before="40" w:after="40"/>
              <w:cnfStyle w:val="000000000000" w:firstRow="0" w:lastRow="0" w:firstColumn="0" w:lastColumn="0" w:oddVBand="0" w:evenVBand="0" w:oddHBand="0" w:evenHBand="0" w:firstRowFirstColumn="0" w:firstRowLastColumn="0" w:lastRowFirstColumn="0" w:lastRowLastColumn="0"/>
              <w:rPr>
                <w:rFonts w:cs="Times-Roman"/>
                <w:lang w:val="en-NZ"/>
              </w:rPr>
            </w:pPr>
          </w:p>
        </w:tc>
      </w:tr>
      <w:tr w:rsidR="00811CB2" w:rsidRPr="003720AF" w14:paraId="4688FA31" w14:textId="77777777" w:rsidTr="00811C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1" w:type="dxa"/>
          </w:tcPr>
          <w:p w14:paraId="2457435D" w14:textId="77777777" w:rsidR="00811CB2" w:rsidRPr="003720AF" w:rsidRDefault="00811CB2" w:rsidP="002F6760">
            <w:pPr>
              <w:autoSpaceDE w:val="0"/>
              <w:autoSpaceDN w:val="0"/>
              <w:adjustRightInd w:val="0"/>
              <w:spacing w:before="40" w:after="40"/>
              <w:rPr>
                <w:rFonts w:cs="Times-Roman"/>
                <w:lang w:val="en-NZ"/>
              </w:rPr>
            </w:pPr>
            <w:r w:rsidRPr="003720AF">
              <w:rPr>
                <w:rFonts w:cs="Times-Roman"/>
                <w:lang w:val="en-NZ"/>
              </w:rPr>
              <w:t>RfD/HBEV</w:t>
            </w:r>
          </w:p>
        </w:tc>
        <w:tc>
          <w:tcPr>
            <w:tcW w:w="3294" w:type="dxa"/>
          </w:tcPr>
          <w:p w14:paraId="42C0074C" w14:textId="77777777" w:rsidR="00811CB2" w:rsidRPr="003720AF" w:rsidRDefault="00811CB2" w:rsidP="002F676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0.3 µg/kg-day</w:t>
            </w:r>
          </w:p>
        </w:tc>
        <w:tc>
          <w:tcPr>
            <w:tcW w:w="3011" w:type="dxa"/>
          </w:tcPr>
          <w:p w14:paraId="5BE4D782" w14:textId="77777777" w:rsidR="00811CB2" w:rsidRPr="003720AF" w:rsidRDefault="00811CB2" w:rsidP="002F676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5 – 70 µg/kg-day</w:t>
            </w:r>
          </w:p>
          <w:p w14:paraId="752C7B74" w14:textId="77777777" w:rsidR="00811CB2" w:rsidRPr="003720AF" w:rsidRDefault="00811CB2" w:rsidP="002F6760">
            <w:pPr>
              <w:autoSpaceDE w:val="0"/>
              <w:autoSpaceDN w:val="0"/>
              <w:adjustRightInd w:val="0"/>
              <w:spacing w:before="40" w:after="40"/>
              <w:cnfStyle w:val="000000100000" w:firstRow="0" w:lastRow="0" w:firstColumn="0" w:lastColumn="0" w:oddVBand="0" w:evenVBand="0" w:oddHBand="1" w:evenHBand="0" w:firstRowFirstColumn="0" w:firstRowLastColumn="0" w:lastRowFirstColumn="0" w:lastRowLastColumn="0"/>
              <w:rPr>
                <w:rFonts w:cs="Times-Roman"/>
                <w:lang w:val="en-NZ"/>
              </w:rPr>
            </w:pPr>
          </w:p>
        </w:tc>
      </w:tr>
    </w:tbl>
    <w:p w14:paraId="0FF2F6C1" w14:textId="00C28F57" w:rsidR="00811CB2" w:rsidRPr="003720AF" w:rsidRDefault="002F6760" w:rsidP="002F6760">
      <w:pPr>
        <w:autoSpaceDE w:val="0"/>
        <w:autoSpaceDN w:val="0"/>
        <w:adjustRightInd w:val="0"/>
        <w:spacing w:after="0" w:line="240" w:lineRule="auto"/>
        <w:ind w:left="360"/>
        <w:rPr>
          <w:rFonts w:cs="Times-Roman"/>
          <w:sz w:val="20"/>
          <w:szCs w:val="20"/>
        </w:rPr>
      </w:pPr>
      <w:r w:rsidRPr="003720AF">
        <w:rPr>
          <w:sz w:val="20"/>
          <w:szCs w:val="20"/>
        </w:rPr>
        <w:t>*</w:t>
      </w:r>
      <w:r w:rsidRPr="003720AF">
        <w:rPr>
          <w:sz w:val="20"/>
          <w:szCs w:val="20"/>
        </w:rPr>
        <w:tab/>
      </w:r>
      <w:hyperlink r:id="rId30" w:history="1">
        <w:r w:rsidR="00811CB2" w:rsidRPr="003720AF">
          <w:rPr>
            <w:rStyle w:val="Hyperlink"/>
            <w:rFonts w:cs="Times-Roman"/>
            <w:sz w:val="20"/>
            <w:szCs w:val="20"/>
          </w:rPr>
          <w:t>http://oehha.ca.gov/media/downloads/crnr/methrfdfinal022609.pdf</w:t>
        </w:r>
      </w:hyperlink>
    </w:p>
    <w:p w14:paraId="76F1127E" w14:textId="30F43CE2" w:rsidR="00811CB2" w:rsidRPr="003720AF" w:rsidRDefault="002F6760" w:rsidP="002F6760">
      <w:pPr>
        <w:autoSpaceDE w:val="0"/>
        <w:autoSpaceDN w:val="0"/>
        <w:adjustRightInd w:val="0"/>
        <w:spacing w:after="0" w:line="240" w:lineRule="auto"/>
        <w:ind w:left="360"/>
        <w:rPr>
          <w:rFonts w:cs="Times-Roman"/>
          <w:sz w:val="20"/>
          <w:szCs w:val="20"/>
        </w:rPr>
      </w:pPr>
      <w:r w:rsidRPr="003720AF">
        <w:rPr>
          <w:rFonts w:cs="Arial"/>
          <w:noProof/>
          <w:sz w:val="20"/>
          <w:szCs w:val="20"/>
        </w:rPr>
        <w:t>**</w:t>
      </w:r>
      <w:r w:rsidRPr="003720AF">
        <w:rPr>
          <w:rFonts w:cs="Arial"/>
          <w:noProof/>
          <w:sz w:val="20"/>
          <w:szCs w:val="20"/>
        </w:rPr>
        <w:tab/>
      </w:r>
      <w:r w:rsidR="00932D1A" w:rsidRPr="003720AF">
        <w:rPr>
          <w:rFonts w:cs="Arial"/>
          <w:noProof/>
          <w:sz w:val="20"/>
          <w:szCs w:val="20"/>
        </w:rPr>
        <w:t>CDPHE (2005)</w:t>
      </w:r>
    </w:p>
    <w:p w14:paraId="195F5773" w14:textId="77777777" w:rsidR="00811CB2" w:rsidRPr="003720AF" w:rsidRDefault="00811CB2" w:rsidP="00811CB2"/>
    <w:p w14:paraId="79AA8B00" w14:textId="198EA52D" w:rsidR="00811CB2" w:rsidRPr="003720AF" w:rsidRDefault="00932D1A" w:rsidP="00811CB2">
      <w:pPr>
        <w:autoSpaceDE w:val="0"/>
        <w:autoSpaceDN w:val="0"/>
        <w:adjustRightInd w:val="0"/>
        <w:spacing w:line="360" w:lineRule="auto"/>
        <w:rPr>
          <w:rFonts w:cs="Arial"/>
        </w:rPr>
      </w:pPr>
      <w:r w:rsidRPr="003720AF">
        <w:rPr>
          <w:rFonts w:cs="Times-Roman"/>
        </w:rPr>
        <w:lastRenderedPageBreak/>
        <w:t>As shown in Table 5, OEHHA utilized studies of the effects of MA in humans as the basis for setting their RfD</w:t>
      </w:r>
      <w:r w:rsidR="006F3300" w:rsidRPr="003720AF">
        <w:rPr>
          <w:rFonts w:cs="Times-Roman"/>
        </w:rPr>
        <w:t xml:space="preserve"> value. </w:t>
      </w:r>
      <w:r w:rsidRPr="003720AF">
        <w:rPr>
          <w:rFonts w:cs="Times-Roman"/>
        </w:rPr>
        <w:t>In this context, OEHHA evaluated approximately 160 published research reports in the selection of a key s</w:t>
      </w:r>
      <w:r w:rsidR="006F3300" w:rsidRPr="003720AF">
        <w:rPr>
          <w:rFonts w:cs="Times-Roman"/>
        </w:rPr>
        <w:t xml:space="preserve">tudy for establishing the RfD. </w:t>
      </w:r>
      <w:r w:rsidRPr="003720AF">
        <w:rPr>
          <w:rFonts w:cs="Times-Roman"/>
        </w:rPr>
        <w:t xml:space="preserve">In general, when data are available, use of human studies is preferred over the use of </w:t>
      </w:r>
      <w:r w:rsidR="006F3300" w:rsidRPr="003720AF">
        <w:rPr>
          <w:rFonts w:cs="Times-Roman"/>
        </w:rPr>
        <w:t xml:space="preserve">studies in laboratory animals. </w:t>
      </w:r>
      <w:r w:rsidRPr="003720AF">
        <w:rPr>
          <w:rFonts w:cs="Times-Roman"/>
        </w:rPr>
        <w:t xml:space="preserve">Human data remove the need for species extrapolation and use of humans allows for </w:t>
      </w:r>
      <w:r w:rsidRPr="003720AF">
        <w:rPr>
          <w:rFonts w:cs="Arial"/>
        </w:rPr>
        <w:t>verbalization of minor subjective effects that may go unnoticed in an animal study</w:t>
      </w:r>
      <w:r w:rsidR="00811CB2" w:rsidRPr="003720AF">
        <w:rPr>
          <w:rFonts w:cs="Arial"/>
        </w:rPr>
        <w:t>.</w:t>
      </w:r>
    </w:p>
    <w:p w14:paraId="1EA36FFF" w14:textId="3C5C3D45" w:rsidR="00932D1A" w:rsidRPr="003720AF" w:rsidRDefault="00932D1A" w:rsidP="006E4765">
      <w:pPr>
        <w:pStyle w:val="Default"/>
        <w:spacing w:after="160" w:line="360" w:lineRule="auto"/>
        <w:rPr>
          <w:rFonts w:ascii="Arial" w:hAnsi="Arial" w:cs="Arial"/>
          <w:sz w:val="22"/>
          <w:szCs w:val="22"/>
          <w:lang w:val="en-NZ"/>
        </w:rPr>
      </w:pPr>
      <w:r w:rsidRPr="003720AF">
        <w:rPr>
          <w:rFonts w:ascii="Arial" w:hAnsi="Arial" w:cs="Arial"/>
          <w:sz w:val="22"/>
          <w:szCs w:val="22"/>
          <w:lang w:val="en-NZ"/>
        </w:rPr>
        <w:t xml:space="preserve">The primary study used by OEHHA for development of an </w:t>
      </w:r>
      <w:r w:rsidR="003720AF">
        <w:rPr>
          <w:rFonts w:ascii="Arial" w:hAnsi="Arial" w:cs="Arial"/>
          <w:sz w:val="22"/>
          <w:szCs w:val="22"/>
          <w:lang w:val="en-NZ"/>
        </w:rPr>
        <w:t>Rf</w:t>
      </w:r>
      <w:r w:rsidR="003720AF" w:rsidRPr="003720AF">
        <w:rPr>
          <w:rFonts w:ascii="Arial" w:hAnsi="Arial" w:cs="Arial"/>
          <w:sz w:val="22"/>
          <w:szCs w:val="22"/>
          <w:lang w:val="en-NZ"/>
        </w:rPr>
        <w:t>D</w:t>
      </w:r>
      <w:r w:rsidRPr="003720AF">
        <w:rPr>
          <w:rFonts w:ascii="Arial" w:hAnsi="Arial" w:cs="Arial"/>
          <w:sz w:val="22"/>
          <w:szCs w:val="22"/>
          <w:lang w:val="en-NZ"/>
        </w:rPr>
        <w:t xml:space="preserve"> for MA was a sub-chronic study of the drug’s efficacy in reducing weight gain in </w:t>
      </w:r>
      <w:r w:rsidR="00B05869" w:rsidRPr="003720AF">
        <w:rPr>
          <w:rFonts w:ascii="Arial" w:hAnsi="Arial" w:cs="Arial"/>
          <w:sz w:val="22"/>
          <w:szCs w:val="22"/>
          <w:lang w:val="en-NZ"/>
        </w:rPr>
        <w:t>women during pregnancy (Chapman</w:t>
      </w:r>
      <w:r w:rsidRPr="003720AF">
        <w:rPr>
          <w:rFonts w:ascii="Arial" w:hAnsi="Arial" w:cs="Arial"/>
          <w:sz w:val="22"/>
          <w:szCs w:val="22"/>
          <w:lang w:val="en-NZ"/>
        </w:rPr>
        <w:t xml:space="preserve"> 1961).  While this study is old, it was a well-controlled double-blind st</w:t>
      </w:r>
      <w:r w:rsidR="006F3300" w:rsidRPr="003720AF">
        <w:rPr>
          <w:rFonts w:ascii="Arial" w:hAnsi="Arial" w:cs="Arial"/>
          <w:sz w:val="22"/>
          <w:szCs w:val="22"/>
          <w:lang w:val="en-NZ"/>
        </w:rPr>
        <w:t xml:space="preserve">udy. </w:t>
      </w:r>
      <w:r w:rsidRPr="003720AF">
        <w:rPr>
          <w:rFonts w:ascii="Arial" w:hAnsi="Arial" w:cs="Arial"/>
          <w:sz w:val="22"/>
          <w:szCs w:val="22"/>
          <w:lang w:val="en-NZ"/>
        </w:rPr>
        <w:t>It utilized a total of 84 pregnant women who were administered a sustained-release formulation</w:t>
      </w:r>
      <w:r w:rsidR="006F3300" w:rsidRPr="003720AF">
        <w:rPr>
          <w:rFonts w:ascii="Arial" w:hAnsi="Arial" w:cs="Arial"/>
          <w:sz w:val="22"/>
          <w:szCs w:val="22"/>
          <w:lang w:val="en-NZ"/>
        </w:rPr>
        <w:t xml:space="preserve"> of d-MA (Desoxyn® Gradumet®). </w:t>
      </w:r>
      <w:r w:rsidRPr="003720AF">
        <w:rPr>
          <w:rFonts w:ascii="Arial" w:hAnsi="Arial" w:cs="Arial"/>
          <w:sz w:val="22"/>
          <w:szCs w:val="22"/>
          <w:lang w:val="en-NZ"/>
        </w:rPr>
        <w:t>The sustained release formulation best mimics the type of continuous exposure that would be expected to occur in a remediate</w:t>
      </w:r>
      <w:r w:rsidR="006F3300" w:rsidRPr="003720AF">
        <w:rPr>
          <w:rFonts w:ascii="Arial" w:hAnsi="Arial" w:cs="Arial"/>
          <w:sz w:val="22"/>
          <w:szCs w:val="22"/>
          <w:lang w:val="en-NZ"/>
        </w:rPr>
        <w:t>d residence.</w:t>
      </w:r>
      <w:r w:rsidRPr="003720AF">
        <w:rPr>
          <w:rFonts w:ascii="Arial" w:hAnsi="Arial" w:cs="Arial"/>
          <w:sz w:val="22"/>
          <w:szCs w:val="22"/>
          <w:lang w:val="en-NZ"/>
        </w:rPr>
        <w:t xml:space="preserve"> Patients were seen routinely every two weeks when subtle subjective symptoms </w:t>
      </w:r>
      <w:r w:rsidR="006F3300" w:rsidRPr="003720AF">
        <w:rPr>
          <w:rFonts w:ascii="Arial" w:hAnsi="Arial" w:cs="Arial"/>
          <w:sz w:val="22"/>
          <w:szCs w:val="22"/>
          <w:lang w:val="en-NZ"/>
        </w:rPr>
        <w:t xml:space="preserve">of toxicity could be recorded. </w:t>
      </w:r>
      <w:r w:rsidRPr="003720AF">
        <w:rPr>
          <w:rFonts w:ascii="Arial" w:hAnsi="Arial" w:cs="Arial"/>
          <w:sz w:val="22"/>
          <w:szCs w:val="22"/>
          <w:lang w:val="en-NZ"/>
        </w:rPr>
        <w:t>Each visit included an evaluation of blood pressure, heart rate, body weight, urinalysis, f</w:t>
      </w:r>
      <w:r w:rsidR="006F3300" w:rsidRPr="003720AF">
        <w:rPr>
          <w:rFonts w:ascii="Arial" w:hAnsi="Arial" w:cs="Arial"/>
          <w:sz w:val="22"/>
          <w:szCs w:val="22"/>
          <w:lang w:val="en-NZ"/>
        </w:rPr>
        <w:t xml:space="preserve">oetal size and uterine size. </w:t>
      </w:r>
      <w:r w:rsidRPr="003720AF">
        <w:rPr>
          <w:rFonts w:ascii="Arial" w:hAnsi="Arial" w:cs="Arial"/>
          <w:sz w:val="22"/>
          <w:szCs w:val="22"/>
          <w:lang w:val="en-NZ"/>
        </w:rPr>
        <w:t>Blood counts were evaluated each trimester, and blood chemistry was tested at term. Three dose levels were tested over the</w:t>
      </w:r>
      <w:r w:rsidR="006F3300" w:rsidRPr="003720AF">
        <w:rPr>
          <w:rFonts w:ascii="Arial" w:hAnsi="Arial" w:cs="Arial"/>
          <w:sz w:val="22"/>
          <w:szCs w:val="22"/>
          <w:lang w:val="en-NZ"/>
        </w:rPr>
        <w:t xml:space="preserve"> duration of 15–16 weeks.</w:t>
      </w:r>
      <w:r w:rsidRPr="003720AF">
        <w:rPr>
          <w:rFonts w:ascii="Arial" w:hAnsi="Arial" w:cs="Arial"/>
          <w:sz w:val="22"/>
          <w:szCs w:val="22"/>
          <w:lang w:val="en-NZ"/>
        </w:rPr>
        <w:t xml:space="preserve"> Sub-chronic dosing with MA produced a dose-related decrease in weight gain over the course of pregnancy that was highly statistically significant upon reanalysis by OEHHA (no statistical analyses were con</w:t>
      </w:r>
      <w:r w:rsidR="006F3300" w:rsidRPr="003720AF">
        <w:rPr>
          <w:rFonts w:ascii="Arial" w:hAnsi="Arial" w:cs="Arial"/>
          <w:sz w:val="22"/>
          <w:szCs w:val="22"/>
          <w:lang w:val="en-NZ"/>
        </w:rPr>
        <w:t>ducted in the original report).</w:t>
      </w:r>
      <w:r w:rsidRPr="003720AF">
        <w:rPr>
          <w:rFonts w:ascii="Arial" w:hAnsi="Arial" w:cs="Arial"/>
          <w:sz w:val="22"/>
          <w:szCs w:val="22"/>
          <w:lang w:val="en-NZ"/>
        </w:rPr>
        <w:t xml:space="preserve"> Based on the results of this study, the critical effects of methamphetamine were identified as appetite suppression and consequent reduction in body weight gain, and the lowest observed adverse effect level (LOAEL) for methamphetamine was 0.08 mg/kg bw/day.</w:t>
      </w:r>
      <w:r w:rsidR="006F3300" w:rsidRPr="003720AF">
        <w:rPr>
          <w:rFonts w:ascii="Arial" w:hAnsi="Arial" w:cs="Arial"/>
          <w:sz w:val="22"/>
          <w:szCs w:val="22"/>
          <w:lang w:val="en-NZ"/>
        </w:rPr>
        <w:t xml:space="preserve"> </w:t>
      </w:r>
      <w:r w:rsidRPr="003720AF">
        <w:rPr>
          <w:rFonts w:ascii="Arial" w:hAnsi="Arial" w:cs="Arial"/>
          <w:sz w:val="22"/>
          <w:szCs w:val="22"/>
          <w:lang w:val="en-NZ"/>
        </w:rPr>
        <w:t xml:space="preserve">While this physiological effect (weight loss) may not in all instances be considered “adverse”, since this was the intended pharmacological outcome, it does demonstrate the onset of measureable biological effects in the pregnant mother, thus presumably also carrying potential for exposure </w:t>
      </w:r>
      <w:r w:rsidR="006F3300" w:rsidRPr="003720AF">
        <w:rPr>
          <w:rFonts w:ascii="Arial" w:hAnsi="Arial" w:cs="Arial"/>
          <w:sz w:val="22"/>
          <w:szCs w:val="22"/>
          <w:lang w:val="en-NZ"/>
        </w:rPr>
        <w:t>affecting</w:t>
      </w:r>
      <w:r w:rsidRPr="003720AF">
        <w:rPr>
          <w:rFonts w:ascii="Arial" w:hAnsi="Arial" w:cs="Arial"/>
          <w:sz w:val="22"/>
          <w:szCs w:val="22"/>
          <w:lang w:val="en-NZ"/>
        </w:rPr>
        <w:t xml:space="preserve"> the physiology of the f</w:t>
      </w:r>
      <w:r w:rsidR="006F3300" w:rsidRPr="003720AF">
        <w:rPr>
          <w:rFonts w:ascii="Arial" w:hAnsi="Arial" w:cs="Arial"/>
          <w:sz w:val="22"/>
          <w:szCs w:val="22"/>
          <w:lang w:val="en-NZ"/>
        </w:rPr>
        <w:t>o</w:t>
      </w:r>
      <w:r w:rsidRPr="003720AF">
        <w:rPr>
          <w:rFonts w:ascii="Arial" w:hAnsi="Arial" w:cs="Arial"/>
          <w:sz w:val="22"/>
          <w:szCs w:val="22"/>
          <w:lang w:val="en-NZ"/>
        </w:rPr>
        <w:t>etus.</w:t>
      </w:r>
    </w:p>
    <w:p w14:paraId="70940D79" w14:textId="77777777" w:rsidR="00DC17ED" w:rsidRPr="003720AF" w:rsidRDefault="00932D1A" w:rsidP="006E4765">
      <w:pPr>
        <w:pStyle w:val="Default"/>
        <w:spacing w:after="160" w:line="360" w:lineRule="auto"/>
        <w:rPr>
          <w:rFonts w:ascii="Arial" w:hAnsi="Arial" w:cs="Arial"/>
          <w:sz w:val="22"/>
          <w:szCs w:val="22"/>
          <w:lang w:val="en-NZ"/>
        </w:rPr>
      </w:pPr>
      <w:r w:rsidRPr="003720AF">
        <w:rPr>
          <w:rFonts w:ascii="Arial" w:hAnsi="Arial" w:cs="Arial"/>
          <w:sz w:val="22"/>
          <w:szCs w:val="22"/>
          <w:lang w:val="en-NZ"/>
        </w:rPr>
        <w:t>The results of the Chapman study were corroborated in a smaller but similar study where pregnant women were given 10 mg/day of Desoxyn® Gradumet® for 15-16 weeks and gained significantly less weight than p</w:t>
      </w:r>
      <w:r w:rsidR="00B05869" w:rsidRPr="003720AF">
        <w:rPr>
          <w:rFonts w:ascii="Arial" w:hAnsi="Arial" w:cs="Arial"/>
          <w:sz w:val="22"/>
          <w:szCs w:val="22"/>
          <w:lang w:val="en-NZ"/>
        </w:rPr>
        <w:t>lacebo controls (Bayly</w:t>
      </w:r>
      <w:r w:rsidR="006F3300" w:rsidRPr="003720AF">
        <w:rPr>
          <w:rFonts w:ascii="Arial" w:hAnsi="Arial" w:cs="Arial"/>
          <w:sz w:val="22"/>
          <w:szCs w:val="22"/>
          <w:lang w:val="en-NZ"/>
        </w:rPr>
        <w:t xml:space="preserve"> 1960).</w:t>
      </w:r>
      <w:r w:rsidRPr="003720AF">
        <w:rPr>
          <w:rFonts w:ascii="Arial" w:hAnsi="Arial" w:cs="Arial"/>
          <w:sz w:val="22"/>
          <w:szCs w:val="22"/>
          <w:lang w:val="en-NZ"/>
        </w:rPr>
        <w:t>In addition, a study by Young and Turner (1965) assessed the efficacy of MA as an aid in the treatment of enure</w:t>
      </w:r>
      <w:r w:rsidR="006F3300" w:rsidRPr="003720AF">
        <w:rPr>
          <w:rFonts w:ascii="Arial" w:hAnsi="Arial" w:cs="Arial"/>
          <w:sz w:val="22"/>
          <w:szCs w:val="22"/>
          <w:lang w:val="en-NZ"/>
        </w:rPr>
        <w:t xml:space="preserve">sis (bed wetting) in children. </w:t>
      </w:r>
      <w:r w:rsidRPr="003720AF">
        <w:rPr>
          <w:rFonts w:ascii="Arial" w:hAnsi="Arial" w:cs="Arial"/>
          <w:sz w:val="22"/>
          <w:szCs w:val="22"/>
          <w:lang w:val="en-NZ"/>
        </w:rPr>
        <w:t>Most of the children in one treatment group of 110 children were given 5 mg of Methedrine (d-MA)</w:t>
      </w:r>
      <w:r w:rsidR="006F3300" w:rsidRPr="003720AF">
        <w:rPr>
          <w:rFonts w:ascii="Arial" w:hAnsi="Arial" w:cs="Arial"/>
          <w:sz w:val="22"/>
          <w:szCs w:val="22"/>
          <w:lang w:val="en-NZ"/>
        </w:rPr>
        <w:t xml:space="preserve"> each day just before bedtime. </w:t>
      </w:r>
      <w:r w:rsidRPr="003720AF">
        <w:rPr>
          <w:rFonts w:ascii="Arial" w:hAnsi="Arial" w:cs="Arial"/>
          <w:sz w:val="22"/>
          <w:szCs w:val="22"/>
          <w:lang w:val="en-NZ"/>
        </w:rPr>
        <w:t>Sleep disturbance was experienced in 8 of the 110 children and the effect disappeared when t</w:t>
      </w:r>
      <w:r w:rsidR="006F3300" w:rsidRPr="003720AF">
        <w:rPr>
          <w:rFonts w:ascii="Arial" w:hAnsi="Arial" w:cs="Arial"/>
          <w:sz w:val="22"/>
          <w:szCs w:val="22"/>
          <w:lang w:val="en-NZ"/>
        </w:rPr>
        <w:t xml:space="preserve">he dose was reduced to 2.5 mg. </w:t>
      </w:r>
      <w:r w:rsidRPr="003720AF">
        <w:rPr>
          <w:rFonts w:ascii="Arial" w:hAnsi="Arial" w:cs="Arial"/>
          <w:sz w:val="22"/>
          <w:szCs w:val="22"/>
          <w:lang w:val="en-NZ"/>
        </w:rPr>
        <w:t>These data suggest that the lowest observed adverse effect level (LOAEL) for MA in children was 5 mg (approximately 0.2 mg/kg bw/day), and that the no observed adverse effect level (NOAEL) was 2.5 mg (approximately 0.1 mg/k</w:t>
      </w:r>
      <w:r w:rsidR="00DC17ED" w:rsidRPr="003720AF">
        <w:rPr>
          <w:rFonts w:ascii="Arial" w:hAnsi="Arial" w:cs="Arial"/>
          <w:sz w:val="22"/>
          <w:szCs w:val="22"/>
          <w:lang w:val="en-NZ"/>
        </w:rPr>
        <w:t>g bw/day).</w:t>
      </w:r>
    </w:p>
    <w:p w14:paraId="1312D8E7" w14:textId="7AD5BB89" w:rsidR="00932D1A" w:rsidRPr="003720AF" w:rsidRDefault="00932D1A" w:rsidP="006E4765">
      <w:pPr>
        <w:pStyle w:val="Default"/>
        <w:spacing w:after="160" w:line="360" w:lineRule="auto"/>
        <w:rPr>
          <w:rFonts w:ascii="Arial" w:hAnsi="Arial" w:cs="Arial"/>
          <w:sz w:val="22"/>
          <w:szCs w:val="22"/>
          <w:lang w:val="en-NZ"/>
        </w:rPr>
      </w:pPr>
      <w:r w:rsidRPr="003720AF">
        <w:rPr>
          <w:rFonts w:ascii="Arial" w:hAnsi="Arial" w:cs="Arial"/>
          <w:sz w:val="22"/>
          <w:szCs w:val="22"/>
          <w:lang w:val="en-NZ"/>
        </w:rPr>
        <w:lastRenderedPageBreak/>
        <w:t>This LOAEL dose of 0.2 mg/kg bw/day is similar to, but 2.5-fold higher than, the dose utilized by Chapman.</w:t>
      </w:r>
    </w:p>
    <w:p w14:paraId="0AF80BFD" w14:textId="4E7F2790" w:rsidR="00932D1A" w:rsidRPr="003720AF" w:rsidRDefault="00932D1A" w:rsidP="00992ED0">
      <w:pPr>
        <w:pStyle w:val="Default"/>
        <w:spacing w:after="160" w:line="360" w:lineRule="auto"/>
        <w:rPr>
          <w:rFonts w:ascii="Arial" w:hAnsi="Arial" w:cs="Arial"/>
          <w:sz w:val="22"/>
          <w:szCs w:val="22"/>
          <w:lang w:val="en-NZ"/>
        </w:rPr>
      </w:pPr>
      <w:r w:rsidRPr="003720AF">
        <w:rPr>
          <w:rFonts w:ascii="Arial" w:hAnsi="Arial" w:cs="Arial"/>
          <w:sz w:val="22"/>
          <w:szCs w:val="22"/>
          <w:lang w:val="en-NZ"/>
        </w:rPr>
        <w:t>In assessing the relative sensitivities of adults and children with ADHD to stimulants, Dulcan (1997) suggested that adults are indeed more sensitive to both the therapeutic and side effects of these drugs. To help understand this observation, it is noted that, when normalized to body weight, children had significantly faster clearance rates of MA than adults, with a lower C</w:t>
      </w:r>
      <w:r w:rsidRPr="003720AF">
        <w:rPr>
          <w:rFonts w:ascii="Arial" w:hAnsi="Arial" w:cs="Arial"/>
          <w:sz w:val="22"/>
          <w:szCs w:val="22"/>
          <w:vertAlign w:val="subscript"/>
          <w:lang w:val="en-NZ"/>
        </w:rPr>
        <w:t>max</w:t>
      </w:r>
      <w:r w:rsidRPr="003720AF">
        <w:rPr>
          <w:rFonts w:ascii="Arial" w:hAnsi="Arial" w:cs="Arial"/>
          <w:sz w:val="22"/>
          <w:szCs w:val="22"/>
          <w:lang w:val="en-NZ"/>
        </w:rPr>
        <w:t xml:space="preserve"> </w:t>
      </w:r>
      <w:r w:rsidR="00AB1FF6" w:rsidRPr="003720AF">
        <w:rPr>
          <w:rFonts w:ascii="Arial" w:hAnsi="Arial" w:cs="Arial"/>
          <w:sz w:val="22"/>
          <w:szCs w:val="22"/>
          <w:lang w:val="en-NZ"/>
        </w:rPr>
        <w:t xml:space="preserve">(peak blood concentration of the drug) </w:t>
      </w:r>
      <w:r w:rsidRPr="003720AF">
        <w:rPr>
          <w:rFonts w:ascii="Arial" w:hAnsi="Arial" w:cs="Arial"/>
          <w:sz w:val="22"/>
          <w:szCs w:val="22"/>
          <w:lang w:val="en-NZ"/>
        </w:rPr>
        <w:t xml:space="preserve">and AUC </w:t>
      </w:r>
      <w:r w:rsidR="00AB1FF6" w:rsidRPr="003720AF">
        <w:rPr>
          <w:rFonts w:ascii="Arial" w:hAnsi="Arial" w:cs="Arial"/>
          <w:sz w:val="22"/>
          <w:szCs w:val="22"/>
          <w:lang w:val="en-NZ"/>
        </w:rPr>
        <w:t xml:space="preserve">(area under the curve or the amount of drug absorbed) </w:t>
      </w:r>
      <w:r w:rsidRPr="003720AF">
        <w:rPr>
          <w:rFonts w:ascii="Arial" w:hAnsi="Arial" w:cs="Arial"/>
          <w:sz w:val="22"/>
          <w:szCs w:val="22"/>
          <w:lang w:val="en-NZ"/>
        </w:rPr>
        <w:t>values than adults (FDA review</w:t>
      </w:r>
      <w:r w:rsidR="005B710F" w:rsidRPr="003720AF">
        <w:rPr>
          <w:rFonts w:ascii="Arial" w:hAnsi="Arial" w:cs="Arial"/>
          <w:sz w:val="22"/>
          <w:szCs w:val="22"/>
          <w:lang w:val="en-NZ"/>
        </w:rPr>
        <w:t xml:space="preserve"> 2001</w:t>
      </w:r>
      <w:r w:rsidRPr="003720AF">
        <w:rPr>
          <w:rFonts w:ascii="Arial" w:hAnsi="Arial" w:cs="Arial"/>
          <w:sz w:val="22"/>
          <w:szCs w:val="22"/>
          <w:lang w:val="en-NZ"/>
        </w:rPr>
        <w:t>).</w:t>
      </w:r>
      <w:r w:rsidR="006E4765" w:rsidRPr="003720AF">
        <w:rPr>
          <w:rFonts w:ascii="Arial" w:hAnsi="Arial" w:cs="Arial"/>
          <w:sz w:val="22"/>
          <w:szCs w:val="22"/>
          <w:lang w:val="en-NZ"/>
        </w:rPr>
        <w:t xml:space="preserve"> </w:t>
      </w:r>
      <w:r w:rsidRPr="003720AF">
        <w:rPr>
          <w:rFonts w:ascii="Arial" w:hAnsi="Arial" w:cs="Arial"/>
          <w:sz w:val="22"/>
          <w:szCs w:val="22"/>
          <w:lang w:val="en-NZ"/>
        </w:rPr>
        <w:t xml:space="preserve">Thus, the metabolism of MA is apparently much </w:t>
      </w:r>
      <w:r w:rsidR="00992ED0" w:rsidRPr="003720AF">
        <w:rPr>
          <w:rFonts w:ascii="Arial" w:hAnsi="Arial" w:cs="Arial"/>
          <w:sz w:val="22"/>
          <w:szCs w:val="22"/>
          <w:lang w:val="en-NZ"/>
        </w:rPr>
        <w:t>faster in children than adults.</w:t>
      </w:r>
      <w:r w:rsidRPr="003720AF">
        <w:rPr>
          <w:rFonts w:ascii="Arial" w:hAnsi="Arial" w:cs="Arial"/>
          <w:sz w:val="22"/>
          <w:szCs w:val="22"/>
          <w:lang w:val="en-NZ"/>
        </w:rPr>
        <w:t xml:space="preserve"> It is unknown if the same holds true regarding human f</w:t>
      </w:r>
      <w:r w:rsidR="00992ED0" w:rsidRPr="003720AF">
        <w:rPr>
          <w:rFonts w:ascii="Arial" w:hAnsi="Arial" w:cs="Arial"/>
          <w:sz w:val="22"/>
          <w:szCs w:val="22"/>
          <w:lang w:val="en-NZ"/>
        </w:rPr>
        <w:t>o</w:t>
      </w:r>
      <w:r w:rsidRPr="003720AF">
        <w:rPr>
          <w:rFonts w:ascii="Arial" w:hAnsi="Arial" w:cs="Arial"/>
          <w:sz w:val="22"/>
          <w:szCs w:val="22"/>
          <w:lang w:val="en-NZ"/>
        </w:rPr>
        <w:t>etal metabolism.</w:t>
      </w:r>
    </w:p>
    <w:p w14:paraId="744CF55F" w14:textId="4B63B611" w:rsidR="00932D1A" w:rsidRPr="003720AF" w:rsidRDefault="00932D1A" w:rsidP="00811CB2">
      <w:pPr>
        <w:autoSpaceDE w:val="0"/>
        <w:autoSpaceDN w:val="0"/>
        <w:adjustRightInd w:val="0"/>
        <w:spacing w:line="360" w:lineRule="auto"/>
        <w:rPr>
          <w:rFonts w:cs="TimesNewRomanPS"/>
        </w:rPr>
      </w:pPr>
      <w:r w:rsidRPr="003720AF">
        <w:rPr>
          <w:rFonts w:cs="TimesNewRomanPS"/>
        </w:rPr>
        <w:t xml:space="preserve">The dataset used by the </w:t>
      </w:r>
      <w:r w:rsidR="00992ED0" w:rsidRPr="003720AF">
        <w:rPr>
          <w:rFonts w:cs="TimesNewRomanPS"/>
        </w:rPr>
        <w:t>C</w:t>
      </w:r>
      <w:r w:rsidRPr="003720AF">
        <w:rPr>
          <w:rFonts w:cs="TimesNewRomanPS"/>
        </w:rPr>
        <w:t>DPHE to derive their HBEV was derived from studies conducted in laboratory animals, where the objective was to identify the potential impact of MA on developmental and rep</w:t>
      </w:r>
      <w:r w:rsidR="00992ED0" w:rsidRPr="003720AF">
        <w:rPr>
          <w:rFonts w:cs="TimesNewRomanPS"/>
        </w:rPr>
        <w:t xml:space="preserve">roductive toxicity end points. </w:t>
      </w:r>
      <w:r w:rsidRPr="003720AF">
        <w:rPr>
          <w:rFonts w:cs="TimesNewRomanPS"/>
        </w:rPr>
        <w:t>While such data are valuable as this is a sensitive endpoint of conce</w:t>
      </w:r>
      <w:r w:rsidR="00992ED0" w:rsidRPr="003720AF">
        <w:rPr>
          <w:rFonts w:cs="TimesNewRomanPS"/>
        </w:rPr>
        <w:t>rn, ie</w:t>
      </w:r>
      <w:r w:rsidRPr="003720AF">
        <w:rPr>
          <w:rFonts w:cs="TimesNewRomanPS"/>
        </w:rPr>
        <w:t>, developing f</w:t>
      </w:r>
      <w:r w:rsidR="00992ED0" w:rsidRPr="003720AF">
        <w:rPr>
          <w:rFonts w:cs="TimesNewRomanPS"/>
        </w:rPr>
        <w:t>o</w:t>
      </w:r>
      <w:r w:rsidRPr="003720AF">
        <w:rPr>
          <w:rFonts w:cs="TimesNewRomanPS"/>
        </w:rPr>
        <w:t>etuses, there are s</w:t>
      </w:r>
      <w:r w:rsidRPr="003720AF">
        <w:t>everal reasons why use of human data may be preferred over that of data obta</w:t>
      </w:r>
      <w:r w:rsidR="00992ED0" w:rsidRPr="003720AF">
        <w:t xml:space="preserve">ined using laboratory animals. </w:t>
      </w:r>
      <w:r w:rsidRPr="003720AF">
        <w:t>Foremost among these is the large species-dependent disparity in sensitivity to the drug, with laboratory animals (particularly rats and mice) generally being much les</w:t>
      </w:r>
      <w:r w:rsidR="00992ED0" w:rsidRPr="003720AF">
        <w:t xml:space="preserve">s sensitive to MA than humans. </w:t>
      </w:r>
      <w:r w:rsidRPr="003720AF">
        <w:t>For example, in characterizing the cognitive effects of postnatal exposu</w:t>
      </w:r>
      <w:r w:rsidR="00B05869" w:rsidRPr="003720AF">
        <w:t>re to MA in mice, Acevedo et al</w:t>
      </w:r>
      <w:r w:rsidRPr="003720AF">
        <w:t xml:space="preserve"> (2007) utilized a daily dose of 5 mg/kg. In an adult human, this would be equivalent to a total dose of 300-350 mg, which would b</w:t>
      </w:r>
      <w:r w:rsidR="00A64144" w:rsidRPr="003720AF">
        <w:t>e potentially life-threatening.</w:t>
      </w:r>
      <w:r w:rsidRPr="003720AF">
        <w:t xml:space="preserve"> In addition, the pharmacokinetics of MA in laboratory animals an</w:t>
      </w:r>
      <w:r w:rsidR="00A64144" w:rsidRPr="003720AF">
        <w:t xml:space="preserve">d humans differ substantially. </w:t>
      </w:r>
      <w:r w:rsidR="00B05869" w:rsidRPr="003720AF">
        <w:t>As Cho et al</w:t>
      </w:r>
      <w:r w:rsidRPr="003720AF">
        <w:t xml:space="preserve"> (2003) point out, the elimination half-life of MA is 70 minutes in rats and 12 hours in humans. </w:t>
      </w:r>
      <w:r w:rsidRPr="003720AF">
        <w:rPr>
          <w:rFonts w:cs="TimesNewRomanPS"/>
        </w:rPr>
        <w:t xml:space="preserve">Thus, these data alone </w:t>
      </w:r>
      <w:r w:rsidR="00A64144" w:rsidRPr="003720AF">
        <w:rPr>
          <w:rFonts w:cs="TimesNewRomanPS"/>
        </w:rPr>
        <w:t>support the use of the 10x</w:t>
      </w:r>
      <w:r w:rsidRPr="003720AF">
        <w:rPr>
          <w:rFonts w:cs="TimesNewRomanPS"/>
        </w:rPr>
        <w:t xml:space="preserve"> safety factor to account for the extrapolation of toxicity data from the results of studies conducted in animals for use in the application to humans. </w:t>
      </w:r>
    </w:p>
    <w:p w14:paraId="476E3805" w14:textId="0650E1D5" w:rsidR="00811CB2" w:rsidRPr="003720AF" w:rsidRDefault="00811CB2" w:rsidP="00811CB2">
      <w:pPr>
        <w:autoSpaceDE w:val="0"/>
        <w:autoSpaceDN w:val="0"/>
        <w:adjustRightInd w:val="0"/>
        <w:spacing w:line="360" w:lineRule="auto"/>
        <w:rPr>
          <w:rFonts w:cs="Times-Roman"/>
        </w:rPr>
      </w:pPr>
      <w:r w:rsidRPr="003720AF">
        <w:rPr>
          <w:rFonts w:cs="Times-Roman"/>
        </w:rPr>
        <w:t>Uncertainty factors are a means of adding conservativeness to a dose based on various deficiencies in the studies and how they are interpreted</w:t>
      </w:r>
      <w:r w:rsidR="00A64144" w:rsidRPr="003720AF">
        <w:rPr>
          <w:rFonts w:cs="Times-Roman"/>
        </w:rPr>
        <w:t>.</w:t>
      </w:r>
      <w:r w:rsidRPr="003720AF">
        <w:rPr>
          <w:rFonts w:cs="Times-Roman"/>
        </w:rPr>
        <w:t xml:space="preserve"> Uncertainty f</w:t>
      </w:r>
      <w:r w:rsidR="00A64144" w:rsidRPr="003720AF">
        <w:rPr>
          <w:rFonts w:cs="Times-Roman"/>
        </w:rPr>
        <w:t xml:space="preserve">actors ranging from 1 to </w:t>
      </w:r>
      <w:r w:rsidRPr="003720AF">
        <w:rPr>
          <w:rFonts w:cs="Times-Roman"/>
        </w:rPr>
        <w:t>10 are typically applied for the following rational</w:t>
      </w:r>
      <w:r w:rsidR="00A64144" w:rsidRPr="003720AF">
        <w:rPr>
          <w:rFonts w:cs="Times-Roman"/>
        </w:rPr>
        <w:t>e</w:t>
      </w:r>
      <w:r w:rsidRPr="003720AF">
        <w:rPr>
          <w:rFonts w:cs="Times-Roman"/>
        </w:rPr>
        <w:t>:</w:t>
      </w:r>
    </w:p>
    <w:p w14:paraId="6A67F10E" w14:textId="77777777" w:rsidR="00811CB2" w:rsidRPr="003720AF" w:rsidRDefault="00811CB2" w:rsidP="00811CB2">
      <w:pPr>
        <w:pStyle w:val="ListParagraph"/>
        <w:numPr>
          <w:ilvl w:val="0"/>
          <w:numId w:val="29"/>
        </w:numPr>
        <w:autoSpaceDE w:val="0"/>
        <w:autoSpaceDN w:val="0"/>
        <w:adjustRightInd w:val="0"/>
        <w:spacing w:after="0" w:line="360" w:lineRule="auto"/>
        <w:rPr>
          <w:rFonts w:cs="Times-Roman"/>
        </w:rPr>
      </w:pPr>
      <w:r w:rsidRPr="003720AF">
        <w:rPr>
          <w:rFonts w:cs="Times-Roman"/>
        </w:rPr>
        <w:t xml:space="preserve">Variation in susceptibility among the members of the human population </w:t>
      </w:r>
    </w:p>
    <w:p w14:paraId="30978CBD" w14:textId="77777777" w:rsidR="00811CB2" w:rsidRPr="003720AF" w:rsidRDefault="00811CB2" w:rsidP="00811CB2">
      <w:pPr>
        <w:pStyle w:val="ListParagraph"/>
        <w:numPr>
          <w:ilvl w:val="0"/>
          <w:numId w:val="29"/>
        </w:numPr>
        <w:autoSpaceDE w:val="0"/>
        <w:autoSpaceDN w:val="0"/>
        <w:adjustRightInd w:val="0"/>
        <w:spacing w:after="0" w:line="360" w:lineRule="auto"/>
        <w:rPr>
          <w:rFonts w:cs="Times-Roman"/>
        </w:rPr>
      </w:pPr>
      <w:r w:rsidRPr="003720AF">
        <w:rPr>
          <w:rFonts w:cs="Times-Roman"/>
        </w:rPr>
        <w:t xml:space="preserve">Uncertainty in extrapolating animal data to humans </w:t>
      </w:r>
    </w:p>
    <w:p w14:paraId="40FF02A8" w14:textId="77777777" w:rsidR="00811CB2" w:rsidRPr="003720AF" w:rsidRDefault="00811CB2" w:rsidP="00811CB2">
      <w:pPr>
        <w:pStyle w:val="ListParagraph"/>
        <w:numPr>
          <w:ilvl w:val="0"/>
          <w:numId w:val="29"/>
        </w:numPr>
        <w:autoSpaceDE w:val="0"/>
        <w:autoSpaceDN w:val="0"/>
        <w:adjustRightInd w:val="0"/>
        <w:spacing w:after="0" w:line="360" w:lineRule="auto"/>
        <w:rPr>
          <w:rFonts w:cs="Times-Roman"/>
        </w:rPr>
      </w:pPr>
      <w:r w:rsidRPr="003720AF">
        <w:rPr>
          <w:rFonts w:cs="Times-Roman"/>
        </w:rPr>
        <w:t xml:space="preserve">Uncertainty in extrapolating from the results of a short-term study to long-term exposure </w:t>
      </w:r>
    </w:p>
    <w:p w14:paraId="1215B243" w14:textId="77777777" w:rsidR="00811CB2" w:rsidRPr="003720AF" w:rsidRDefault="00811CB2" w:rsidP="00811CB2">
      <w:pPr>
        <w:pStyle w:val="ListParagraph"/>
        <w:numPr>
          <w:ilvl w:val="0"/>
          <w:numId w:val="29"/>
        </w:numPr>
        <w:autoSpaceDE w:val="0"/>
        <w:autoSpaceDN w:val="0"/>
        <w:adjustRightInd w:val="0"/>
        <w:spacing w:after="0" w:line="360" w:lineRule="auto"/>
        <w:rPr>
          <w:rFonts w:cs="Times-Roman"/>
        </w:rPr>
      </w:pPr>
      <w:r w:rsidRPr="003720AF">
        <w:rPr>
          <w:rFonts w:cs="Times-Roman"/>
        </w:rPr>
        <w:t xml:space="preserve">Uncertainty in extrapolating from a LOAEL to a NOAEL </w:t>
      </w:r>
    </w:p>
    <w:p w14:paraId="656475E6" w14:textId="77777777" w:rsidR="00811CB2" w:rsidRPr="003720AF" w:rsidRDefault="00811CB2" w:rsidP="00811CB2">
      <w:pPr>
        <w:pStyle w:val="ListParagraph"/>
        <w:numPr>
          <w:ilvl w:val="0"/>
          <w:numId w:val="29"/>
        </w:numPr>
        <w:autoSpaceDE w:val="0"/>
        <w:autoSpaceDN w:val="0"/>
        <w:adjustRightInd w:val="0"/>
        <w:spacing w:after="0" w:line="360" w:lineRule="auto"/>
        <w:rPr>
          <w:rFonts w:cs="Times-Roman"/>
        </w:rPr>
      </w:pPr>
      <w:r w:rsidRPr="003720AF">
        <w:rPr>
          <w:rFonts w:cs="Times-Roman"/>
        </w:rPr>
        <w:t xml:space="preserve">Uncertainty associated with extrapolation when the database is incomplete </w:t>
      </w:r>
    </w:p>
    <w:p w14:paraId="5A0BF648" w14:textId="77777777" w:rsidR="00811CB2" w:rsidRPr="003720AF" w:rsidRDefault="00811CB2" w:rsidP="00811CB2">
      <w:pPr>
        <w:pStyle w:val="ListParagraph"/>
        <w:autoSpaceDE w:val="0"/>
        <w:autoSpaceDN w:val="0"/>
        <w:adjustRightInd w:val="0"/>
        <w:spacing w:after="0" w:line="360" w:lineRule="auto"/>
        <w:rPr>
          <w:rFonts w:cs="Times-Roman"/>
        </w:rPr>
      </w:pPr>
    </w:p>
    <w:p w14:paraId="17F4206B" w14:textId="7B7E10E2" w:rsidR="00932D1A" w:rsidRPr="003720AF" w:rsidRDefault="00932D1A" w:rsidP="00932D1A">
      <w:pPr>
        <w:autoSpaceDE w:val="0"/>
        <w:autoSpaceDN w:val="0"/>
        <w:adjustRightInd w:val="0"/>
        <w:spacing w:line="360" w:lineRule="auto"/>
        <w:rPr>
          <w:rFonts w:cs="Times New Roman"/>
          <w:color w:val="000000"/>
        </w:rPr>
      </w:pPr>
      <w:bookmarkStart w:id="39" w:name="_Toc335228167"/>
      <w:bookmarkStart w:id="40" w:name="_Toc335332110"/>
      <w:r w:rsidRPr="003720AF">
        <w:rPr>
          <w:rFonts w:cs="Times-Roman"/>
        </w:rPr>
        <w:lastRenderedPageBreak/>
        <w:t>In both calculations, the regulatory agencies applied a combined safety factor</w:t>
      </w:r>
      <w:r w:rsidR="00A64144" w:rsidRPr="003720AF">
        <w:rPr>
          <w:rFonts w:cs="Times-Roman"/>
        </w:rPr>
        <w:t xml:space="preserve"> of 300x</w:t>
      </w:r>
      <w:r w:rsidRPr="003720AF">
        <w:rPr>
          <w:rFonts w:cs="Times-Roman"/>
        </w:rPr>
        <w:t xml:space="preserve"> to derive their health-based </w:t>
      </w:r>
      <w:r w:rsidR="00A64144" w:rsidRPr="003720AF">
        <w:rPr>
          <w:rFonts w:cs="Times-Roman"/>
        </w:rPr>
        <w:t xml:space="preserve">value. </w:t>
      </w:r>
      <w:r w:rsidRPr="003720AF">
        <w:rPr>
          <w:rFonts w:cs="Times-Roman"/>
        </w:rPr>
        <w:t>Both a</w:t>
      </w:r>
      <w:r w:rsidR="00A64144" w:rsidRPr="003720AF">
        <w:rPr>
          <w:rFonts w:cs="Times-Roman"/>
        </w:rPr>
        <w:t>gencies applied a 10x</w:t>
      </w:r>
      <w:r w:rsidRPr="003720AF">
        <w:rPr>
          <w:rFonts w:cs="Times-Roman"/>
        </w:rPr>
        <w:t xml:space="preserve"> factor for intraspecies differences, or </w:t>
      </w:r>
      <w:r w:rsidRPr="003720AF">
        <w:rPr>
          <w:rFonts w:cs="Times New Roman"/>
          <w:color w:val="000000"/>
        </w:rPr>
        <w:t>susceptibility among the members of the human population, and they both also utilized a 3</w:t>
      </w:r>
      <w:r w:rsidR="00A64144" w:rsidRPr="003720AF">
        <w:rPr>
          <w:rFonts w:cs="Times New Roman"/>
          <w:color w:val="000000"/>
        </w:rPr>
        <w:t>x</w:t>
      </w:r>
      <w:r w:rsidRPr="003720AF">
        <w:rPr>
          <w:rFonts w:cs="Times New Roman"/>
          <w:color w:val="000000"/>
        </w:rPr>
        <w:t xml:space="preserve"> factor</w:t>
      </w:r>
      <w:r w:rsidR="00A64144" w:rsidRPr="003720AF">
        <w:rPr>
          <w:rFonts w:cs="Times New Roman"/>
          <w:color w:val="000000"/>
        </w:rPr>
        <w:t xml:space="preserve"> for database insufficiencies. </w:t>
      </w:r>
      <w:r w:rsidRPr="003720AF">
        <w:rPr>
          <w:rFonts w:cs="Times New Roman"/>
          <w:color w:val="000000"/>
        </w:rPr>
        <w:t>Colorado, however, used a benchmark dose level (BMDL) estimate as their toxicological point of departure</w:t>
      </w:r>
      <w:r w:rsidR="00A64144" w:rsidRPr="003720AF">
        <w:rPr>
          <w:rFonts w:cs="Times New Roman"/>
          <w:color w:val="000000"/>
        </w:rPr>
        <w:t xml:space="preserve">. </w:t>
      </w:r>
      <w:r w:rsidRPr="003720AF">
        <w:rPr>
          <w:rFonts w:cs="Times New Roman"/>
          <w:color w:val="000000"/>
        </w:rPr>
        <w:t>This is an estimated dose level that results from a statistical analysis of all the doses and responses in a study and represents an estimate of a specific response threshold</w:t>
      </w:r>
      <w:r w:rsidR="00A64144" w:rsidRPr="003720AF">
        <w:rPr>
          <w:rFonts w:cs="Times New Roman"/>
          <w:color w:val="000000"/>
        </w:rPr>
        <w:t xml:space="preserve">. </w:t>
      </w:r>
      <w:r w:rsidRPr="003720AF">
        <w:rPr>
          <w:rFonts w:cs="Times New Roman"/>
          <w:color w:val="000000"/>
        </w:rPr>
        <w:t>The BMD approach does not require an additional uncertainty factor adjustment to estimate a NOAEL.</w:t>
      </w:r>
      <w:r w:rsidR="00A64144" w:rsidRPr="003720AF">
        <w:rPr>
          <w:rFonts w:cs="Times New Roman"/>
          <w:color w:val="000000"/>
        </w:rPr>
        <w:t xml:space="preserve"> </w:t>
      </w:r>
      <w:r w:rsidRPr="003720AF">
        <w:rPr>
          <w:rFonts w:cs="Times New Roman"/>
          <w:color w:val="000000"/>
        </w:rPr>
        <w:t xml:space="preserve">Accordingly, the </w:t>
      </w:r>
      <w:r w:rsidR="00A64144" w:rsidRPr="003720AF">
        <w:rPr>
          <w:rFonts w:cs="Times New Roman"/>
          <w:color w:val="000000"/>
        </w:rPr>
        <w:t>C</w:t>
      </w:r>
      <w:r w:rsidRPr="003720AF">
        <w:rPr>
          <w:rFonts w:cs="Times New Roman"/>
          <w:color w:val="000000"/>
        </w:rPr>
        <w:t xml:space="preserve">DPHE used an additional uncertainty factor of 10 to account for the use of laboratory animals </w:t>
      </w:r>
      <w:r w:rsidRPr="003720AF">
        <w:rPr>
          <w:rFonts w:cs="Times New Roman"/>
          <w:i/>
          <w:color w:val="000000"/>
        </w:rPr>
        <w:t xml:space="preserve">in lieu </w:t>
      </w:r>
      <w:r w:rsidR="00A64144" w:rsidRPr="003720AF">
        <w:rPr>
          <w:rFonts w:cs="Times New Roman"/>
          <w:color w:val="000000"/>
        </w:rPr>
        <w:t>of human data.</w:t>
      </w:r>
      <w:r w:rsidRPr="003720AF">
        <w:rPr>
          <w:rFonts w:cs="Times New Roman"/>
          <w:color w:val="000000"/>
        </w:rPr>
        <w:t xml:space="preserve"> While the RfD from OEHHA was based on human data,</w:t>
      </w:r>
      <w:r w:rsidR="00A64144" w:rsidRPr="003720AF">
        <w:rPr>
          <w:rFonts w:cs="Times New Roman"/>
          <w:color w:val="000000"/>
        </w:rPr>
        <w:t xml:space="preserve"> an extra safety factor of 10</w:t>
      </w:r>
      <w:r w:rsidRPr="003720AF">
        <w:rPr>
          <w:rFonts w:cs="Times New Roman"/>
          <w:color w:val="000000"/>
        </w:rPr>
        <w:t xml:space="preserve"> was employed to approximate a NOAEL as the Chapman study only provided a LOAEL.    </w:t>
      </w:r>
    </w:p>
    <w:p w14:paraId="0B8C70CE" w14:textId="3A756C02" w:rsidR="00932D1A" w:rsidRPr="003720AF" w:rsidRDefault="00932D1A" w:rsidP="00932D1A">
      <w:pPr>
        <w:autoSpaceDE w:val="0"/>
        <w:autoSpaceDN w:val="0"/>
        <w:adjustRightInd w:val="0"/>
        <w:spacing w:line="360" w:lineRule="auto"/>
        <w:rPr>
          <w:rFonts w:cs="Times-Roman"/>
        </w:rPr>
      </w:pPr>
      <w:r w:rsidRPr="003720AF">
        <w:rPr>
          <w:rFonts w:cs="Times-Roman"/>
        </w:rPr>
        <w:t>The State of Utah considered the above approaches from Colorado and California and chose to use a different (intermediate) RfD value of 1 µg/kg bw/day (Utah Department of Health</w:t>
      </w:r>
      <w:r w:rsidR="00A64144" w:rsidRPr="003720AF">
        <w:rPr>
          <w:rFonts w:cs="Times-Roman"/>
        </w:rPr>
        <w:t xml:space="preserve"> 2016). </w:t>
      </w:r>
      <w:r w:rsidRPr="003720AF">
        <w:rPr>
          <w:rFonts w:cs="Times-Roman"/>
        </w:rPr>
        <w:t xml:space="preserve">The scientific basis for this value was not presented on the Utah website and is not further discussed in this report. </w:t>
      </w:r>
    </w:p>
    <w:p w14:paraId="43B4AFE7" w14:textId="77777777" w:rsidR="00811CB2" w:rsidRPr="003720AF" w:rsidRDefault="00811CB2" w:rsidP="00811CB2">
      <w:pPr>
        <w:pStyle w:val="Heading3"/>
      </w:pPr>
      <w:bookmarkStart w:id="41" w:name="_Toc463856042"/>
      <w:r w:rsidRPr="003720AF">
        <w:t>RfD Summary and Conclusions</w:t>
      </w:r>
      <w:bookmarkEnd w:id="39"/>
      <w:bookmarkEnd w:id="40"/>
      <w:bookmarkEnd w:id="41"/>
    </w:p>
    <w:p w14:paraId="05CD18B3" w14:textId="700D1A5B" w:rsidR="00932D1A" w:rsidRPr="003720AF" w:rsidRDefault="00932D1A" w:rsidP="00932D1A">
      <w:pPr>
        <w:autoSpaceDE w:val="0"/>
        <w:autoSpaceDN w:val="0"/>
        <w:adjustRightInd w:val="0"/>
        <w:spacing w:line="360" w:lineRule="auto"/>
        <w:rPr>
          <w:rFonts w:cs="Times-Roman"/>
        </w:rPr>
      </w:pPr>
      <w:bookmarkStart w:id="42" w:name="_Toc335228168"/>
      <w:bookmarkStart w:id="43" w:name="_Toc335332111"/>
      <w:r w:rsidRPr="003720AF">
        <w:rPr>
          <w:rFonts w:cs="Times-Roman"/>
        </w:rPr>
        <w:t>Two different approaches were utilized in establishing a dose of MA that would be considered to represent the highest amount of material that could be ingested on a daily basis without significant concern that such an exposure would induce an adverse</w:t>
      </w:r>
      <w:r w:rsidR="00A64144" w:rsidRPr="003720AF">
        <w:rPr>
          <w:rFonts w:cs="Times-Roman"/>
        </w:rPr>
        <w:t xml:space="preserve"> effect. </w:t>
      </w:r>
      <w:r w:rsidRPr="003720AF">
        <w:rPr>
          <w:rFonts w:cs="Times-Roman"/>
        </w:rPr>
        <w:t>Both methodologies utilized conservative assumptions</w:t>
      </w:r>
      <w:r w:rsidR="00A64144" w:rsidRPr="003720AF">
        <w:rPr>
          <w:rFonts w:cs="Times-Roman"/>
        </w:rPr>
        <w:t xml:space="preserve"> to derive their values. </w:t>
      </w:r>
      <w:r w:rsidRPr="003720AF">
        <w:rPr>
          <w:rFonts w:cs="Times-Roman"/>
        </w:rPr>
        <w:t>The combined results lead to a range of RfD/HBEV values</w:t>
      </w:r>
      <w:r w:rsidR="00A64144" w:rsidRPr="003720AF">
        <w:rPr>
          <w:rFonts w:cs="Times-Roman"/>
        </w:rPr>
        <w:t xml:space="preserve"> from 0.3 to </w:t>
      </w:r>
      <w:r w:rsidRPr="003720AF">
        <w:rPr>
          <w:rFonts w:cs="Times-Roman"/>
        </w:rPr>
        <w:t xml:space="preserve">70 </w:t>
      </w:r>
      <w:r w:rsidRPr="003720AF">
        <w:rPr>
          <w:rFonts w:ascii="Symbol" w:hAnsi="Symbol" w:cs="Times-Roman"/>
        </w:rPr>
        <w:t></w:t>
      </w:r>
      <w:r w:rsidR="00A64144" w:rsidRPr="003720AF">
        <w:rPr>
          <w:rFonts w:cs="Times-Roman"/>
        </w:rPr>
        <w:t xml:space="preserve">g/kg-day. </w:t>
      </w:r>
      <w:r w:rsidRPr="003720AF">
        <w:rPr>
          <w:rFonts w:cs="Times-Roman"/>
        </w:rPr>
        <w:t>This 233-fold difference in RfDs is indicative of the level of uncertainty and variability using the available data, in t</w:t>
      </w:r>
      <w:r w:rsidR="00A64144" w:rsidRPr="003720AF">
        <w:rPr>
          <w:rFonts w:cs="Times-Roman"/>
        </w:rPr>
        <w:t xml:space="preserve">his case, for risk assessment. </w:t>
      </w:r>
      <w:r w:rsidRPr="003720AF">
        <w:rPr>
          <w:rFonts w:cs="Times-Roman"/>
        </w:rPr>
        <w:t xml:space="preserve">While, on face value, any dose estimate within this range could be deemed to be safe, given the overall preference for using human data particularly when humans are known </w:t>
      </w:r>
      <w:r w:rsidR="00A64144" w:rsidRPr="003720AF">
        <w:rPr>
          <w:rFonts w:cs="Times-Roman"/>
        </w:rPr>
        <w:t>to be the more sensitive species</w:t>
      </w:r>
      <w:r w:rsidRPr="003720AF">
        <w:rPr>
          <w:rFonts w:cs="Times-Roman"/>
        </w:rPr>
        <w:t>, it is recommended that the value developed by the California OEHHA be adopted and used as the RfD (0.3 µg/kg bw/</w:t>
      </w:r>
      <w:r w:rsidR="00A64144" w:rsidRPr="003720AF">
        <w:rPr>
          <w:rFonts w:cs="Times-Roman"/>
        </w:rPr>
        <w:t>day).</w:t>
      </w:r>
    </w:p>
    <w:p w14:paraId="28392E18" w14:textId="68FB3789" w:rsidR="00932D1A" w:rsidRPr="003720AF" w:rsidRDefault="00932D1A" w:rsidP="00932D1A">
      <w:pPr>
        <w:autoSpaceDE w:val="0"/>
        <w:autoSpaceDN w:val="0"/>
        <w:adjustRightInd w:val="0"/>
        <w:spacing w:line="360" w:lineRule="auto"/>
        <w:rPr>
          <w:rFonts w:cs="Times-Roman"/>
        </w:rPr>
      </w:pPr>
      <w:r w:rsidRPr="003720AF">
        <w:rPr>
          <w:rFonts w:cs="Times-Roman"/>
        </w:rPr>
        <w:t>This is the most conservative of the published RfD values and it was derived from data using the most sensitive species (adult humans), using a study that was conducted over a relatively long period of time (</w:t>
      </w:r>
      <w:r w:rsidR="00A64144" w:rsidRPr="003720AF">
        <w:rPr>
          <w:rFonts w:cs="Times-Roman"/>
        </w:rPr>
        <w:t xml:space="preserve">4 months). </w:t>
      </w:r>
      <w:r w:rsidRPr="003720AF">
        <w:rPr>
          <w:rFonts w:cs="Times-Roman"/>
        </w:rPr>
        <w:t>The MA formulated product in the key study by Chapman was a slow-releasing material that would also be better reflective of a continuous exposure in</w:t>
      </w:r>
      <w:r w:rsidR="00E26693" w:rsidRPr="003720AF">
        <w:rPr>
          <w:rFonts w:cs="Times-Roman"/>
        </w:rPr>
        <w:t xml:space="preserve"> a remediated home. </w:t>
      </w:r>
      <w:r w:rsidRPr="003720AF">
        <w:rPr>
          <w:rFonts w:cs="Times-Roman"/>
        </w:rPr>
        <w:t>This value would also allow for the protection of developing human f</w:t>
      </w:r>
      <w:r w:rsidR="00E26693" w:rsidRPr="003720AF">
        <w:rPr>
          <w:rFonts w:cs="Times-Roman"/>
        </w:rPr>
        <w:t>o</w:t>
      </w:r>
      <w:r w:rsidRPr="003720AF">
        <w:rPr>
          <w:rFonts w:cs="Times-Roman"/>
        </w:rPr>
        <w:t>etuses, as it is 16-fold lower than the lowest dose derived by the C</w:t>
      </w:r>
      <w:r w:rsidR="000C2E10" w:rsidRPr="003720AF">
        <w:rPr>
          <w:rFonts w:cs="Times-Roman"/>
        </w:rPr>
        <w:t>DPHE</w:t>
      </w:r>
      <w:r w:rsidRPr="003720AF">
        <w:rPr>
          <w:rFonts w:cs="Times-Roman"/>
        </w:rPr>
        <w:t xml:space="preserve"> (4</w:t>
      </w:r>
      <w:r w:rsidR="00E26693" w:rsidRPr="003720AF">
        <w:rPr>
          <w:rFonts w:cs="Times-Roman"/>
        </w:rPr>
        <w:t>–70 </w:t>
      </w:r>
      <w:r w:rsidRPr="003720AF">
        <w:rPr>
          <w:rFonts w:ascii="Symbol" w:hAnsi="Symbol" w:cs="Times-Roman"/>
        </w:rPr>
        <w:t></w:t>
      </w:r>
      <w:r w:rsidRPr="003720AF">
        <w:rPr>
          <w:rFonts w:cs="Times-Roman"/>
        </w:rPr>
        <w:t xml:space="preserve">g/kg/day), which was based on an oral </w:t>
      </w:r>
      <w:r w:rsidRPr="003720AF">
        <w:rPr>
          <w:rFonts w:cs="Times-Roman"/>
        </w:rPr>
        <w:lastRenderedPageBreak/>
        <w:t xml:space="preserve">developmental toxicity data in laboratory </w:t>
      </w:r>
      <w:r w:rsidR="00E26693" w:rsidRPr="003720AF">
        <w:rPr>
          <w:rFonts w:cs="Times-Roman"/>
        </w:rPr>
        <w:t>rats.</w:t>
      </w:r>
      <w:r w:rsidRPr="003720AF">
        <w:rPr>
          <w:rFonts w:cs="Times-Roman"/>
        </w:rPr>
        <w:t xml:space="preserve"> The California RfD was also used by Australi</w:t>
      </w:r>
      <w:r w:rsidR="00E26693" w:rsidRPr="003720AF">
        <w:rPr>
          <w:rFonts w:cs="Times-Roman"/>
        </w:rPr>
        <w:t>a in their risk assessment (ERS</w:t>
      </w:r>
      <w:r w:rsidRPr="003720AF">
        <w:rPr>
          <w:rFonts w:cs="Times-Roman"/>
        </w:rPr>
        <w:t xml:space="preserve"> 2009).</w:t>
      </w:r>
    </w:p>
    <w:p w14:paraId="34AA28DC" w14:textId="77777777" w:rsidR="00811CB2" w:rsidRPr="003720AF" w:rsidRDefault="00811CB2" w:rsidP="00811CB2">
      <w:pPr>
        <w:pStyle w:val="Heading2"/>
        <w:rPr>
          <w:rFonts w:hint="eastAsia"/>
        </w:rPr>
      </w:pPr>
      <w:bookmarkStart w:id="44" w:name="_Toc463856043"/>
      <w:r w:rsidRPr="003720AF">
        <w:t>Exposure Assessment</w:t>
      </w:r>
      <w:bookmarkEnd w:id="42"/>
      <w:bookmarkEnd w:id="43"/>
      <w:bookmarkEnd w:id="44"/>
    </w:p>
    <w:p w14:paraId="7EEE471A" w14:textId="6CC7C9DE" w:rsidR="00932D1A" w:rsidRPr="003720AF" w:rsidRDefault="00932D1A" w:rsidP="00932D1A">
      <w:pPr>
        <w:autoSpaceDE w:val="0"/>
        <w:autoSpaceDN w:val="0"/>
        <w:adjustRightInd w:val="0"/>
        <w:spacing w:line="360" w:lineRule="auto"/>
        <w:rPr>
          <w:rFonts w:cs="Times-Roman"/>
        </w:rPr>
      </w:pPr>
      <w:r w:rsidRPr="003720AF">
        <w:rPr>
          <w:rFonts w:cs="Times-Roman"/>
        </w:rPr>
        <w:t xml:space="preserve">We assessed MA exposure to two groups in this risk assessment: </w:t>
      </w:r>
      <w:r w:rsidR="00B0488E" w:rsidRPr="003720AF">
        <w:rPr>
          <w:rFonts w:cs="Times-Roman"/>
        </w:rPr>
        <w:t>a</w:t>
      </w:r>
      <w:r w:rsidRPr="003720AF">
        <w:rPr>
          <w:rFonts w:cs="Times-Roman"/>
        </w:rPr>
        <w:t>dult women of child bearing a</w:t>
      </w:r>
      <w:r w:rsidR="00B0488E" w:rsidRPr="003720AF">
        <w:rPr>
          <w:rFonts w:cs="Times-Roman"/>
        </w:rPr>
        <w:t>ge, and young children age 1</w:t>
      </w:r>
      <w:r w:rsidR="00B0488E" w:rsidRPr="003720AF">
        <w:rPr>
          <w:rFonts w:cs="Arial"/>
        </w:rPr>
        <w:t>–</w:t>
      </w:r>
      <w:r w:rsidR="00B0488E" w:rsidRPr="003720AF">
        <w:rPr>
          <w:rFonts w:cs="Times-Roman"/>
        </w:rPr>
        <w:t>2 years.</w:t>
      </w:r>
      <w:r w:rsidRPr="003720AF">
        <w:rPr>
          <w:rFonts w:cs="Times-Roman"/>
        </w:rPr>
        <w:t xml:space="preserve"> This is a similar approach to that used in previous MA risk assessments (ERS </w:t>
      </w:r>
      <w:r w:rsidR="00B0488E" w:rsidRPr="003720AF">
        <w:rPr>
          <w:rFonts w:cs="Times-Roman"/>
        </w:rPr>
        <w:t xml:space="preserve">2009; OEHHA 2010; CDPHE 2005). </w:t>
      </w:r>
      <w:r w:rsidRPr="003720AF">
        <w:rPr>
          <w:rFonts w:cs="Times-Roman"/>
        </w:rPr>
        <w:t>The different assumptions used by these various assessments were compared</w:t>
      </w:r>
      <w:r w:rsidR="00B0488E" w:rsidRPr="003720AF">
        <w:rPr>
          <w:rFonts w:cs="Times-Roman"/>
        </w:rPr>
        <w:t xml:space="preserve"> (see Appendix). </w:t>
      </w:r>
      <w:r w:rsidRPr="003720AF">
        <w:rPr>
          <w:rFonts w:cs="Times-Roman"/>
        </w:rPr>
        <w:t>Where possible we used published New Zealand-specific exposure parameters in place of default parameters from international sources (</w:t>
      </w:r>
      <w:r w:rsidR="00BC2E4C" w:rsidRPr="003720AF">
        <w:rPr>
          <w:rFonts w:cs="Times-Roman"/>
        </w:rPr>
        <w:t>Cressey and Horn 2016</w:t>
      </w:r>
      <w:r w:rsidR="005A6453" w:rsidRPr="003720AF">
        <w:rPr>
          <w:rFonts w:cs="Times-Roman"/>
        </w:rPr>
        <w:t xml:space="preserve">). </w:t>
      </w:r>
      <w:r w:rsidRPr="003720AF">
        <w:rPr>
          <w:rFonts w:cs="Times-Roman"/>
        </w:rPr>
        <w:t>Due to the low volatility of MA, and absence of evidence of airborne MA in remediated houses, our assessment did not include inhalation as a</w:t>
      </w:r>
      <w:r w:rsidR="00707AE2" w:rsidRPr="003720AF">
        <w:rPr>
          <w:rFonts w:cs="Times-Roman"/>
        </w:rPr>
        <w:t xml:space="preserve"> significant route of exposure.</w:t>
      </w:r>
      <w:r w:rsidRPr="003720AF">
        <w:rPr>
          <w:rFonts w:cs="Times-Roman"/>
        </w:rPr>
        <w:t xml:space="preserve"> This same assumption was also explored and used by the existing risk assessments by California, Colorado, and Aus</w:t>
      </w:r>
      <w:r w:rsidR="00707AE2" w:rsidRPr="003720AF">
        <w:rPr>
          <w:rFonts w:cs="Times-Roman"/>
        </w:rPr>
        <w:t>tralia reviewed in this report.</w:t>
      </w:r>
      <w:r w:rsidRPr="003720AF">
        <w:rPr>
          <w:rFonts w:cs="Times-Roman"/>
        </w:rPr>
        <w:t xml:space="preserve"> Exposures from mouthed objects were considered to represent a negligible route of exposure in either remediated house scenario, as in the previously existing assessments. Details of exposure calculations and assumptions in this report are provided in the Appendix.</w:t>
      </w:r>
    </w:p>
    <w:p w14:paraId="162A9FB7" w14:textId="5DB4342D" w:rsidR="00932D1A" w:rsidRPr="003720AF" w:rsidRDefault="00932D1A" w:rsidP="00932D1A">
      <w:pPr>
        <w:autoSpaceDE w:val="0"/>
        <w:autoSpaceDN w:val="0"/>
        <w:adjustRightInd w:val="0"/>
        <w:spacing w:line="360" w:lineRule="auto"/>
        <w:rPr>
          <w:rFonts w:cs="Times-Roman"/>
        </w:rPr>
      </w:pPr>
      <w:r w:rsidRPr="003720AF">
        <w:rPr>
          <w:rFonts w:cs="Times-Roman"/>
        </w:rPr>
        <w:t xml:space="preserve">Scenarios representing the 1-2 year old toddler resulted in the highest estimates of exposure to MA, with the vast majority (85%) of exposure coming from direct </w:t>
      </w:r>
      <w:r w:rsidR="003C3FF2" w:rsidRPr="003720AF">
        <w:rPr>
          <w:rFonts w:cs="Times-Roman"/>
        </w:rPr>
        <w:t xml:space="preserve">dermal contact and absorption. </w:t>
      </w:r>
      <w:r w:rsidRPr="003720AF">
        <w:rPr>
          <w:rFonts w:cs="Times-Roman"/>
        </w:rPr>
        <w:t xml:space="preserve">We assumed </w:t>
      </w:r>
      <w:r w:rsidR="004A49B0" w:rsidRPr="003720AF">
        <w:rPr>
          <w:rFonts w:cs="Times-Roman"/>
        </w:rPr>
        <w:t>no exposure</w:t>
      </w:r>
      <w:r w:rsidRPr="003720AF">
        <w:rPr>
          <w:rFonts w:cs="Times-Roman"/>
        </w:rPr>
        <w:t xml:space="preserve"> from soft surfaces </w:t>
      </w:r>
      <w:r w:rsidR="004A49B0" w:rsidRPr="003720AF">
        <w:rPr>
          <w:rFonts w:cs="Times-Roman"/>
        </w:rPr>
        <w:t xml:space="preserve">since carpeting is likely to be removed during remediation as </w:t>
      </w:r>
      <w:r w:rsidR="003C3FF2" w:rsidRPr="003720AF">
        <w:rPr>
          <w:rFonts w:cs="Times-Roman"/>
        </w:rPr>
        <w:t xml:space="preserve">described in the Appendix. </w:t>
      </w:r>
      <w:r w:rsidR="00BD414D" w:rsidRPr="003720AF">
        <w:rPr>
          <w:rFonts w:cs="Times-Roman"/>
        </w:rPr>
        <w:t>Oral exposures from hand-to-</w:t>
      </w:r>
      <w:r w:rsidRPr="003720AF">
        <w:rPr>
          <w:rFonts w:cs="Times-Roman"/>
        </w:rPr>
        <w:t>mouth intak</w:t>
      </w:r>
      <w:r w:rsidR="003C3FF2" w:rsidRPr="003720AF">
        <w:rPr>
          <w:rFonts w:cs="Times-Roman"/>
        </w:rPr>
        <w:t xml:space="preserve">e contributed 15% to exposure. </w:t>
      </w:r>
      <w:r w:rsidRPr="003720AF">
        <w:rPr>
          <w:rFonts w:cs="Times-Roman"/>
        </w:rPr>
        <w:t xml:space="preserve">For the adult woman scenario, dermal exposures were assumed to </w:t>
      </w:r>
      <w:r w:rsidR="003C3FF2" w:rsidRPr="003720AF">
        <w:rPr>
          <w:rFonts w:cs="Times-Roman"/>
        </w:rPr>
        <w:t xml:space="preserve">be 100% of the exposure route. </w:t>
      </w:r>
      <w:r w:rsidRPr="003720AF">
        <w:rPr>
          <w:rFonts w:cs="Times-Roman"/>
        </w:rPr>
        <w:t xml:space="preserve">At a modelled surface MA concentration of 0.1 </w:t>
      </w:r>
      <w:r w:rsidRPr="003720AF">
        <w:rPr>
          <w:rFonts w:ascii="Symbol" w:hAnsi="Symbol" w:cs="Times-Roman"/>
        </w:rPr>
        <w:t></w:t>
      </w:r>
      <w:r w:rsidRPr="003720AF">
        <w:rPr>
          <w:rFonts w:cs="Times-Roman"/>
        </w:rPr>
        <w:t>g/100 cm</w:t>
      </w:r>
      <w:r w:rsidRPr="003720AF">
        <w:rPr>
          <w:rFonts w:cs="Times-Roman"/>
          <w:vertAlign w:val="superscript"/>
        </w:rPr>
        <w:t>2</w:t>
      </w:r>
      <w:r w:rsidRPr="003720AF">
        <w:rPr>
          <w:rFonts w:cs="Times-Roman"/>
        </w:rPr>
        <w:t xml:space="preserve">, the estimated total dose for a 1-2 year toddler was 0.021 </w:t>
      </w:r>
      <w:r w:rsidRPr="003720AF">
        <w:rPr>
          <w:rFonts w:ascii="Symbol" w:hAnsi="Symbol" w:cs="Times-Roman"/>
        </w:rPr>
        <w:t></w:t>
      </w:r>
      <w:r w:rsidRPr="003720AF">
        <w:rPr>
          <w:rFonts w:cs="Times-Roman"/>
        </w:rPr>
        <w:t xml:space="preserve">g/kg bw/day, while the estimated dose for the adult woman was 0.014 </w:t>
      </w:r>
      <w:r w:rsidRPr="003720AF">
        <w:rPr>
          <w:rFonts w:ascii="Symbol" w:hAnsi="Symbol" w:cs="Times-Roman"/>
        </w:rPr>
        <w:t></w:t>
      </w:r>
      <w:r w:rsidRPr="003720AF">
        <w:rPr>
          <w:rFonts w:cs="Times-Roman"/>
        </w:rPr>
        <w:t>g/kg bw/day</w:t>
      </w:r>
      <w:r w:rsidR="003C3FF2" w:rsidRPr="003720AF">
        <w:rPr>
          <w:rFonts w:cs="Times-Roman"/>
        </w:rPr>
        <w:t>.</w:t>
      </w:r>
    </w:p>
    <w:p w14:paraId="7C3DFF47" w14:textId="0F5FD208" w:rsidR="00932D1A" w:rsidRPr="003720AF" w:rsidRDefault="00932D1A" w:rsidP="00932D1A">
      <w:pPr>
        <w:autoSpaceDE w:val="0"/>
        <w:autoSpaceDN w:val="0"/>
        <w:adjustRightInd w:val="0"/>
        <w:spacing w:line="360" w:lineRule="auto"/>
        <w:rPr>
          <w:rFonts w:cs="Times-Roman"/>
        </w:rPr>
      </w:pPr>
      <w:r w:rsidRPr="003720AF">
        <w:rPr>
          <w:rFonts w:cs="Times-Roman"/>
        </w:rPr>
        <w:t>Despite widely varying starting points for exposure and RfD from Colorado, Australia, and California, all estimates wer</w:t>
      </w:r>
      <w:r w:rsidR="003C3FF2" w:rsidRPr="003720AF">
        <w:rPr>
          <w:rFonts w:cs="Times-Roman"/>
        </w:rPr>
        <w:t>e within an order of magnitude.</w:t>
      </w:r>
      <w:r w:rsidRPr="003720AF">
        <w:rPr>
          <w:rFonts w:cs="Times-Roman"/>
        </w:rPr>
        <w:t xml:space="preserve"> The present assessment aligned most closely with that of California, using current 2012 </w:t>
      </w:r>
      <w:r w:rsidR="00DC17ED" w:rsidRPr="003720AF">
        <w:rPr>
          <w:rFonts w:cs="Times-Roman"/>
        </w:rPr>
        <w:t>standard operating procedures (</w:t>
      </w:r>
      <w:r w:rsidRPr="003720AF">
        <w:rPr>
          <w:rFonts w:cs="Times-Roman"/>
        </w:rPr>
        <w:t>SOP</w:t>
      </w:r>
      <w:r w:rsidR="00DC17ED" w:rsidRPr="003720AF">
        <w:rPr>
          <w:rFonts w:cs="Times-Roman"/>
        </w:rPr>
        <w:t>)</w:t>
      </w:r>
      <w:r w:rsidRPr="003720AF">
        <w:rPr>
          <w:rFonts w:cs="Times-Roman"/>
        </w:rPr>
        <w:t xml:space="preserve"> exposure values</w:t>
      </w:r>
      <w:r w:rsidR="003C3FF2" w:rsidRPr="003720AF">
        <w:rPr>
          <w:rFonts w:cs="Times-Roman"/>
        </w:rPr>
        <w:t xml:space="preserve"> and parameters from E</w:t>
      </w:r>
      <w:r w:rsidR="00BC2E4C" w:rsidRPr="003720AF">
        <w:rPr>
          <w:rFonts w:cs="Times-Roman"/>
        </w:rPr>
        <w:t xml:space="preserve">nvironmental Science and Research (Cressey and Horn </w:t>
      </w:r>
      <w:r w:rsidR="003C3FF2" w:rsidRPr="003720AF">
        <w:rPr>
          <w:rFonts w:cs="Times-Roman"/>
        </w:rPr>
        <w:t>2016</w:t>
      </w:r>
      <w:r w:rsidR="00BC2E4C" w:rsidRPr="003720AF">
        <w:rPr>
          <w:rFonts w:cs="Times-Roman"/>
        </w:rPr>
        <w:t>)</w:t>
      </w:r>
      <w:r w:rsidR="003C3FF2" w:rsidRPr="003720AF">
        <w:rPr>
          <w:rFonts w:cs="Times-Roman"/>
        </w:rPr>
        <w:t xml:space="preserve">. </w:t>
      </w:r>
      <w:r w:rsidRPr="003720AF">
        <w:rPr>
          <w:rFonts w:cs="Times-Roman"/>
        </w:rPr>
        <w:t>The surface concentrations corresponding to the California</w:t>
      </w:r>
      <w:r w:rsidR="004A49B0" w:rsidRPr="003720AF">
        <w:rPr>
          <w:rFonts w:cs="Times-Roman"/>
        </w:rPr>
        <w:t xml:space="preserve"> RfD are 2.0</w:t>
      </w:r>
      <w:r w:rsidR="00B81690" w:rsidRPr="003720AF">
        <w:rPr>
          <w:rFonts w:cs="Times-Roman"/>
        </w:rPr>
        <w:t> </w:t>
      </w:r>
      <w:r w:rsidRPr="003720AF">
        <w:rPr>
          <w:rFonts w:ascii="Symbol" w:hAnsi="Symbol" w:cs="Times-Roman"/>
        </w:rPr>
        <w:t></w:t>
      </w:r>
      <w:r w:rsidR="00B81690" w:rsidRPr="003720AF">
        <w:rPr>
          <w:rFonts w:cs="Times-Roman"/>
        </w:rPr>
        <w:t>g/100 </w:t>
      </w:r>
      <w:r w:rsidRPr="003720AF">
        <w:rPr>
          <w:rFonts w:cs="Times-Roman"/>
        </w:rPr>
        <w:t>cm</w:t>
      </w:r>
      <w:r w:rsidRPr="003720AF">
        <w:rPr>
          <w:rFonts w:cs="Times-Roman"/>
          <w:vertAlign w:val="superscript"/>
        </w:rPr>
        <w:t>2</w:t>
      </w:r>
      <w:r w:rsidR="004A49B0" w:rsidRPr="003720AF">
        <w:rPr>
          <w:rFonts w:cs="Times-Roman"/>
        </w:rPr>
        <w:t xml:space="preserve"> and 3.8</w:t>
      </w:r>
      <w:r w:rsidRPr="003720AF">
        <w:rPr>
          <w:rFonts w:cs="Times-Roman"/>
        </w:rPr>
        <w:t xml:space="preserve"> </w:t>
      </w:r>
      <w:r w:rsidRPr="003720AF">
        <w:rPr>
          <w:rFonts w:ascii="Symbol" w:hAnsi="Symbol" w:cs="Times-Roman"/>
        </w:rPr>
        <w:t></w:t>
      </w:r>
      <w:r w:rsidRPr="003720AF">
        <w:rPr>
          <w:rFonts w:cs="Times-Roman"/>
        </w:rPr>
        <w:t>g/100 cm</w:t>
      </w:r>
      <w:r w:rsidRPr="003720AF">
        <w:rPr>
          <w:rFonts w:cs="Times-Roman"/>
          <w:vertAlign w:val="superscript"/>
        </w:rPr>
        <w:t>2</w:t>
      </w:r>
      <w:r w:rsidRPr="003720AF">
        <w:rPr>
          <w:rFonts w:cs="Times-Roman"/>
        </w:rPr>
        <w:t xml:space="preserve"> for 1-2 year olds </w:t>
      </w:r>
      <w:r w:rsidR="00B81690" w:rsidRPr="003720AF">
        <w:rPr>
          <w:rFonts w:cs="Times-Roman"/>
        </w:rPr>
        <w:t xml:space="preserve">and adult women, respectively. </w:t>
      </w:r>
      <w:r w:rsidR="004A49B0" w:rsidRPr="003720AF">
        <w:rPr>
          <w:rFonts w:cs="Times-Roman"/>
        </w:rPr>
        <w:t xml:space="preserve">This calculated value is sufficiently different from </w:t>
      </w:r>
      <w:r w:rsidRPr="003720AF">
        <w:rPr>
          <w:rFonts w:cs="Times-Roman"/>
        </w:rPr>
        <w:t>the OEHHA recommended standard of 1.5</w:t>
      </w:r>
      <w:r w:rsidR="00B81690" w:rsidRPr="003720AF">
        <w:rPr>
          <w:rFonts w:cs="Times-Roman"/>
        </w:rPr>
        <w:t> </w:t>
      </w:r>
      <w:r w:rsidRPr="003720AF">
        <w:rPr>
          <w:rFonts w:ascii="Symbol" w:hAnsi="Symbol" w:cs="Times-Roman"/>
        </w:rPr>
        <w:t></w:t>
      </w:r>
      <w:r w:rsidR="00B81690" w:rsidRPr="003720AF">
        <w:rPr>
          <w:rFonts w:cs="Times-Roman"/>
        </w:rPr>
        <w:t>g/100 </w:t>
      </w:r>
      <w:r w:rsidRPr="003720AF">
        <w:rPr>
          <w:rFonts w:cs="Times-Roman"/>
        </w:rPr>
        <w:t>cm</w:t>
      </w:r>
      <w:r w:rsidRPr="003720AF">
        <w:rPr>
          <w:rFonts w:cs="Times-Roman"/>
          <w:vertAlign w:val="superscript"/>
        </w:rPr>
        <w:t>2</w:t>
      </w:r>
      <w:r w:rsidR="004A49B0" w:rsidRPr="003720AF">
        <w:rPr>
          <w:rFonts w:cs="Times-Roman"/>
        </w:rPr>
        <w:t xml:space="preserve"> to justify departing from the California standard in this case.</w:t>
      </w:r>
    </w:p>
    <w:p w14:paraId="717731CA" w14:textId="4806D9E5" w:rsidR="00B053AC" w:rsidRPr="003720AF" w:rsidRDefault="00B81690" w:rsidP="00932D1A">
      <w:pPr>
        <w:autoSpaceDE w:val="0"/>
        <w:autoSpaceDN w:val="0"/>
        <w:adjustRightInd w:val="0"/>
        <w:spacing w:line="360" w:lineRule="auto"/>
        <w:rPr>
          <w:rFonts w:cs="Times-Roman"/>
        </w:rPr>
      </w:pPr>
      <w:r w:rsidRPr="003720AF">
        <w:rPr>
          <w:rFonts w:cs="Times-Roman"/>
        </w:rPr>
        <w:lastRenderedPageBreak/>
        <w:t xml:space="preserve">The exposure assessments all assume </w:t>
      </w:r>
      <w:r w:rsidR="00932D1A" w:rsidRPr="003720AF">
        <w:rPr>
          <w:rFonts w:cs="Times-Roman"/>
        </w:rPr>
        <w:t>that exposures will remain constant post-remediation, even though in the real situation, surface dislodgeable residue levels will almost certainly decrease with time.</w:t>
      </w:r>
    </w:p>
    <w:p w14:paraId="4C1B227C" w14:textId="427C61BF" w:rsidR="00932D1A" w:rsidRPr="003720AF" w:rsidRDefault="00B053AC" w:rsidP="00F06ABA">
      <w:pPr>
        <w:rPr>
          <w:rFonts w:cs="Times-Roman"/>
        </w:rPr>
      </w:pPr>
      <w:r w:rsidRPr="003720AF">
        <w:rPr>
          <w:rFonts w:cs="Times-Roman"/>
        </w:rPr>
        <w:br w:type="page"/>
      </w:r>
    </w:p>
    <w:p w14:paraId="074F7F1C" w14:textId="77777777" w:rsidR="00455AFF" w:rsidRPr="003720AF" w:rsidRDefault="00AD1EE9" w:rsidP="00455AFF">
      <w:pPr>
        <w:pStyle w:val="Heading1"/>
      </w:pPr>
      <w:bookmarkStart w:id="45" w:name="_Toc463856044"/>
      <w:r w:rsidRPr="003720AF">
        <w:lastRenderedPageBreak/>
        <w:t>PROPOSED MA STANDARD</w:t>
      </w:r>
      <w:bookmarkEnd w:id="45"/>
      <w:r w:rsidR="00455AFF" w:rsidRPr="003720AF">
        <w:t xml:space="preserve"> </w:t>
      </w:r>
    </w:p>
    <w:p w14:paraId="0FCC0D12" w14:textId="77777777" w:rsidR="00455AFF" w:rsidRPr="003720AF" w:rsidRDefault="00455AFF" w:rsidP="00455AFF">
      <w:pPr>
        <w:pStyle w:val="Heading2"/>
        <w:rPr>
          <w:rFonts w:hint="eastAsia"/>
        </w:rPr>
      </w:pPr>
      <w:bookmarkStart w:id="46" w:name="_Toc335228170"/>
      <w:bookmarkStart w:id="47" w:name="_Toc335332113"/>
      <w:bookmarkStart w:id="48" w:name="_Toc463856045"/>
      <w:r w:rsidRPr="003720AF">
        <w:t>Remediated Clan Labs</w:t>
      </w:r>
      <w:bookmarkEnd w:id="46"/>
      <w:bookmarkEnd w:id="47"/>
      <w:bookmarkEnd w:id="48"/>
    </w:p>
    <w:p w14:paraId="221E3259" w14:textId="332AF556" w:rsidR="00932D1A" w:rsidRPr="003720AF" w:rsidRDefault="00932D1A" w:rsidP="00DE7980">
      <w:pPr>
        <w:spacing w:line="360" w:lineRule="auto"/>
        <w:rPr>
          <w:rFonts w:cs="Times-Roman"/>
        </w:rPr>
      </w:pPr>
      <w:r w:rsidRPr="003720AF">
        <w:rPr>
          <w:rFonts w:cs="Times-Roman"/>
        </w:rPr>
        <w:t>Based on our review of the hazards, exposures, and uncertainties inherent with remediated clan labs, the r</w:t>
      </w:r>
      <w:r w:rsidR="006A7725" w:rsidRPr="003720AF">
        <w:rPr>
          <w:rFonts w:cs="Times-Roman"/>
        </w:rPr>
        <w:t>ecommended New Zealand MA clean</w:t>
      </w:r>
      <w:r w:rsidRPr="003720AF">
        <w:rPr>
          <w:rFonts w:cs="Times-Roman"/>
        </w:rPr>
        <w:t xml:space="preserve">up standard remains:  </w:t>
      </w:r>
    </w:p>
    <w:p w14:paraId="7B7E4CC1" w14:textId="77777777" w:rsidR="00455AFF" w:rsidRPr="003720AF" w:rsidRDefault="00455AFF" w:rsidP="00455AFF">
      <w:pPr>
        <w:rPr>
          <w:rFonts w:cs="Times-Roman"/>
        </w:rPr>
      </w:pPr>
      <w:r w:rsidRPr="003720AF">
        <w:rPr>
          <w:rFonts w:cs="Times-Roman"/>
          <w:b/>
        </w:rPr>
        <w:t xml:space="preserve">Methamphetamine standard (former labs): 0.5 </w:t>
      </w:r>
      <w:r w:rsidRPr="003720AF">
        <w:rPr>
          <w:rFonts w:cs="Lucida Grande"/>
          <w:b/>
          <w:color w:val="000000"/>
        </w:rPr>
        <w:t>μ</w:t>
      </w:r>
      <w:r w:rsidRPr="003720AF">
        <w:rPr>
          <w:rFonts w:cs="Times-Roman"/>
          <w:b/>
        </w:rPr>
        <w:t>g/100 cm</w:t>
      </w:r>
      <w:r w:rsidRPr="003720AF">
        <w:rPr>
          <w:rFonts w:cs="Times-Roman"/>
          <w:b/>
          <w:vertAlign w:val="superscript"/>
        </w:rPr>
        <w:t>2</w:t>
      </w:r>
      <w:r w:rsidRPr="003720AF">
        <w:rPr>
          <w:rFonts w:cs="Times-Roman"/>
        </w:rPr>
        <w:t>.</w:t>
      </w:r>
    </w:p>
    <w:p w14:paraId="375392CE" w14:textId="55DD5B44" w:rsidR="00932D1A" w:rsidRPr="003720AF" w:rsidRDefault="00932D1A" w:rsidP="002A06EA">
      <w:pPr>
        <w:spacing w:line="360" w:lineRule="auto"/>
        <w:rPr>
          <w:rFonts w:cs="Times-Roman"/>
        </w:rPr>
      </w:pPr>
      <w:r w:rsidRPr="003720AF">
        <w:rPr>
          <w:rFonts w:cs="Times-Roman"/>
        </w:rPr>
        <w:t xml:space="preserve">While the risk assessment of MA itself would support a </w:t>
      </w:r>
      <w:r w:rsidR="00DE7980" w:rsidRPr="003720AF">
        <w:rPr>
          <w:rFonts w:cs="Times-Roman"/>
        </w:rPr>
        <w:t>2.0</w:t>
      </w:r>
      <w:r w:rsidRPr="003720AF">
        <w:rPr>
          <w:rFonts w:cs="Times-Roman"/>
        </w:rPr>
        <w:t xml:space="preserve"> </w:t>
      </w:r>
      <w:r w:rsidRPr="003720AF">
        <w:rPr>
          <w:rFonts w:cs="Lucida Grande"/>
          <w:color w:val="000000"/>
        </w:rPr>
        <w:t>μ</w:t>
      </w:r>
      <w:r w:rsidRPr="003720AF">
        <w:rPr>
          <w:rFonts w:cs="Times-Roman"/>
        </w:rPr>
        <w:t>g/100 cm</w:t>
      </w:r>
      <w:r w:rsidRPr="003720AF">
        <w:rPr>
          <w:rFonts w:cs="Times-Roman"/>
          <w:vertAlign w:val="superscript"/>
        </w:rPr>
        <w:t>2</w:t>
      </w:r>
      <w:r w:rsidRPr="003720AF">
        <w:rPr>
          <w:rFonts w:cs="Times-Roman"/>
        </w:rPr>
        <w:t xml:space="preserve">, it is acknowledged that a former clan lab is likely to contain a wide variety of persistent toxicants that may be inadequately accounted for </w:t>
      </w:r>
      <w:r w:rsidR="004D48AF" w:rsidRPr="003720AF">
        <w:rPr>
          <w:rFonts w:cs="Times-Roman"/>
        </w:rPr>
        <w:t>without</w:t>
      </w:r>
      <w:r w:rsidRPr="003720AF">
        <w:rPr>
          <w:rFonts w:cs="Times-Roman"/>
        </w:rPr>
        <w:t xml:space="preserve"> a complete and costly analytical measurement and risk assessment of the remediated house. Thus a lower MA residue standard is proposed as a sentinel value for added precaution in such settings.</w:t>
      </w:r>
    </w:p>
    <w:p w14:paraId="1C33CB12" w14:textId="7AEDC581" w:rsidR="00932D1A" w:rsidRPr="003720AF" w:rsidRDefault="00932D1A" w:rsidP="002A06EA">
      <w:pPr>
        <w:spacing w:line="360" w:lineRule="auto"/>
        <w:rPr>
          <w:rFonts w:cs="Times-Roman"/>
        </w:rPr>
      </w:pPr>
      <w:r w:rsidRPr="003720AF">
        <w:rPr>
          <w:rFonts w:cs="Times-Roman"/>
        </w:rPr>
        <w:t>We recommend that mercury (Hg) and lead (Pb) be separately determined and remediated in former clan labs</w:t>
      </w:r>
      <w:r w:rsidR="004D48AF" w:rsidRPr="003720AF">
        <w:rPr>
          <w:rFonts w:cs="Times-Roman"/>
        </w:rPr>
        <w:t>,</w:t>
      </w:r>
      <w:r w:rsidRPr="003720AF">
        <w:rPr>
          <w:rFonts w:cs="Times-Roman"/>
        </w:rPr>
        <w:t xml:space="preserve"> as necessary</w:t>
      </w:r>
      <w:r w:rsidR="004D48AF" w:rsidRPr="003720AF">
        <w:rPr>
          <w:rFonts w:cs="Times-Roman"/>
        </w:rPr>
        <w:t>,</w:t>
      </w:r>
      <w:r w:rsidRPr="003720AF">
        <w:rPr>
          <w:rFonts w:cs="Times-Roman"/>
        </w:rPr>
        <w:t xml:space="preserve"> independent of this proposed standard.</w:t>
      </w:r>
    </w:p>
    <w:p w14:paraId="10137377" w14:textId="77777777" w:rsidR="00455AFF" w:rsidRPr="003720AF" w:rsidRDefault="00455AFF" w:rsidP="00455AFF">
      <w:pPr>
        <w:pStyle w:val="Heading2"/>
        <w:rPr>
          <w:rFonts w:hint="eastAsia"/>
        </w:rPr>
      </w:pPr>
      <w:bookmarkStart w:id="49" w:name="_Toc335228171"/>
      <w:bookmarkStart w:id="50" w:name="_Toc335332114"/>
      <w:bookmarkStart w:id="51" w:name="_Toc463856046"/>
      <w:r w:rsidRPr="003720AF">
        <w:t>Remediated (Non-Lab) Houses of MA Use</w:t>
      </w:r>
      <w:bookmarkEnd w:id="49"/>
      <w:bookmarkEnd w:id="50"/>
      <w:bookmarkEnd w:id="51"/>
    </w:p>
    <w:p w14:paraId="554147B0" w14:textId="2A4A0EF1" w:rsidR="00932D1A" w:rsidRPr="003720AF" w:rsidRDefault="00932D1A" w:rsidP="002A06EA">
      <w:pPr>
        <w:spacing w:line="360" w:lineRule="auto"/>
        <w:rPr>
          <w:rFonts w:cs="Times-Roman"/>
        </w:rPr>
      </w:pPr>
      <w:r w:rsidRPr="003720AF">
        <w:rPr>
          <w:rFonts w:cs="Times-Roman"/>
        </w:rPr>
        <w:t>Based on the exposure and risk assessment of MA, including conservative assumptions on both hazard and exposure parameter</w:t>
      </w:r>
      <w:r w:rsidR="00C31F84">
        <w:rPr>
          <w:rFonts w:cs="Times-Roman"/>
        </w:rPr>
        <w:t xml:space="preserve">s, the proposed standard for MA, if carpeting is removed, </w:t>
      </w:r>
      <w:r w:rsidRPr="003720AF">
        <w:rPr>
          <w:rFonts w:cs="Times-Roman"/>
        </w:rPr>
        <w:t xml:space="preserve">is:  </w:t>
      </w:r>
    </w:p>
    <w:p w14:paraId="44681243" w14:textId="4415BBD8" w:rsidR="00455AFF" w:rsidRDefault="00455AFF" w:rsidP="00C31F84">
      <w:pPr>
        <w:ind w:left="720"/>
        <w:rPr>
          <w:rFonts w:cs="Times-Roman"/>
        </w:rPr>
      </w:pPr>
      <w:r w:rsidRPr="003720AF">
        <w:rPr>
          <w:rFonts w:cs="Times-Roman"/>
          <w:b/>
        </w:rPr>
        <w:t>Methamphetam</w:t>
      </w:r>
      <w:r w:rsidR="004A49B0" w:rsidRPr="003720AF">
        <w:rPr>
          <w:rFonts w:cs="Times-Roman"/>
          <w:b/>
        </w:rPr>
        <w:t>ine standard (non-lab houses</w:t>
      </w:r>
      <w:r w:rsidR="00C31F84">
        <w:rPr>
          <w:rFonts w:cs="Times-Roman"/>
          <w:b/>
        </w:rPr>
        <w:t>, without carpet</w:t>
      </w:r>
      <w:r w:rsidR="004A49B0" w:rsidRPr="003720AF">
        <w:rPr>
          <w:rFonts w:cs="Times-Roman"/>
          <w:b/>
        </w:rPr>
        <w:t>): 2.0</w:t>
      </w:r>
      <w:r w:rsidRPr="003720AF">
        <w:rPr>
          <w:rFonts w:cs="Times-Roman"/>
          <w:b/>
        </w:rPr>
        <w:t xml:space="preserve"> </w:t>
      </w:r>
      <w:r w:rsidRPr="003720AF">
        <w:rPr>
          <w:rFonts w:cs="Lucida Grande"/>
          <w:b/>
          <w:color w:val="000000"/>
        </w:rPr>
        <w:t>μ</w:t>
      </w:r>
      <w:r w:rsidRPr="003720AF">
        <w:rPr>
          <w:rFonts w:cs="Times-Roman"/>
          <w:b/>
        </w:rPr>
        <w:t>g/100 cm</w:t>
      </w:r>
      <w:r w:rsidRPr="003720AF">
        <w:rPr>
          <w:rFonts w:cs="Times-Roman"/>
          <w:b/>
          <w:vertAlign w:val="superscript"/>
        </w:rPr>
        <w:t>2</w:t>
      </w:r>
      <w:r w:rsidRPr="003720AF">
        <w:rPr>
          <w:rFonts w:cs="Times-Roman"/>
        </w:rPr>
        <w:t>.</w:t>
      </w:r>
    </w:p>
    <w:p w14:paraId="3434678C" w14:textId="77777777" w:rsidR="00C31F84" w:rsidRDefault="00C31F84" w:rsidP="00C31F84">
      <w:pPr>
        <w:spacing w:line="360" w:lineRule="auto"/>
        <w:rPr>
          <w:rFonts w:cs="Times-Roman"/>
        </w:rPr>
      </w:pPr>
      <w:r w:rsidRPr="00C31F84">
        <w:rPr>
          <w:rFonts w:cs="Times-Roman"/>
        </w:rPr>
        <w:t>In case the carpeting is not removed in non-lab houses, the p</w:t>
      </w:r>
      <w:r>
        <w:rPr>
          <w:rFonts w:cs="Times-Roman"/>
        </w:rPr>
        <w:t>roposed standard for MA is:</w:t>
      </w:r>
    </w:p>
    <w:p w14:paraId="670397BC" w14:textId="4CAC7586" w:rsidR="00C31F84" w:rsidRDefault="00C31F84" w:rsidP="00C31F84">
      <w:pPr>
        <w:ind w:left="720"/>
        <w:rPr>
          <w:rFonts w:cs="Times-Roman"/>
        </w:rPr>
      </w:pPr>
      <w:r w:rsidRPr="003720AF">
        <w:rPr>
          <w:rFonts w:cs="Times-Roman"/>
          <w:b/>
        </w:rPr>
        <w:t>Methamphetamine standard (non-lab houses</w:t>
      </w:r>
      <w:r>
        <w:rPr>
          <w:rFonts w:cs="Times-Roman"/>
          <w:b/>
        </w:rPr>
        <w:t>, with carpet): 1.5</w:t>
      </w:r>
      <w:r w:rsidRPr="003720AF">
        <w:rPr>
          <w:rFonts w:cs="Times-Roman"/>
          <w:b/>
        </w:rPr>
        <w:t xml:space="preserve"> </w:t>
      </w:r>
      <w:r w:rsidRPr="003720AF">
        <w:rPr>
          <w:rFonts w:cs="Lucida Grande"/>
          <w:b/>
          <w:color w:val="000000"/>
        </w:rPr>
        <w:t>μ</w:t>
      </w:r>
      <w:r w:rsidRPr="003720AF">
        <w:rPr>
          <w:rFonts w:cs="Times-Roman"/>
          <w:b/>
        </w:rPr>
        <w:t>g/100 cm</w:t>
      </w:r>
      <w:r w:rsidRPr="003720AF">
        <w:rPr>
          <w:rFonts w:cs="Times-Roman"/>
          <w:b/>
          <w:vertAlign w:val="superscript"/>
        </w:rPr>
        <w:t>2</w:t>
      </w:r>
      <w:r w:rsidRPr="003720AF">
        <w:rPr>
          <w:rFonts w:cs="Times-Roman"/>
        </w:rPr>
        <w:t>.</w:t>
      </w:r>
    </w:p>
    <w:p w14:paraId="679180AF" w14:textId="0C642EEE" w:rsidR="005F75A5" w:rsidRPr="003720AF" w:rsidRDefault="005F75A5">
      <w:pPr>
        <w:rPr>
          <w:rFonts w:cs="Times-Roman"/>
        </w:rPr>
      </w:pPr>
      <w:r w:rsidRPr="003720AF">
        <w:rPr>
          <w:rFonts w:cs="Times-Roman"/>
        </w:rPr>
        <w:br w:type="page"/>
      </w:r>
    </w:p>
    <w:p w14:paraId="7A691608" w14:textId="77777777" w:rsidR="00455AFF" w:rsidRPr="003720AF" w:rsidRDefault="00455AFF" w:rsidP="00455AFF">
      <w:pPr>
        <w:rPr>
          <w:rFonts w:cs="Times-Roman"/>
        </w:rPr>
      </w:pPr>
    </w:p>
    <w:p w14:paraId="5402AC70" w14:textId="77777777" w:rsidR="00455AFF" w:rsidRPr="003720AF" w:rsidRDefault="00455AFF" w:rsidP="00455AFF">
      <w:pPr>
        <w:rPr>
          <w:rFonts w:cs="Times-Roman"/>
        </w:rPr>
      </w:pPr>
    </w:p>
    <w:p w14:paraId="059E2FFD" w14:textId="77777777" w:rsidR="00455AFF" w:rsidRPr="003720AF" w:rsidRDefault="00455AFF" w:rsidP="00455AFF">
      <w:pPr>
        <w:autoSpaceDE w:val="0"/>
        <w:autoSpaceDN w:val="0"/>
        <w:adjustRightInd w:val="0"/>
        <w:rPr>
          <w:rFonts w:cs="TimesNewRomanPS"/>
        </w:rPr>
      </w:pPr>
    </w:p>
    <w:p w14:paraId="20A3B496" w14:textId="77777777" w:rsidR="00455AFF" w:rsidRPr="003720AF" w:rsidRDefault="00AD1EE9" w:rsidP="00455AFF">
      <w:pPr>
        <w:pStyle w:val="Heading1"/>
      </w:pPr>
      <w:bookmarkStart w:id="52" w:name="_Toc463856047"/>
      <w:r w:rsidRPr="003720AF">
        <w:lastRenderedPageBreak/>
        <w:t>DISCUSSION</w:t>
      </w:r>
      <w:bookmarkEnd w:id="52"/>
    </w:p>
    <w:p w14:paraId="43539065" w14:textId="703629C9" w:rsidR="00932D1A" w:rsidRPr="003720AF" w:rsidRDefault="00932D1A" w:rsidP="00932D1A">
      <w:pPr>
        <w:autoSpaceDE w:val="0"/>
        <w:autoSpaceDN w:val="0"/>
        <w:adjustRightInd w:val="0"/>
        <w:spacing w:line="360" w:lineRule="auto"/>
        <w:rPr>
          <w:rFonts w:cs="TimesNewRomanPS"/>
        </w:rPr>
      </w:pPr>
      <w:r w:rsidRPr="003720AF">
        <w:rPr>
          <w:rFonts w:cs="TimesNewRomanPS"/>
        </w:rPr>
        <w:t>We present an analysis of existing MA guidelines and standards internationally, with an exami</w:t>
      </w:r>
      <w:r w:rsidR="006A7725" w:rsidRPr="003720AF">
        <w:rPr>
          <w:rFonts w:cs="TimesNewRomanPS"/>
        </w:rPr>
        <w:t>nation of health-based MA clean</w:t>
      </w:r>
      <w:r w:rsidRPr="003720AF">
        <w:rPr>
          <w:rFonts w:cs="TimesNewRomanPS"/>
        </w:rPr>
        <w:t xml:space="preserve">up standards from </w:t>
      </w:r>
      <w:r w:rsidR="00693F97" w:rsidRPr="003720AF">
        <w:rPr>
          <w:rFonts w:cs="TimesNewRomanPS"/>
        </w:rPr>
        <w:t xml:space="preserve">the </w:t>
      </w:r>
      <w:r w:rsidRPr="003720AF">
        <w:rPr>
          <w:rFonts w:cs="TimesNewRomanPS"/>
        </w:rPr>
        <w:t>California EPA (OEHHA 2010), the Colorado Department of Public Health and the Environment (CDPHE 2005), and an assessment from Aust</w:t>
      </w:r>
      <w:r w:rsidR="00693F97" w:rsidRPr="003720AF">
        <w:rPr>
          <w:rFonts w:cs="TimesNewRomanPS"/>
        </w:rPr>
        <w:t xml:space="preserve">ralian researchers (ERS 2009). </w:t>
      </w:r>
      <w:r w:rsidRPr="003720AF">
        <w:rPr>
          <w:rFonts w:cs="TimesNewRomanPS"/>
        </w:rPr>
        <w:t xml:space="preserve">The risk assessment approaches from all three sources differ both in terms of determining an RfD and in the parameters and assumptions </w:t>
      </w:r>
      <w:r w:rsidR="00693F97" w:rsidRPr="003720AF">
        <w:rPr>
          <w:rFonts w:cs="TimesNewRomanPS"/>
        </w:rPr>
        <w:t xml:space="preserve">used in calculating exposures. </w:t>
      </w:r>
      <w:r w:rsidRPr="003720AF">
        <w:rPr>
          <w:rFonts w:cs="TimesNewRomanPS"/>
        </w:rPr>
        <w:t>We propose the adopti</w:t>
      </w:r>
      <w:r w:rsidR="00354DEC" w:rsidRPr="003720AF">
        <w:rPr>
          <w:rFonts w:cs="TimesNewRomanPS"/>
        </w:rPr>
        <w:t>on of the OEHHA 2010 RfD of 0.3 </w:t>
      </w:r>
      <w:r w:rsidRPr="003720AF">
        <w:rPr>
          <w:rFonts w:cs="Lucida Grande"/>
          <w:color w:val="000000"/>
        </w:rPr>
        <w:t>μ</w:t>
      </w:r>
      <w:r w:rsidR="00354DEC" w:rsidRPr="003720AF">
        <w:rPr>
          <w:rFonts w:cs="TimesNewRomanPS"/>
        </w:rPr>
        <w:t>g/kg </w:t>
      </w:r>
      <w:r w:rsidRPr="003720AF">
        <w:rPr>
          <w:rFonts w:cs="TimesNewRomanPS"/>
        </w:rPr>
        <w:t>bw/day as the dose against which expo</w:t>
      </w:r>
      <w:r w:rsidR="00354DEC" w:rsidRPr="003720AF">
        <w:rPr>
          <w:rFonts w:cs="TimesNewRomanPS"/>
        </w:rPr>
        <w:t>sure calculations are assessed.</w:t>
      </w:r>
      <w:r w:rsidRPr="003720AF">
        <w:rPr>
          <w:rFonts w:cs="TimesNewRomanPS"/>
        </w:rPr>
        <w:t xml:space="preserve"> Our calculations, using conservative deterministic values and exposure parameters from New Zealand, show that dermal contact and absorption with MA in remediated houses for infants/toddlers is the most likely route of exposure, accounting for about 85% of estimated exposure, and support </w:t>
      </w:r>
      <w:r w:rsidR="004A49B0" w:rsidRPr="003720AF">
        <w:rPr>
          <w:rFonts w:cs="TimesNewRomanPS"/>
        </w:rPr>
        <w:t>an MA standard of 2.0</w:t>
      </w:r>
      <w:r w:rsidRPr="003720AF">
        <w:rPr>
          <w:rFonts w:cs="TimesNewRomanPS"/>
        </w:rPr>
        <w:t xml:space="preserve"> </w:t>
      </w:r>
      <w:r w:rsidRPr="003720AF">
        <w:rPr>
          <w:rFonts w:cs="Lucida Grande"/>
          <w:color w:val="000000"/>
        </w:rPr>
        <w:t>μ</w:t>
      </w:r>
      <w:r w:rsidRPr="003720AF">
        <w:rPr>
          <w:rFonts w:cs="TimesNewRomanPS"/>
        </w:rPr>
        <w:t>g/</w:t>
      </w:r>
      <w:r w:rsidR="00354DEC" w:rsidRPr="003720AF">
        <w:rPr>
          <w:rFonts w:cs="TimesNewRomanPS"/>
        </w:rPr>
        <w:t xml:space="preserve">100 </w:t>
      </w:r>
      <w:r w:rsidRPr="003720AF">
        <w:rPr>
          <w:rFonts w:cs="TimesNewRomanPS"/>
        </w:rPr>
        <w:t>cm</w:t>
      </w:r>
      <w:r w:rsidRPr="003720AF">
        <w:rPr>
          <w:rFonts w:cs="TimesNewRomanPS"/>
          <w:vertAlign w:val="superscript"/>
        </w:rPr>
        <w:t>2</w:t>
      </w:r>
      <w:r w:rsidRPr="003720AF">
        <w:rPr>
          <w:rFonts w:cs="TimesNewRomanPS"/>
        </w:rPr>
        <w:t xml:space="preserve">. This standard would apply to houses where </w:t>
      </w:r>
      <w:r w:rsidR="00354DEC" w:rsidRPr="003720AF">
        <w:rPr>
          <w:rFonts w:cs="TimesNewRomanPS"/>
        </w:rPr>
        <w:t xml:space="preserve">MA was used, but not produced. </w:t>
      </w:r>
      <w:r w:rsidRPr="003720AF">
        <w:rPr>
          <w:rFonts w:cs="TimesNewRomanPS"/>
        </w:rPr>
        <w:t xml:space="preserve">The range of possible scenarios presented by a remediated clan lab further support a reduction in MA to serve as a </w:t>
      </w:r>
      <w:r w:rsidR="004A49B0" w:rsidRPr="003720AF">
        <w:rPr>
          <w:rFonts w:cs="TimesNewRomanPS"/>
        </w:rPr>
        <w:t>sentinel</w:t>
      </w:r>
      <w:r w:rsidRPr="003720AF">
        <w:rPr>
          <w:rFonts w:cs="TimesNewRomanPS"/>
        </w:rPr>
        <w:t xml:space="preserve"> for the potential for additional chemical exposures that may contribute to an additive exposure and effect.  For former labs, </w:t>
      </w:r>
      <w:r w:rsidR="00354DEC" w:rsidRPr="003720AF">
        <w:rPr>
          <w:rFonts w:cs="TimesNewRomanPS"/>
        </w:rPr>
        <w:t xml:space="preserve">we propose that </w:t>
      </w:r>
      <w:r w:rsidRPr="003720AF">
        <w:rPr>
          <w:rFonts w:cs="TimesNewRomanPS"/>
        </w:rPr>
        <w:t xml:space="preserve">the existing standard of 0.5 </w:t>
      </w:r>
      <w:r w:rsidRPr="003720AF">
        <w:rPr>
          <w:rFonts w:cs="Lucida Grande"/>
          <w:color w:val="000000"/>
        </w:rPr>
        <w:t>μ</w:t>
      </w:r>
      <w:r w:rsidRPr="003720AF">
        <w:rPr>
          <w:rFonts w:cs="TimesNewRomanPS"/>
        </w:rPr>
        <w:t>g/</w:t>
      </w:r>
      <w:r w:rsidR="00354DEC" w:rsidRPr="003720AF">
        <w:rPr>
          <w:rFonts w:cs="TimesNewRomanPS"/>
        </w:rPr>
        <w:t xml:space="preserve">100 </w:t>
      </w:r>
      <w:r w:rsidRPr="003720AF">
        <w:rPr>
          <w:rFonts w:cs="TimesNewRomanPS"/>
        </w:rPr>
        <w:t>cm</w:t>
      </w:r>
      <w:r w:rsidRPr="003720AF">
        <w:rPr>
          <w:rFonts w:cs="TimesNewRomanPS"/>
          <w:vertAlign w:val="superscript"/>
        </w:rPr>
        <w:t>2</w:t>
      </w:r>
      <w:r w:rsidRPr="003720AF">
        <w:rPr>
          <w:rFonts w:cs="TimesNewRomanPS"/>
        </w:rPr>
        <w:t xml:space="preserve"> is retained.</w:t>
      </w:r>
    </w:p>
    <w:p w14:paraId="77D74B7A" w14:textId="77777777" w:rsidR="00932D1A" w:rsidRPr="003720AF" w:rsidRDefault="00932D1A" w:rsidP="00932D1A">
      <w:pPr>
        <w:autoSpaceDE w:val="0"/>
        <w:autoSpaceDN w:val="0"/>
        <w:adjustRightInd w:val="0"/>
        <w:spacing w:line="360" w:lineRule="auto"/>
        <w:rPr>
          <w:rFonts w:cs="TimesNewRomanPS"/>
        </w:rPr>
      </w:pPr>
      <w:r w:rsidRPr="003720AF">
        <w:rPr>
          <w:rFonts w:cs="TimesNewRomanPS"/>
        </w:rPr>
        <w:t>It should be noted that these standards should be taken to be conservative guideline values, and not as definitive thresholds above which toxicological effects will definitely occur.</w:t>
      </w:r>
    </w:p>
    <w:p w14:paraId="197790E4" w14:textId="033B6E6E" w:rsidR="00932D1A" w:rsidRPr="003720AF" w:rsidRDefault="00932D1A" w:rsidP="00932D1A">
      <w:pPr>
        <w:spacing w:line="360" w:lineRule="auto"/>
        <w:rPr>
          <w:bCs/>
        </w:rPr>
      </w:pPr>
      <w:r w:rsidRPr="003720AF">
        <w:rPr>
          <w:bCs/>
        </w:rPr>
        <w:t>A recent publication by Van Dyke and colleagues (Van Dyke et al 2014) examined experimental and model</w:t>
      </w:r>
      <w:r w:rsidR="003720AF">
        <w:rPr>
          <w:bCs/>
        </w:rPr>
        <w:t>l</w:t>
      </w:r>
      <w:r w:rsidRPr="003720AF">
        <w:rPr>
          <w:bCs/>
        </w:rPr>
        <w:t xml:space="preserve">ed dermal exposures to MA and concluded that 1.5 </w:t>
      </w:r>
      <w:r w:rsidRPr="003720AF">
        <w:rPr>
          <w:rFonts w:cs="Lucida Grande"/>
          <w:color w:val="000000"/>
        </w:rPr>
        <w:t>μ</w:t>
      </w:r>
      <w:r w:rsidRPr="003720AF">
        <w:rPr>
          <w:bCs/>
        </w:rPr>
        <w:t>g/100 cm</w:t>
      </w:r>
      <w:r w:rsidRPr="003720AF">
        <w:rPr>
          <w:bCs/>
          <w:vertAlign w:val="superscript"/>
        </w:rPr>
        <w:t>2</w:t>
      </w:r>
      <w:r w:rsidRPr="003720AF">
        <w:rPr>
          <w:bCs/>
        </w:rPr>
        <w:t xml:space="preserve"> may not provide adequate protection against the California RfD</w:t>
      </w:r>
      <w:r w:rsidR="00CA243F" w:rsidRPr="003720AF">
        <w:rPr>
          <w:bCs/>
        </w:rPr>
        <w:t xml:space="preserve"> in all instances. </w:t>
      </w:r>
      <w:r w:rsidRPr="003720AF">
        <w:rPr>
          <w:bCs/>
        </w:rPr>
        <w:t>This group used cotton gloves</w:t>
      </w:r>
      <w:r w:rsidR="00DD1EEB" w:rsidRPr="003720AF">
        <w:rPr>
          <w:bCs/>
        </w:rPr>
        <w:t xml:space="preserve"> to measure dermal transfer efficiencies,</w:t>
      </w:r>
      <w:r w:rsidRPr="003720AF">
        <w:rPr>
          <w:bCs/>
        </w:rPr>
        <w:t xml:space="preserve"> which they acknowledge are likely to overestimate the transfer of surface residue</w:t>
      </w:r>
      <w:r w:rsidR="00CA243F" w:rsidRPr="003720AF">
        <w:rPr>
          <w:bCs/>
        </w:rPr>
        <w:t xml:space="preserve">s as compared with human skin. </w:t>
      </w:r>
      <w:r w:rsidRPr="003720AF">
        <w:rPr>
          <w:bCs/>
        </w:rPr>
        <w:t>Furthermore, the direct application of their data (particularly transfer efficiency) in regard to their conclus</w:t>
      </w:r>
      <w:r w:rsidR="00DD1EEB" w:rsidRPr="003720AF">
        <w:rPr>
          <w:bCs/>
        </w:rPr>
        <w:t>ion that a “clean” value of 1.5 </w:t>
      </w:r>
      <w:r w:rsidRPr="003720AF">
        <w:rPr>
          <w:rFonts w:cs="Lucida Grande"/>
          <w:color w:val="000000"/>
        </w:rPr>
        <w:t>μ</w:t>
      </w:r>
      <w:r w:rsidR="00C710D7" w:rsidRPr="003720AF">
        <w:rPr>
          <w:bCs/>
        </w:rPr>
        <w:t>g </w:t>
      </w:r>
      <w:r w:rsidRPr="003720AF">
        <w:rPr>
          <w:bCs/>
        </w:rPr>
        <w:t>/100 cm</w:t>
      </w:r>
      <w:r w:rsidRPr="003720AF">
        <w:rPr>
          <w:bCs/>
          <w:vertAlign w:val="superscript"/>
        </w:rPr>
        <w:t>2</w:t>
      </w:r>
      <w:r w:rsidRPr="003720AF">
        <w:rPr>
          <w:bCs/>
        </w:rPr>
        <w:t xml:space="preserve"> can still lead to exce</w:t>
      </w:r>
      <w:r w:rsidR="00CA243F" w:rsidRPr="003720AF">
        <w:rPr>
          <w:bCs/>
        </w:rPr>
        <w:t>ssive exposure, ie, an exceede</w:t>
      </w:r>
      <w:r w:rsidRPr="003720AF">
        <w:rPr>
          <w:bCs/>
        </w:rPr>
        <w:t>nce of t</w:t>
      </w:r>
      <w:r w:rsidR="00DD1EEB" w:rsidRPr="003720AF">
        <w:rPr>
          <w:bCs/>
        </w:rPr>
        <w:t xml:space="preserve">he RfD, is likely exaggerated. </w:t>
      </w:r>
      <w:r w:rsidRPr="003720AF">
        <w:rPr>
          <w:bCs/>
        </w:rPr>
        <w:t xml:space="preserve">This is because transfer efficiency from a surface cleaned to 1.5 </w:t>
      </w:r>
      <w:r w:rsidRPr="003720AF">
        <w:rPr>
          <w:rFonts w:cs="Lucida Grande"/>
          <w:color w:val="000000"/>
        </w:rPr>
        <w:t>μ</w:t>
      </w:r>
      <w:r w:rsidRPr="003720AF">
        <w:rPr>
          <w:bCs/>
        </w:rPr>
        <w:t>g/100 cm</w:t>
      </w:r>
      <w:r w:rsidRPr="003720AF">
        <w:rPr>
          <w:bCs/>
          <w:vertAlign w:val="superscript"/>
        </w:rPr>
        <w:t>2</w:t>
      </w:r>
      <w:r w:rsidRPr="003720AF">
        <w:rPr>
          <w:bCs/>
        </w:rPr>
        <w:t xml:space="preserve"> is likely to be less than estimated by Van Dyke</w:t>
      </w:r>
      <w:r w:rsidR="00820F49" w:rsidRPr="003720AF">
        <w:rPr>
          <w:bCs/>
        </w:rPr>
        <w:t xml:space="preserve">. </w:t>
      </w:r>
      <w:r w:rsidRPr="003720AF">
        <w:rPr>
          <w:bCs/>
        </w:rPr>
        <w:t>For example, it is noted by Martyny (2008) that once a surface has been cleaned with a solvent such as “simple green” (a common household cleaner) very little material</w:t>
      </w:r>
      <w:r w:rsidR="00820F49" w:rsidRPr="003720AF">
        <w:rPr>
          <w:bCs/>
        </w:rPr>
        <w:t xml:space="preserve"> remains readily dislodgeable. </w:t>
      </w:r>
      <w:r w:rsidRPr="003720AF">
        <w:rPr>
          <w:bCs/>
        </w:rPr>
        <w:t>These authors noted that additional washings were not particularly effect</w:t>
      </w:r>
      <w:r w:rsidR="00820F49" w:rsidRPr="003720AF">
        <w:rPr>
          <w:bCs/>
        </w:rPr>
        <w:t xml:space="preserve">ive in removing more material. </w:t>
      </w:r>
      <w:r w:rsidRPr="003720AF">
        <w:rPr>
          <w:bCs/>
        </w:rPr>
        <w:t xml:space="preserve">Thus, once cleaned, the efficiency of transfer from surface-to-dermis is going to be significantly less than assessed by Van Dyke, who measured transfer efficiency using cotton gloves on a freshly contaminated </w:t>
      </w:r>
      <w:r w:rsidR="00820F49" w:rsidRPr="003720AF">
        <w:rPr>
          <w:bCs/>
        </w:rPr>
        <w:t xml:space="preserve">surface. </w:t>
      </w:r>
      <w:r w:rsidRPr="003720AF">
        <w:rPr>
          <w:bCs/>
        </w:rPr>
        <w:t xml:space="preserve">It is our view </w:t>
      </w:r>
      <w:r w:rsidRPr="003720AF">
        <w:rPr>
          <w:bCs/>
        </w:rPr>
        <w:lastRenderedPageBreak/>
        <w:t xml:space="preserve">that the study by Van Dyke does not provide sufficient cause for concern about the health protective nature of the California guidance value, but does illustrate the widely varying results one can generate using artificial experimental exposures and modelling assumptions.  </w:t>
      </w:r>
    </w:p>
    <w:p w14:paraId="1AFE4130" w14:textId="1DD391A8" w:rsidR="00932D1A" w:rsidRPr="003720AF" w:rsidRDefault="00932D1A" w:rsidP="00932D1A">
      <w:pPr>
        <w:spacing w:line="360" w:lineRule="auto"/>
      </w:pPr>
      <w:r w:rsidRPr="003720AF">
        <w:t xml:space="preserve">OEHHA, using a highly complex probabilistic exposure model, determined that a surface concentration of 1.5 </w:t>
      </w:r>
      <w:r w:rsidRPr="003720AF">
        <w:rPr>
          <w:rFonts w:cs="Lucida Grande"/>
          <w:color w:val="000000"/>
        </w:rPr>
        <w:t>μ</w:t>
      </w:r>
      <w:r w:rsidRPr="003720AF">
        <w:t>g/</w:t>
      </w:r>
      <w:r w:rsidR="00820F49" w:rsidRPr="003720AF">
        <w:t xml:space="preserve">100 </w:t>
      </w:r>
      <w:r w:rsidRPr="003720AF">
        <w:t>cm</w:t>
      </w:r>
      <w:r w:rsidRPr="003720AF">
        <w:rPr>
          <w:vertAlign w:val="superscript"/>
        </w:rPr>
        <w:t>2</w:t>
      </w:r>
      <w:r w:rsidRPr="003720AF">
        <w:t xml:space="preserve"> resulted in a 95</w:t>
      </w:r>
      <w:r w:rsidRPr="003720AF">
        <w:rPr>
          <w:vertAlign w:val="superscript"/>
        </w:rPr>
        <w:t>th</w:t>
      </w:r>
      <w:r w:rsidRPr="003720AF">
        <w:t xml:space="preserve"> percentile e</w:t>
      </w:r>
      <w:r w:rsidR="004A49B0" w:rsidRPr="003720AF">
        <w:t>stimate of total exposure at 0.</w:t>
      </w:r>
      <w:r w:rsidR="00820F49" w:rsidRPr="003720AF">
        <w:t>278 </w:t>
      </w:r>
      <w:r w:rsidRPr="003720AF">
        <w:rPr>
          <w:rFonts w:cs="Lucida Grande"/>
          <w:color w:val="000000"/>
        </w:rPr>
        <w:t>μ</w:t>
      </w:r>
      <w:r w:rsidR="004A49B0" w:rsidRPr="003720AF">
        <w:t>g/kg/day, just under the 0.</w:t>
      </w:r>
      <w:r w:rsidRPr="003720AF">
        <w:t xml:space="preserve">3 </w:t>
      </w:r>
      <w:r w:rsidRPr="003720AF">
        <w:rPr>
          <w:rFonts w:cs="Lucida Grande"/>
          <w:color w:val="000000"/>
        </w:rPr>
        <w:t>μ</w:t>
      </w:r>
      <w:r w:rsidR="00820F49" w:rsidRPr="003720AF">
        <w:t xml:space="preserve">g/kg/day RfD. </w:t>
      </w:r>
      <w:r w:rsidRPr="003720AF">
        <w:t>The dermal route of exposure to the body accounted for 80% of the total dose, whereas incidental ingestion via hand-to-mouth and dermal exposure via the hands accounted for about 10% each, respectively.</w:t>
      </w:r>
      <w:r w:rsidR="00820F49" w:rsidRPr="003720AF">
        <w:t xml:space="preserve"> </w:t>
      </w:r>
      <w:r w:rsidRPr="003720AF">
        <w:t>Our exposure assessment (see Appendix) fou</w:t>
      </w:r>
      <w:r w:rsidR="00820F49" w:rsidRPr="003720AF">
        <w:t>nd similar results for the 1</w:t>
      </w:r>
      <w:r w:rsidR="00820F49" w:rsidRPr="003720AF">
        <w:rPr>
          <w:rFonts w:cs="Arial"/>
        </w:rPr>
        <w:t>–</w:t>
      </w:r>
      <w:r w:rsidRPr="003720AF">
        <w:t>2 year old age group, using conservative exposure parameters that approximate the 95</w:t>
      </w:r>
      <w:r w:rsidRPr="003720AF">
        <w:rPr>
          <w:vertAlign w:val="superscript"/>
        </w:rPr>
        <w:t>th</w:t>
      </w:r>
      <w:r w:rsidRPr="003720AF">
        <w:t xml:space="preserve"> percentile. For adult women</w:t>
      </w:r>
      <w:r w:rsidR="004A49B0" w:rsidRPr="003720AF">
        <w:t>, a surface concentration of 3.8</w:t>
      </w:r>
      <w:r w:rsidR="00C710D7" w:rsidRPr="003720AF">
        <w:t> </w:t>
      </w:r>
      <w:r w:rsidRPr="003720AF">
        <w:rPr>
          <w:rFonts w:cs="Lucida Grande"/>
          <w:color w:val="000000"/>
        </w:rPr>
        <w:t>μ</w:t>
      </w:r>
      <w:r w:rsidRPr="003720AF">
        <w:t>g/</w:t>
      </w:r>
      <w:r w:rsidR="00820F49" w:rsidRPr="003720AF">
        <w:t xml:space="preserve">100 </w:t>
      </w:r>
      <w:r w:rsidRPr="003720AF">
        <w:t>cm</w:t>
      </w:r>
      <w:r w:rsidRPr="003720AF">
        <w:rPr>
          <w:vertAlign w:val="superscript"/>
        </w:rPr>
        <w:t>2</w:t>
      </w:r>
      <w:r w:rsidRPr="003720AF">
        <w:t xml:space="preserve"> results in an exposure at the OEHHA RfD.</w:t>
      </w:r>
    </w:p>
    <w:p w14:paraId="2717976B" w14:textId="77777777" w:rsidR="00932D1A" w:rsidRPr="003720AF" w:rsidRDefault="00932D1A" w:rsidP="00932D1A">
      <w:pPr>
        <w:spacing w:line="360" w:lineRule="auto"/>
      </w:pPr>
      <w:r w:rsidRPr="003720AF">
        <w:t>For some perspective on the magnitude of the doses discussed in this report with doses resulting in known health effects, Table 6 below presents doses ranging from RfD to lethality.</w:t>
      </w:r>
    </w:p>
    <w:p w14:paraId="4F18BA90" w14:textId="3D9CC20F" w:rsidR="00455AFF" w:rsidRPr="003720AF" w:rsidRDefault="00A52CC2" w:rsidP="00A52CC2">
      <w:pPr>
        <w:pStyle w:val="Caption"/>
        <w:tabs>
          <w:tab w:val="left" w:pos="993"/>
        </w:tabs>
        <w:ind w:left="993" w:hanging="993"/>
      </w:pPr>
      <w:bookmarkStart w:id="53" w:name="_Toc463799356"/>
      <w:r w:rsidRPr="003720AF">
        <w:t xml:space="preserve">Table </w:t>
      </w:r>
      <w:fldSimple w:instr=" SEQ Table \* ARABIC ">
        <w:r w:rsidR="00F6014F">
          <w:rPr>
            <w:noProof/>
          </w:rPr>
          <w:t>6</w:t>
        </w:r>
      </w:fldSimple>
      <w:r w:rsidR="00455AFF" w:rsidRPr="003720AF">
        <w:t>:</w:t>
      </w:r>
      <w:r w:rsidR="00455AFF" w:rsidRPr="003720AF">
        <w:tab/>
        <w:t>Calculated or reported doses of MA and relevant health effects</w:t>
      </w:r>
      <w:bookmarkEnd w:id="53"/>
    </w:p>
    <w:tbl>
      <w:tblPr>
        <w:tblStyle w:val="LightShading"/>
        <w:tblW w:w="9072" w:type="dxa"/>
        <w:tblLook w:val="04A0" w:firstRow="1" w:lastRow="0" w:firstColumn="1" w:lastColumn="0" w:noHBand="0" w:noVBand="1"/>
      </w:tblPr>
      <w:tblGrid>
        <w:gridCol w:w="3168"/>
        <w:gridCol w:w="3276"/>
        <w:gridCol w:w="2628"/>
      </w:tblGrid>
      <w:tr w:rsidR="00455AFF" w:rsidRPr="003720AF" w14:paraId="33382BCA" w14:textId="77777777" w:rsidTr="00FA2F8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2BA063A" w14:textId="77777777" w:rsidR="00455AFF" w:rsidRPr="003720AF" w:rsidRDefault="00455AFF" w:rsidP="00B60D5D">
            <w:pPr>
              <w:spacing w:before="40" w:after="40"/>
              <w:rPr>
                <w:rFonts w:cs="Times-Roman"/>
                <w:lang w:val="en-NZ"/>
              </w:rPr>
            </w:pPr>
            <w:r w:rsidRPr="003720AF">
              <w:rPr>
                <w:rFonts w:cs="Times-Roman"/>
                <w:lang w:val="en-NZ"/>
              </w:rPr>
              <w:t>Exposure scenario</w:t>
            </w:r>
          </w:p>
        </w:tc>
        <w:tc>
          <w:tcPr>
            <w:tcW w:w="3276" w:type="dxa"/>
          </w:tcPr>
          <w:p w14:paraId="358D7F5E" w14:textId="77777777" w:rsidR="00455AFF" w:rsidRPr="003720AF" w:rsidRDefault="00455AFF" w:rsidP="00B60D5D">
            <w:pPr>
              <w:spacing w:before="40" w:after="40"/>
              <w:jc w:val="center"/>
              <w:cnfStyle w:val="100000000000" w:firstRow="1"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MA doses (µg/kg/day)</w:t>
            </w:r>
          </w:p>
        </w:tc>
        <w:tc>
          <w:tcPr>
            <w:tcW w:w="2628" w:type="dxa"/>
          </w:tcPr>
          <w:p w14:paraId="105BF7A5" w14:textId="77777777" w:rsidR="00455AFF" w:rsidRPr="003720AF" w:rsidRDefault="00455AFF" w:rsidP="00B60D5D">
            <w:pPr>
              <w:spacing w:before="40" w:after="40"/>
              <w:jc w:val="center"/>
              <w:cnfStyle w:val="100000000000" w:firstRow="1"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Effect</w:t>
            </w:r>
          </w:p>
        </w:tc>
      </w:tr>
      <w:tr w:rsidR="00455AFF" w:rsidRPr="003720AF" w14:paraId="7E9636A8" w14:textId="77777777" w:rsidTr="00FA2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il"/>
              <w:bottom w:val="single" w:sz="4" w:space="0" w:color="auto"/>
            </w:tcBorders>
          </w:tcPr>
          <w:p w14:paraId="0CF4BCBA" w14:textId="77777777" w:rsidR="00455AFF" w:rsidRPr="003720AF" w:rsidRDefault="00455AFF" w:rsidP="00B60D5D">
            <w:pPr>
              <w:spacing w:before="40" w:after="40"/>
              <w:rPr>
                <w:rFonts w:cs="Times-Roman"/>
                <w:b w:val="0"/>
                <w:lang w:val="en-NZ"/>
              </w:rPr>
            </w:pPr>
            <w:r w:rsidRPr="003720AF">
              <w:rPr>
                <w:rFonts w:cs="Times-Roman"/>
                <w:b w:val="0"/>
                <w:lang w:val="en-NZ"/>
              </w:rPr>
              <w:t>This report (6 mo – 2 yr)</w:t>
            </w:r>
          </w:p>
        </w:tc>
        <w:tc>
          <w:tcPr>
            <w:tcW w:w="3276" w:type="dxa"/>
            <w:tcBorders>
              <w:top w:val="nil"/>
              <w:bottom w:val="single" w:sz="4" w:space="0" w:color="auto"/>
            </w:tcBorders>
          </w:tcPr>
          <w:p w14:paraId="23F8E4F8"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0.3</w:t>
            </w:r>
          </w:p>
        </w:tc>
        <w:tc>
          <w:tcPr>
            <w:tcW w:w="2628" w:type="dxa"/>
            <w:tcBorders>
              <w:top w:val="nil"/>
              <w:bottom w:val="single" w:sz="4" w:space="0" w:color="auto"/>
            </w:tcBorders>
          </w:tcPr>
          <w:p w14:paraId="1E74B6D1"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Neurodevelopment</w:t>
            </w:r>
          </w:p>
        </w:tc>
      </w:tr>
      <w:tr w:rsidR="00455AFF" w:rsidRPr="003720AF" w14:paraId="3F444683" w14:textId="77777777" w:rsidTr="00FA2F89">
        <w:tc>
          <w:tcPr>
            <w:cnfStyle w:val="001000000000" w:firstRow="0" w:lastRow="0" w:firstColumn="1" w:lastColumn="0" w:oddVBand="0" w:evenVBand="0" w:oddHBand="0" w:evenHBand="0" w:firstRowFirstColumn="0" w:firstRowLastColumn="0" w:lastRowFirstColumn="0" w:lastRowLastColumn="0"/>
            <w:tcW w:w="3168" w:type="dxa"/>
            <w:tcBorders>
              <w:top w:val="nil"/>
              <w:bottom w:val="single" w:sz="4" w:space="0" w:color="auto"/>
            </w:tcBorders>
          </w:tcPr>
          <w:p w14:paraId="63BBB6DA" w14:textId="77777777" w:rsidR="00455AFF" w:rsidRPr="003720AF" w:rsidRDefault="00455AFF" w:rsidP="00B60D5D">
            <w:pPr>
              <w:spacing w:before="40" w:after="40"/>
              <w:rPr>
                <w:rFonts w:cs="Times-Roman"/>
                <w:b w:val="0"/>
                <w:lang w:val="en-NZ"/>
              </w:rPr>
            </w:pPr>
            <w:r w:rsidRPr="003720AF">
              <w:rPr>
                <w:rFonts w:cs="Times-Roman"/>
                <w:b w:val="0"/>
                <w:lang w:val="en-NZ"/>
              </w:rPr>
              <w:t>California (6 mo – 2 yr)</w:t>
            </w:r>
          </w:p>
        </w:tc>
        <w:tc>
          <w:tcPr>
            <w:tcW w:w="3276" w:type="dxa"/>
            <w:tcBorders>
              <w:top w:val="nil"/>
              <w:bottom w:val="single" w:sz="4" w:space="0" w:color="auto"/>
            </w:tcBorders>
          </w:tcPr>
          <w:p w14:paraId="3362B1B9"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0.3</w:t>
            </w:r>
          </w:p>
        </w:tc>
        <w:tc>
          <w:tcPr>
            <w:tcW w:w="2628" w:type="dxa"/>
            <w:tcBorders>
              <w:top w:val="nil"/>
              <w:bottom w:val="single" w:sz="4" w:space="0" w:color="auto"/>
            </w:tcBorders>
          </w:tcPr>
          <w:p w14:paraId="6C48C897"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Neurodevelopment</w:t>
            </w:r>
          </w:p>
        </w:tc>
      </w:tr>
      <w:tr w:rsidR="00455AFF" w:rsidRPr="003720AF" w14:paraId="73C8B299" w14:textId="77777777" w:rsidTr="00FA2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il"/>
              <w:bottom w:val="single" w:sz="4" w:space="0" w:color="auto"/>
            </w:tcBorders>
          </w:tcPr>
          <w:p w14:paraId="3951DA98" w14:textId="77777777" w:rsidR="00455AFF" w:rsidRPr="003720AF" w:rsidRDefault="00455AFF" w:rsidP="00B60D5D">
            <w:pPr>
              <w:spacing w:before="40" w:after="40"/>
              <w:rPr>
                <w:rFonts w:cs="Times-Roman"/>
                <w:b w:val="0"/>
                <w:lang w:val="en-NZ"/>
              </w:rPr>
            </w:pPr>
            <w:r w:rsidRPr="003720AF">
              <w:rPr>
                <w:rFonts w:cs="Times-Roman"/>
                <w:b w:val="0"/>
                <w:lang w:val="en-NZ"/>
              </w:rPr>
              <w:t>ERS report (1-2 yr)</w:t>
            </w:r>
          </w:p>
        </w:tc>
        <w:tc>
          <w:tcPr>
            <w:tcW w:w="3276" w:type="dxa"/>
            <w:tcBorders>
              <w:top w:val="nil"/>
              <w:bottom w:val="single" w:sz="4" w:space="0" w:color="auto"/>
            </w:tcBorders>
          </w:tcPr>
          <w:p w14:paraId="143BCC3E"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0.3</w:t>
            </w:r>
          </w:p>
        </w:tc>
        <w:tc>
          <w:tcPr>
            <w:tcW w:w="2628" w:type="dxa"/>
            <w:tcBorders>
              <w:top w:val="nil"/>
              <w:bottom w:val="single" w:sz="4" w:space="0" w:color="auto"/>
            </w:tcBorders>
          </w:tcPr>
          <w:p w14:paraId="551723E4"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Neurodevelopment</w:t>
            </w:r>
          </w:p>
        </w:tc>
      </w:tr>
      <w:tr w:rsidR="00455AFF" w:rsidRPr="003720AF" w14:paraId="09DAD06B" w14:textId="77777777" w:rsidTr="00FA2F89">
        <w:tc>
          <w:tcPr>
            <w:cnfStyle w:val="001000000000" w:firstRow="0" w:lastRow="0" w:firstColumn="1" w:lastColumn="0" w:oddVBand="0" w:evenVBand="0" w:oddHBand="0" w:evenHBand="0" w:firstRowFirstColumn="0" w:firstRowLastColumn="0" w:lastRowFirstColumn="0" w:lastRowLastColumn="0"/>
            <w:tcW w:w="3168" w:type="dxa"/>
            <w:tcBorders>
              <w:top w:val="nil"/>
              <w:bottom w:val="single" w:sz="4" w:space="0" w:color="auto"/>
            </w:tcBorders>
          </w:tcPr>
          <w:p w14:paraId="75789070" w14:textId="77777777" w:rsidR="00455AFF" w:rsidRPr="003720AF" w:rsidRDefault="00455AFF" w:rsidP="00B60D5D">
            <w:pPr>
              <w:spacing w:before="40" w:after="40"/>
              <w:rPr>
                <w:rFonts w:cs="Times-Roman"/>
                <w:b w:val="0"/>
                <w:lang w:val="en-NZ"/>
              </w:rPr>
            </w:pPr>
            <w:r w:rsidRPr="003720AF">
              <w:rPr>
                <w:rFonts w:cs="Times-Roman"/>
                <w:b w:val="0"/>
                <w:lang w:val="en-NZ"/>
              </w:rPr>
              <w:t>Utah</w:t>
            </w:r>
          </w:p>
        </w:tc>
        <w:tc>
          <w:tcPr>
            <w:tcW w:w="3276" w:type="dxa"/>
            <w:tcBorders>
              <w:top w:val="nil"/>
              <w:bottom w:val="single" w:sz="4" w:space="0" w:color="auto"/>
            </w:tcBorders>
          </w:tcPr>
          <w:p w14:paraId="2D4A1871"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1</w:t>
            </w:r>
          </w:p>
        </w:tc>
        <w:tc>
          <w:tcPr>
            <w:tcW w:w="2628" w:type="dxa"/>
            <w:tcBorders>
              <w:top w:val="nil"/>
              <w:bottom w:val="single" w:sz="4" w:space="0" w:color="auto"/>
            </w:tcBorders>
          </w:tcPr>
          <w:p w14:paraId="0E98755B"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Neurodevelopment</w:t>
            </w:r>
          </w:p>
        </w:tc>
      </w:tr>
      <w:tr w:rsidR="00455AFF" w:rsidRPr="003720AF" w14:paraId="50A6787D" w14:textId="77777777" w:rsidTr="00FA2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Borders>
              <w:top w:val="nil"/>
              <w:bottom w:val="single" w:sz="4" w:space="0" w:color="auto"/>
            </w:tcBorders>
          </w:tcPr>
          <w:p w14:paraId="2A7A60BB" w14:textId="77777777" w:rsidR="00455AFF" w:rsidRPr="003720AF" w:rsidRDefault="00455AFF" w:rsidP="00B60D5D">
            <w:pPr>
              <w:spacing w:before="40" w:after="40"/>
              <w:rPr>
                <w:rFonts w:cs="Times-Roman"/>
                <w:b w:val="0"/>
                <w:lang w:val="en-NZ"/>
              </w:rPr>
            </w:pPr>
            <w:r w:rsidRPr="003720AF">
              <w:rPr>
                <w:rFonts w:cs="Times-Roman"/>
                <w:b w:val="0"/>
                <w:lang w:val="en-NZ"/>
              </w:rPr>
              <w:t>Colorado (6 mo – 2 yr)</w:t>
            </w:r>
          </w:p>
        </w:tc>
        <w:tc>
          <w:tcPr>
            <w:tcW w:w="3276" w:type="dxa"/>
            <w:tcBorders>
              <w:top w:val="nil"/>
              <w:bottom w:val="single" w:sz="4" w:space="0" w:color="auto"/>
            </w:tcBorders>
          </w:tcPr>
          <w:p w14:paraId="33DDA0D4" w14:textId="77777777" w:rsidR="00455AFF" w:rsidRPr="003720AF" w:rsidRDefault="00932D1A"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4</w:t>
            </w:r>
            <w:r w:rsidR="00455AFF" w:rsidRPr="003720AF">
              <w:rPr>
                <w:rFonts w:cs="Times-Roman"/>
                <w:lang w:val="en-NZ"/>
              </w:rPr>
              <w:t>-70</w:t>
            </w:r>
          </w:p>
        </w:tc>
        <w:tc>
          <w:tcPr>
            <w:tcW w:w="2628" w:type="dxa"/>
            <w:tcBorders>
              <w:top w:val="nil"/>
              <w:bottom w:val="single" w:sz="4" w:space="0" w:color="auto"/>
            </w:tcBorders>
          </w:tcPr>
          <w:p w14:paraId="586FB603"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Neurodevelopment</w:t>
            </w:r>
          </w:p>
        </w:tc>
      </w:tr>
      <w:tr w:rsidR="00455AFF" w:rsidRPr="003720AF" w14:paraId="41AFA2DE" w14:textId="77777777" w:rsidTr="00FA2F89">
        <w:tc>
          <w:tcPr>
            <w:cnfStyle w:val="001000000000" w:firstRow="0" w:lastRow="0" w:firstColumn="1" w:lastColumn="0" w:oddVBand="0" w:evenVBand="0" w:oddHBand="0" w:evenHBand="0" w:firstRowFirstColumn="0" w:firstRowLastColumn="0" w:lastRowFirstColumn="0" w:lastRowLastColumn="0"/>
            <w:tcW w:w="3168" w:type="dxa"/>
            <w:tcBorders>
              <w:top w:val="nil"/>
              <w:bottom w:val="single" w:sz="4" w:space="0" w:color="auto"/>
            </w:tcBorders>
          </w:tcPr>
          <w:p w14:paraId="1D6946BA" w14:textId="77777777" w:rsidR="00455AFF" w:rsidRPr="003720AF" w:rsidRDefault="00455AFF" w:rsidP="00B60D5D">
            <w:pPr>
              <w:spacing w:before="40" w:after="40"/>
              <w:rPr>
                <w:rFonts w:cs="Times-Roman"/>
                <w:b w:val="0"/>
                <w:lang w:val="en-NZ"/>
              </w:rPr>
            </w:pPr>
            <w:r w:rsidRPr="003720AF">
              <w:rPr>
                <w:rFonts w:cs="Times-Roman"/>
                <w:b w:val="0"/>
                <w:lang w:val="en-NZ"/>
              </w:rPr>
              <w:t>Chapman 1961 (pregnant women)</w:t>
            </w:r>
          </w:p>
        </w:tc>
        <w:tc>
          <w:tcPr>
            <w:tcW w:w="3276" w:type="dxa"/>
            <w:tcBorders>
              <w:top w:val="nil"/>
              <w:bottom w:val="single" w:sz="4" w:space="0" w:color="auto"/>
            </w:tcBorders>
          </w:tcPr>
          <w:p w14:paraId="6ACB15F3" w14:textId="77777777" w:rsidR="00455AFF" w:rsidRPr="003720AF" w:rsidRDefault="00932D1A"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8</w:t>
            </w:r>
            <w:r w:rsidR="00455AFF" w:rsidRPr="003720AF">
              <w:rPr>
                <w:rFonts w:cs="Times-Roman"/>
                <w:lang w:val="en-NZ"/>
              </w:rPr>
              <w:t>0</w:t>
            </w:r>
          </w:p>
        </w:tc>
        <w:tc>
          <w:tcPr>
            <w:tcW w:w="2628" w:type="dxa"/>
            <w:tcBorders>
              <w:top w:val="nil"/>
              <w:bottom w:val="single" w:sz="4" w:space="0" w:color="auto"/>
            </w:tcBorders>
          </w:tcPr>
          <w:p w14:paraId="0C15F6F4"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Weight loss</w:t>
            </w:r>
          </w:p>
        </w:tc>
      </w:tr>
      <w:tr w:rsidR="00455AFF" w:rsidRPr="003720AF" w14:paraId="4FFA2507" w14:textId="77777777" w:rsidTr="00FA2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0A07E948" w14:textId="77777777" w:rsidR="00455AFF" w:rsidRPr="003720AF" w:rsidRDefault="00455AFF" w:rsidP="00B60D5D">
            <w:pPr>
              <w:spacing w:before="40" w:after="40"/>
              <w:rPr>
                <w:rFonts w:cs="Times-Roman"/>
                <w:b w:val="0"/>
                <w:lang w:val="en-NZ"/>
              </w:rPr>
            </w:pPr>
            <w:r w:rsidRPr="003720AF">
              <w:rPr>
                <w:rFonts w:cs="Times-Roman"/>
                <w:b w:val="0"/>
                <w:lang w:val="en-NZ"/>
              </w:rPr>
              <w:t>Therapeutic dose range</w:t>
            </w:r>
          </w:p>
        </w:tc>
        <w:tc>
          <w:tcPr>
            <w:tcW w:w="3276" w:type="dxa"/>
          </w:tcPr>
          <w:p w14:paraId="6C8D1F55"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 xml:space="preserve"> (</w:t>
            </w:r>
            <w:r w:rsidRPr="003720AF">
              <w:rPr>
                <w:rFonts w:cs="Times-Roman"/>
                <w:sz w:val="24"/>
                <w:szCs w:val="24"/>
                <w:lang w:val="en-NZ"/>
              </w:rPr>
              <w:t>~</w:t>
            </w:r>
            <w:r w:rsidRPr="003720AF">
              <w:rPr>
                <w:rFonts w:cs="Times-Roman"/>
                <w:lang w:val="en-NZ"/>
              </w:rPr>
              <w:t>250 – 1000)</w:t>
            </w:r>
          </w:p>
        </w:tc>
        <w:tc>
          <w:tcPr>
            <w:tcW w:w="2628" w:type="dxa"/>
          </w:tcPr>
          <w:p w14:paraId="7CF7F836"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ADHD therapy</w:t>
            </w:r>
          </w:p>
        </w:tc>
      </w:tr>
      <w:tr w:rsidR="00455AFF" w:rsidRPr="003720AF" w14:paraId="70E60235" w14:textId="77777777" w:rsidTr="00FA2F89">
        <w:tc>
          <w:tcPr>
            <w:cnfStyle w:val="001000000000" w:firstRow="0" w:lastRow="0" w:firstColumn="1" w:lastColumn="0" w:oddVBand="0" w:evenVBand="0" w:oddHBand="0" w:evenHBand="0" w:firstRowFirstColumn="0" w:firstRowLastColumn="0" w:lastRowFirstColumn="0" w:lastRowLastColumn="0"/>
            <w:tcW w:w="3168" w:type="dxa"/>
          </w:tcPr>
          <w:p w14:paraId="4A6B6FA9" w14:textId="77777777" w:rsidR="00455AFF" w:rsidRPr="003720AF" w:rsidRDefault="00455AFF" w:rsidP="00B60D5D">
            <w:pPr>
              <w:spacing w:before="40" w:after="40"/>
              <w:rPr>
                <w:rFonts w:cs="Times-Roman"/>
                <w:b w:val="0"/>
                <w:lang w:val="en-NZ"/>
              </w:rPr>
            </w:pPr>
            <w:r w:rsidRPr="003720AF">
              <w:rPr>
                <w:rFonts w:cs="Times-Roman"/>
                <w:b w:val="0"/>
                <w:lang w:val="en-NZ"/>
              </w:rPr>
              <w:t>Drug abuse doses range</w:t>
            </w:r>
          </w:p>
        </w:tc>
        <w:tc>
          <w:tcPr>
            <w:tcW w:w="3276" w:type="dxa"/>
          </w:tcPr>
          <w:p w14:paraId="16A77260"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 xml:space="preserve"> (</w:t>
            </w:r>
            <w:r w:rsidRPr="003720AF">
              <w:rPr>
                <w:rFonts w:cs="Times-Roman"/>
                <w:sz w:val="24"/>
                <w:szCs w:val="24"/>
                <w:lang w:val="en-NZ"/>
              </w:rPr>
              <w:t>~</w:t>
            </w:r>
            <w:r w:rsidRPr="003720AF">
              <w:rPr>
                <w:rFonts w:cs="Times-Roman"/>
                <w:lang w:val="en-NZ"/>
              </w:rPr>
              <w:t>1400 – 16,700)</w:t>
            </w:r>
          </w:p>
        </w:tc>
        <w:tc>
          <w:tcPr>
            <w:tcW w:w="2628" w:type="dxa"/>
          </w:tcPr>
          <w:p w14:paraId="30DB8765"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Abuse/Addiction</w:t>
            </w:r>
          </w:p>
        </w:tc>
      </w:tr>
      <w:tr w:rsidR="00455AFF" w:rsidRPr="003720AF" w14:paraId="65D2DB92" w14:textId="77777777" w:rsidTr="00FA2F8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68" w:type="dxa"/>
          </w:tcPr>
          <w:p w14:paraId="42EFA743" w14:textId="77777777" w:rsidR="00455AFF" w:rsidRPr="003720AF" w:rsidRDefault="00455AFF" w:rsidP="00B60D5D">
            <w:pPr>
              <w:spacing w:before="40" w:after="40"/>
              <w:rPr>
                <w:rFonts w:cs="Times-Roman"/>
                <w:b w:val="0"/>
                <w:lang w:val="en-NZ"/>
              </w:rPr>
            </w:pPr>
            <w:r w:rsidRPr="003720AF">
              <w:rPr>
                <w:rFonts w:cs="Times-Roman"/>
                <w:b w:val="0"/>
                <w:lang w:val="en-NZ"/>
              </w:rPr>
              <w:t>Lethal dose (humans)</w:t>
            </w:r>
          </w:p>
        </w:tc>
        <w:tc>
          <w:tcPr>
            <w:tcW w:w="3276" w:type="dxa"/>
          </w:tcPr>
          <w:p w14:paraId="7EF0807D" w14:textId="77777777" w:rsidR="00455AFF" w:rsidRPr="003720AF" w:rsidRDefault="00455AFF" w:rsidP="00B60D5D">
            <w:pPr>
              <w:spacing w:before="40" w:after="40"/>
              <w:jc w:val="center"/>
              <w:cnfStyle w:val="000000100000" w:firstRow="0" w:lastRow="0" w:firstColumn="0" w:lastColumn="0" w:oddVBand="0" w:evenVBand="0" w:oddHBand="1" w:evenHBand="0" w:firstRowFirstColumn="0" w:firstRowLastColumn="0" w:lastRowFirstColumn="0" w:lastRowLastColumn="0"/>
              <w:rPr>
                <w:rFonts w:cs="Times-Roman"/>
                <w:lang w:val="en-NZ"/>
              </w:rPr>
            </w:pPr>
            <w:r w:rsidRPr="003720AF">
              <w:rPr>
                <w:rFonts w:cs="Times-Roman"/>
                <w:lang w:val="en-NZ"/>
              </w:rPr>
              <w:t>3000</w:t>
            </w:r>
          </w:p>
        </w:tc>
        <w:tc>
          <w:tcPr>
            <w:tcW w:w="2628" w:type="dxa"/>
          </w:tcPr>
          <w:p w14:paraId="6B7E42BA" w14:textId="3941BD57" w:rsidR="00455AFF" w:rsidRPr="003720AF" w:rsidRDefault="009212B5" w:rsidP="009212B5">
            <w:pPr>
              <w:spacing w:before="40" w:after="40"/>
              <w:cnfStyle w:val="000000100000" w:firstRow="0" w:lastRow="0" w:firstColumn="0" w:lastColumn="0" w:oddVBand="0" w:evenVBand="0" w:oddHBand="1" w:evenHBand="0" w:firstRowFirstColumn="0" w:firstRowLastColumn="0" w:lastRowFirstColumn="0" w:lastRowLastColumn="0"/>
              <w:rPr>
                <w:rFonts w:cs="Times-Roman"/>
                <w:u w:val="single"/>
                <w:lang w:val="en-NZ"/>
              </w:rPr>
            </w:pPr>
            <w:r w:rsidRPr="003720AF">
              <w:rPr>
                <w:rFonts w:cs="Arial"/>
                <w:color w:val="auto"/>
                <w:u w:val="single"/>
                <w:lang w:val="en-NZ"/>
              </w:rPr>
              <w:t xml:space="preserve">Sribanditmongkol </w:t>
            </w:r>
            <w:r w:rsidR="00455AFF" w:rsidRPr="003720AF">
              <w:rPr>
                <w:rFonts w:cs="Arial"/>
                <w:color w:val="auto"/>
                <w:u w:val="single"/>
                <w:lang w:val="en-NZ"/>
              </w:rPr>
              <w:t>2000</w:t>
            </w:r>
          </w:p>
        </w:tc>
      </w:tr>
      <w:tr w:rsidR="00455AFF" w:rsidRPr="003720AF" w14:paraId="65374467" w14:textId="77777777" w:rsidTr="00FA2F89">
        <w:tc>
          <w:tcPr>
            <w:cnfStyle w:val="001000000000" w:firstRow="0" w:lastRow="0" w:firstColumn="1" w:lastColumn="0" w:oddVBand="0" w:evenVBand="0" w:oddHBand="0" w:evenHBand="0" w:firstRowFirstColumn="0" w:firstRowLastColumn="0" w:lastRowFirstColumn="0" w:lastRowLastColumn="0"/>
            <w:tcW w:w="3168" w:type="dxa"/>
          </w:tcPr>
          <w:p w14:paraId="653E4F92" w14:textId="77777777" w:rsidR="00455AFF" w:rsidRPr="003720AF" w:rsidRDefault="00455AFF" w:rsidP="00B60D5D">
            <w:pPr>
              <w:spacing w:before="40" w:after="40"/>
              <w:rPr>
                <w:rFonts w:cs="Times-Roman"/>
                <w:b w:val="0"/>
                <w:lang w:val="en-NZ"/>
              </w:rPr>
            </w:pPr>
            <w:r w:rsidRPr="003720AF">
              <w:rPr>
                <w:rFonts w:cs="Times-Roman"/>
                <w:b w:val="0"/>
                <w:lang w:val="en-NZ"/>
              </w:rPr>
              <w:t>Lethal dose (mice)</w:t>
            </w:r>
          </w:p>
        </w:tc>
        <w:tc>
          <w:tcPr>
            <w:tcW w:w="3276" w:type="dxa"/>
          </w:tcPr>
          <w:p w14:paraId="227F8495"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70,000</w:t>
            </w:r>
          </w:p>
        </w:tc>
        <w:tc>
          <w:tcPr>
            <w:tcW w:w="2628" w:type="dxa"/>
          </w:tcPr>
          <w:p w14:paraId="110E1B3A" w14:textId="77777777" w:rsidR="00455AFF" w:rsidRPr="003720AF" w:rsidRDefault="00455AFF" w:rsidP="00B60D5D">
            <w:pPr>
              <w:spacing w:before="40" w:after="40"/>
              <w:jc w:val="center"/>
              <w:cnfStyle w:val="000000000000" w:firstRow="0" w:lastRow="0" w:firstColumn="0" w:lastColumn="0" w:oddVBand="0" w:evenVBand="0" w:oddHBand="0" w:evenHBand="0" w:firstRowFirstColumn="0" w:firstRowLastColumn="0" w:lastRowFirstColumn="0" w:lastRowLastColumn="0"/>
              <w:rPr>
                <w:rFonts w:cs="Times-Roman"/>
                <w:lang w:val="en-NZ"/>
              </w:rPr>
            </w:pPr>
            <w:r w:rsidRPr="003720AF">
              <w:rPr>
                <w:rFonts w:cs="Times-Roman"/>
                <w:lang w:val="en-NZ"/>
              </w:rPr>
              <w:t>HSDB 2016</w:t>
            </w:r>
          </w:p>
        </w:tc>
      </w:tr>
    </w:tbl>
    <w:p w14:paraId="14481670" w14:textId="77777777" w:rsidR="00455AFF" w:rsidRPr="003720AF" w:rsidRDefault="00455AFF" w:rsidP="00811CB2"/>
    <w:p w14:paraId="2C917332" w14:textId="77777777" w:rsidR="00455AFF" w:rsidRPr="003720AF" w:rsidRDefault="00AD1EE9" w:rsidP="00F95965">
      <w:pPr>
        <w:pStyle w:val="Heading1"/>
        <w:numPr>
          <w:ilvl w:val="0"/>
          <w:numId w:val="0"/>
        </w:numPr>
      </w:pPr>
      <w:bookmarkStart w:id="54" w:name="_Toc463856048"/>
      <w:r w:rsidRPr="003720AF">
        <w:lastRenderedPageBreak/>
        <w:t>REFERENCES</w:t>
      </w:r>
      <w:bookmarkEnd w:id="54"/>
    </w:p>
    <w:p w14:paraId="62FD1AF5" w14:textId="7935A264" w:rsidR="00455AFF" w:rsidRPr="003720AF" w:rsidRDefault="002A06EA" w:rsidP="00455AFF">
      <w:pPr>
        <w:autoSpaceDE w:val="0"/>
        <w:autoSpaceDN w:val="0"/>
        <w:adjustRightInd w:val="0"/>
      </w:pPr>
      <w:r w:rsidRPr="003720AF">
        <w:t xml:space="preserve">AAP. 2001. </w:t>
      </w:r>
      <w:r w:rsidR="00455AFF" w:rsidRPr="003720AF">
        <w:t xml:space="preserve">American Academy of Pediatrics. Subcommittee on Attention-Deficit/Hyperactivity Disorder and Committee on Quality Improvement. Clinical practice guideline: treatment of the school-aged child with attention-deficit/hyperactivity disorder. </w:t>
      </w:r>
      <w:r w:rsidR="00455AFF" w:rsidRPr="003720AF">
        <w:rPr>
          <w:i/>
          <w:iCs/>
        </w:rPr>
        <w:t xml:space="preserve">Pediatrics </w:t>
      </w:r>
      <w:r w:rsidR="00455AFF" w:rsidRPr="003720AF">
        <w:rPr>
          <w:b/>
          <w:bCs/>
        </w:rPr>
        <w:t>108</w:t>
      </w:r>
      <w:r w:rsidR="00695427" w:rsidRPr="003720AF">
        <w:rPr>
          <w:b/>
          <w:bCs/>
        </w:rPr>
        <w:t>:</w:t>
      </w:r>
      <w:r w:rsidR="00455AFF" w:rsidRPr="003720AF">
        <w:t>1033-1044.</w:t>
      </w:r>
    </w:p>
    <w:p w14:paraId="23000205" w14:textId="1821CD34" w:rsidR="00455AFF" w:rsidRPr="003720AF" w:rsidRDefault="00455AFF" w:rsidP="00455AFF">
      <w:pPr>
        <w:autoSpaceDE w:val="0"/>
        <w:autoSpaceDN w:val="0"/>
        <w:adjustRightInd w:val="0"/>
      </w:pPr>
      <w:r w:rsidRPr="003720AF">
        <w:t xml:space="preserve">Acevedo SF, de Esch IJ, Raber J. 2007. Sex- and histamine-dependent long-term cognitive effects of methamphetamine exposure. </w:t>
      </w:r>
      <w:r w:rsidRPr="003720AF">
        <w:rPr>
          <w:i/>
          <w:iCs/>
        </w:rPr>
        <w:t xml:space="preserve">Neuropsychopharmacology </w:t>
      </w:r>
      <w:r w:rsidRPr="003720AF">
        <w:rPr>
          <w:b/>
          <w:bCs/>
        </w:rPr>
        <w:t>32</w:t>
      </w:r>
      <w:r w:rsidR="00695427" w:rsidRPr="003720AF">
        <w:t xml:space="preserve">: </w:t>
      </w:r>
      <w:r w:rsidRPr="003720AF">
        <w:t>665-672.</w:t>
      </w:r>
    </w:p>
    <w:p w14:paraId="6B6CE268" w14:textId="7C92305D" w:rsidR="00C52B18" w:rsidRPr="003720AF" w:rsidRDefault="00C52B18" w:rsidP="00455AFF">
      <w:pPr>
        <w:autoSpaceDE w:val="0"/>
        <w:autoSpaceDN w:val="0"/>
        <w:adjustRightInd w:val="0"/>
        <w:rPr>
          <w:rFonts w:cs="TimesNewRomanPS"/>
        </w:rPr>
      </w:pPr>
      <w:r w:rsidRPr="003720AF">
        <w:rPr>
          <w:rFonts w:cs="TimesNewRomanPS"/>
        </w:rPr>
        <w:t xml:space="preserve">AIC. 2007. Drug use monitoring in Australia: 2007 annual report on drug use among police detainees. Research and public policy series no. 93. Canberra: Australian Institute of Criminology. </w:t>
      </w:r>
      <w:hyperlink r:id="rId31" w:history="1">
        <w:r w:rsidRPr="003720AF">
          <w:rPr>
            <w:rStyle w:val="Hyperlink"/>
            <w:rFonts w:cs="TimesNewRomanPS"/>
            <w:noProof w:val="0"/>
          </w:rPr>
          <w:t>http://aic.gov.au/media_library/publications/rpp/93/rpp093.pdf</w:t>
        </w:r>
      </w:hyperlink>
      <w:r w:rsidRPr="003720AF">
        <w:rPr>
          <w:rFonts w:cs="TimesNewRomanPS"/>
        </w:rPr>
        <w:t xml:space="preserve"> (accessed 5 October 2016).</w:t>
      </w:r>
    </w:p>
    <w:p w14:paraId="525A4B90" w14:textId="07490DB2" w:rsidR="00455AFF" w:rsidRPr="003720AF" w:rsidRDefault="00455AFF" w:rsidP="00455AFF">
      <w:pPr>
        <w:rPr>
          <w:rFonts w:cs="Verdana"/>
        </w:rPr>
      </w:pPr>
      <w:r w:rsidRPr="003720AF">
        <w:rPr>
          <w:rFonts w:cs="Verdana"/>
        </w:rPr>
        <w:t>Australian Gov</w:t>
      </w:r>
      <w:r w:rsidR="00695427" w:rsidRPr="003720AF">
        <w:rPr>
          <w:rFonts w:cs="Verdana"/>
        </w:rPr>
        <w:t xml:space="preserve">ernment. 2011. </w:t>
      </w:r>
      <w:r w:rsidRPr="003720AF">
        <w:rPr>
          <w:rFonts w:cs="Verdana"/>
          <w:i/>
        </w:rPr>
        <w:t>Clandestine drug laboratory remediation guidelines</w:t>
      </w:r>
      <w:r w:rsidRPr="003720AF">
        <w:rPr>
          <w:rFonts w:cs="Verdana"/>
        </w:rPr>
        <w:t xml:space="preserve">. </w:t>
      </w:r>
      <w:hyperlink r:id="rId32" w:history="1">
        <w:r w:rsidRPr="003720AF">
          <w:rPr>
            <w:rStyle w:val="Hyperlink"/>
            <w:rFonts w:cs="Verdana"/>
          </w:rPr>
          <w:t>https://www.ag.gov.au/CrimeAndCorruption/Drugs/Documents/Clandestinedruglaboratoryremediationguidelines.pdf</w:t>
        </w:r>
      </w:hyperlink>
      <w:r w:rsidR="00695427" w:rsidRPr="003720AF">
        <w:rPr>
          <w:rStyle w:val="Hyperlink"/>
          <w:rFonts w:cs="Verdana"/>
        </w:rPr>
        <w:t>.</w:t>
      </w:r>
      <w:r w:rsidR="005719C8" w:rsidRPr="003720AF">
        <w:rPr>
          <w:rStyle w:val="Hyperlink"/>
          <w:rFonts w:cs="Verdana"/>
          <w:u w:val="none"/>
        </w:rPr>
        <w:t xml:space="preserve"> </w:t>
      </w:r>
      <w:r w:rsidR="00695427" w:rsidRPr="003720AF">
        <w:rPr>
          <w:rStyle w:val="Hyperlink"/>
          <w:rFonts w:cs="Verdana"/>
          <w:color w:val="000000" w:themeColor="text1"/>
          <w:u w:val="none"/>
        </w:rPr>
        <w:t>(accessed 5 October 2016).</w:t>
      </w:r>
    </w:p>
    <w:p w14:paraId="6D11B3AB" w14:textId="21CF387B" w:rsidR="00455AFF" w:rsidRPr="003720AF" w:rsidRDefault="00695427" w:rsidP="00455AFF">
      <w:pPr>
        <w:pStyle w:val="BodyText"/>
        <w:kinsoku w:val="0"/>
        <w:overflowPunct w:val="0"/>
        <w:spacing w:before="4"/>
        <w:ind w:left="0"/>
        <w:rPr>
          <w:rFonts w:cs="Arial"/>
        </w:rPr>
      </w:pPr>
      <w:r w:rsidRPr="003720AF">
        <w:rPr>
          <w:rFonts w:cs="Arial"/>
        </w:rPr>
        <w:t xml:space="preserve">Bayly </w:t>
      </w:r>
      <w:r w:rsidR="00455AFF" w:rsidRPr="003720AF">
        <w:rPr>
          <w:rFonts w:cs="Arial"/>
        </w:rPr>
        <w:t>M</w:t>
      </w:r>
      <w:r w:rsidRPr="003720AF">
        <w:rPr>
          <w:rFonts w:cs="Arial"/>
        </w:rPr>
        <w:t xml:space="preserve">A. </w:t>
      </w:r>
      <w:r w:rsidR="00455AFF" w:rsidRPr="003720AF">
        <w:rPr>
          <w:rFonts w:cs="Arial"/>
        </w:rPr>
        <w:t xml:space="preserve">1960. Desoxyephedrine as an aid in weight control for pregnant clinic patients. </w:t>
      </w:r>
      <w:r w:rsidR="00455AFF" w:rsidRPr="003720AF">
        <w:rPr>
          <w:rFonts w:cs="Arial"/>
          <w:i/>
          <w:iCs/>
        </w:rPr>
        <w:t xml:space="preserve">Quarterly Bulletin. Northwestern University </w:t>
      </w:r>
      <w:r w:rsidRPr="003720AF">
        <w:rPr>
          <w:rFonts w:cs="Arial"/>
          <w:i/>
          <w:iCs/>
        </w:rPr>
        <w:t xml:space="preserve">Medical School </w:t>
      </w:r>
      <w:r w:rsidR="00455AFF" w:rsidRPr="003720AF">
        <w:rPr>
          <w:rFonts w:cs="Arial"/>
          <w:bCs/>
        </w:rPr>
        <w:t>34</w:t>
      </w:r>
      <w:r w:rsidRPr="003720AF">
        <w:rPr>
          <w:rFonts w:cs="Arial"/>
        </w:rPr>
        <w:t>:</w:t>
      </w:r>
      <w:r w:rsidR="00455AFF" w:rsidRPr="003720AF">
        <w:rPr>
          <w:rFonts w:cs="Arial"/>
        </w:rPr>
        <w:t>193.</w:t>
      </w:r>
    </w:p>
    <w:p w14:paraId="5B269796" w14:textId="22AAFD37" w:rsidR="00455AFF" w:rsidRPr="003720AF" w:rsidRDefault="00695427" w:rsidP="00455AFF">
      <w:pPr>
        <w:autoSpaceDE w:val="0"/>
        <w:autoSpaceDN w:val="0"/>
        <w:adjustRightInd w:val="0"/>
        <w:rPr>
          <w:rFonts w:cs="Times-Roman"/>
        </w:rPr>
      </w:pPr>
      <w:r w:rsidRPr="003720AF">
        <w:t>Brown</w:t>
      </w:r>
      <w:r w:rsidR="00455AFF" w:rsidRPr="003720AF">
        <w:t xml:space="preserve"> RT,</w:t>
      </w:r>
      <w:r w:rsidRPr="003720AF">
        <w:t xml:space="preserve"> </w:t>
      </w:r>
      <w:r w:rsidR="00455AFF" w:rsidRPr="003720AF">
        <w:t>Amler R</w:t>
      </w:r>
      <w:r w:rsidRPr="003720AF">
        <w:t>W</w:t>
      </w:r>
      <w:r w:rsidR="00455AFF" w:rsidRPr="003720AF">
        <w:t>, Freeman</w:t>
      </w:r>
      <w:r w:rsidRPr="003720AF">
        <w:t xml:space="preserve"> WS</w:t>
      </w:r>
      <w:r w:rsidR="00547873" w:rsidRPr="003720AF">
        <w:t>,</w:t>
      </w:r>
      <w:r w:rsidRPr="003720AF">
        <w:t xml:space="preserve"> et al.</w:t>
      </w:r>
      <w:r w:rsidR="00455AFF" w:rsidRPr="003720AF">
        <w:t xml:space="preserve"> 2005. Treatment of attention-deficit/hyperactivity disorder: overview of the evidence. </w:t>
      </w:r>
      <w:r w:rsidR="00455AFF" w:rsidRPr="003720AF">
        <w:rPr>
          <w:i/>
          <w:iCs/>
        </w:rPr>
        <w:t xml:space="preserve">Pediatrics </w:t>
      </w:r>
      <w:r w:rsidR="00455AFF" w:rsidRPr="003720AF">
        <w:rPr>
          <w:bCs/>
        </w:rPr>
        <w:t>115</w:t>
      </w:r>
      <w:r w:rsidRPr="003720AF">
        <w:t>:</w:t>
      </w:r>
      <w:r w:rsidR="00455AFF" w:rsidRPr="003720AF">
        <w:t xml:space="preserve"> e749-757.</w:t>
      </w:r>
    </w:p>
    <w:p w14:paraId="7292480E" w14:textId="14C0DE21" w:rsidR="00455AFF" w:rsidRPr="003720AF" w:rsidRDefault="00455AFF" w:rsidP="00455AFF">
      <w:pPr>
        <w:autoSpaceDE w:val="0"/>
        <w:autoSpaceDN w:val="0"/>
        <w:adjustRightInd w:val="0"/>
      </w:pPr>
      <w:r w:rsidRPr="003720AF">
        <w:t>Cha</w:t>
      </w:r>
      <w:r w:rsidR="00695427" w:rsidRPr="003720AF">
        <w:t>kraborty A, Anstice N, Jacobs R</w:t>
      </w:r>
      <w:r w:rsidR="00547873" w:rsidRPr="003720AF">
        <w:t>,</w:t>
      </w:r>
      <w:r w:rsidR="00695427" w:rsidRPr="003720AF">
        <w:t xml:space="preserve"> et al.</w:t>
      </w:r>
      <w:r w:rsidRPr="003720AF">
        <w:t xml:space="preserve"> 2015.  Prenatal exposure to recreational drugs affects global motion perception in preschool children. </w:t>
      </w:r>
      <w:r w:rsidRPr="003720AF">
        <w:rPr>
          <w:i/>
        </w:rPr>
        <w:t>Scientific Reports</w:t>
      </w:r>
      <w:r w:rsidRPr="003720AF">
        <w:t xml:space="preserve"> 5:</w:t>
      </w:r>
      <w:r w:rsidR="00695427" w:rsidRPr="003720AF">
        <w:t xml:space="preserve"> </w:t>
      </w:r>
      <w:r w:rsidRPr="003720AF">
        <w:t>16921</w:t>
      </w:r>
      <w:r w:rsidR="00695427" w:rsidRPr="003720AF">
        <w:t>.</w:t>
      </w:r>
    </w:p>
    <w:p w14:paraId="70E336DF" w14:textId="0FBAA70B" w:rsidR="00455AFF" w:rsidRPr="003720AF" w:rsidRDefault="00695427" w:rsidP="00455AFF">
      <w:pPr>
        <w:autoSpaceDE w:val="0"/>
        <w:autoSpaceDN w:val="0"/>
        <w:adjustRightInd w:val="0"/>
        <w:rPr>
          <w:rFonts w:cs="TimesNewRomanPS"/>
        </w:rPr>
      </w:pPr>
      <w:r w:rsidRPr="003720AF">
        <w:t>Chapman</w:t>
      </w:r>
      <w:r w:rsidR="00455AFF" w:rsidRPr="003720AF">
        <w:t xml:space="preserve"> J</w:t>
      </w:r>
      <w:r w:rsidRPr="003720AF">
        <w:t xml:space="preserve"> </w:t>
      </w:r>
      <w:r w:rsidR="00455AFF" w:rsidRPr="003720AF">
        <w:t xml:space="preserve">D. 1961. Control of weight gain in pregnancy, utilizing methamphetamine. </w:t>
      </w:r>
      <w:r w:rsidR="00455AFF" w:rsidRPr="003720AF">
        <w:rPr>
          <w:i/>
          <w:iCs/>
        </w:rPr>
        <w:t xml:space="preserve">The Journal of the American Osteopathic Association </w:t>
      </w:r>
      <w:r w:rsidR="00455AFF" w:rsidRPr="003720AF">
        <w:rPr>
          <w:bCs/>
        </w:rPr>
        <w:t>60</w:t>
      </w:r>
      <w:r w:rsidRPr="003720AF">
        <w:t xml:space="preserve">: </w:t>
      </w:r>
      <w:r w:rsidR="00455AFF" w:rsidRPr="003720AF">
        <w:t>993-997.</w:t>
      </w:r>
    </w:p>
    <w:p w14:paraId="57BCF788" w14:textId="461665D7" w:rsidR="00455AFF" w:rsidRPr="003720AF" w:rsidRDefault="00695427" w:rsidP="00455AFF">
      <w:pPr>
        <w:autoSpaceDE w:val="0"/>
        <w:autoSpaceDN w:val="0"/>
        <w:adjustRightInd w:val="0"/>
      </w:pPr>
      <w:r w:rsidRPr="003720AF">
        <w:t>Cho</w:t>
      </w:r>
      <w:r w:rsidR="00455AFF" w:rsidRPr="003720AF">
        <w:t xml:space="preserve"> A K</w:t>
      </w:r>
      <w:r w:rsidRPr="003720AF">
        <w:t>, Melega</w:t>
      </w:r>
      <w:r w:rsidR="00455AFF" w:rsidRPr="003720AF">
        <w:t xml:space="preserve"> W P, Kuczenski</w:t>
      </w:r>
      <w:r w:rsidRPr="003720AF">
        <w:t xml:space="preserve"> R</w:t>
      </w:r>
      <w:r w:rsidR="00547873" w:rsidRPr="003720AF">
        <w:t>,</w:t>
      </w:r>
      <w:r w:rsidRPr="003720AF">
        <w:t xml:space="preserve"> et al. 2001</w:t>
      </w:r>
      <w:r w:rsidR="00455AFF" w:rsidRPr="003720AF">
        <w:t xml:space="preserve">. Relevance of pharmacokinetic parameters in animal models of methamphetamine abuse. </w:t>
      </w:r>
      <w:r w:rsidR="00455AFF" w:rsidRPr="003720AF">
        <w:rPr>
          <w:i/>
          <w:iCs/>
        </w:rPr>
        <w:t xml:space="preserve">Synapse </w:t>
      </w:r>
      <w:r w:rsidR="00455AFF" w:rsidRPr="003720AF">
        <w:rPr>
          <w:bCs/>
        </w:rPr>
        <w:t>39</w:t>
      </w:r>
      <w:r w:rsidRPr="003720AF">
        <w:t xml:space="preserve">: </w:t>
      </w:r>
      <w:r w:rsidR="00455AFF" w:rsidRPr="003720AF">
        <w:t>161-166.</w:t>
      </w:r>
    </w:p>
    <w:p w14:paraId="0770F340" w14:textId="696245FD" w:rsidR="00455AFF" w:rsidRPr="003720AF" w:rsidRDefault="00547873" w:rsidP="00455AFF">
      <w:pPr>
        <w:autoSpaceDE w:val="0"/>
        <w:autoSpaceDN w:val="0"/>
        <w:adjustRightInd w:val="0"/>
      </w:pPr>
      <w:r w:rsidRPr="003720AF">
        <w:t>CDPHE. 2005.</w:t>
      </w:r>
      <w:r w:rsidRPr="003720AF">
        <w:rPr>
          <w:i/>
        </w:rPr>
        <w:t xml:space="preserve"> </w:t>
      </w:r>
      <w:r w:rsidR="00455AFF" w:rsidRPr="003720AF">
        <w:rPr>
          <w:i/>
        </w:rPr>
        <w:t>S</w:t>
      </w:r>
      <w:r w:rsidRPr="003720AF">
        <w:rPr>
          <w:i/>
        </w:rPr>
        <w:t>upport for selection of a clean</w:t>
      </w:r>
      <w:r w:rsidR="00455AFF" w:rsidRPr="003720AF">
        <w:rPr>
          <w:i/>
        </w:rPr>
        <w:t>up level of methamphetamine at clandestine drug laboratories</w:t>
      </w:r>
      <w:r w:rsidR="00455AFF" w:rsidRPr="003720AF">
        <w:t xml:space="preserve">. </w:t>
      </w:r>
      <w:r w:rsidRPr="003720AF">
        <w:t xml:space="preserve">Colorado Department of Public Health and the Environment.  </w:t>
      </w:r>
      <w:hyperlink r:id="rId33" w:history="1">
        <w:r w:rsidR="00455AFF" w:rsidRPr="003720AF">
          <w:rPr>
            <w:rStyle w:val="Hyperlink"/>
          </w:rPr>
          <w:t>https://www.colorado.gov/pacific/sites/default/files/HM_clean-up-level-support.pdf</w:t>
        </w:r>
      </w:hyperlink>
      <w:r w:rsidRPr="003720AF">
        <w:rPr>
          <w:rStyle w:val="Hyperlink"/>
        </w:rPr>
        <w:t xml:space="preserve"> </w:t>
      </w:r>
      <w:r w:rsidRPr="003720AF">
        <w:rPr>
          <w:rStyle w:val="Hyperlink"/>
          <w:color w:val="000000" w:themeColor="text1"/>
          <w:u w:val="none"/>
        </w:rPr>
        <w:t>(accessed 5 October 2016).</w:t>
      </w:r>
    </w:p>
    <w:p w14:paraId="1330A5BC" w14:textId="7B81E14E" w:rsidR="00455AFF" w:rsidRPr="003720AF" w:rsidRDefault="00455AFF" w:rsidP="00455AFF">
      <w:pPr>
        <w:autoSpaceDE w:val="0"/>
        <w:autoSpaceDN w:val="0"/>
        <w:adjustRightInd w:val="0"/>
      </w:pPr>
      <w:r w:rsidRPr="003720AF">
        <w:t>Copan L, Fowles J, Barreau T,</w:t>
      </w:r>
      <w:r w:rsidR="00547873" w:rsidRPr="003720AF">
        <w:t xml:space="preserve"> et al.</w:t>
      </w:r>
      <w:r w:rsidRPr="003720AF">
        <w:t xml:space="preserve"> 2015. Mercury toxicity and contamination of households from the use of skin creams adulterated with</w:t>
      </w:r>
      <w:r w:rsidR="00547873" w:rsidRPr="003720AF">
        <w:t xml:space="preserve"> mercurous chloride (calomel). </w:t>
      </w:r>
      <w:r w:rsidRPr="003720AF">
        <w:rPr>
          <w:i/>
        </w:rPr>
        <w:t>International Journal of Environmental Research and Public Health</w:t>
      </w:r>
      <w:r w:rsidRPr="003720AF">
        <w:t xml:space="preserve"> 12:10943-10954</w:t>
      </w:r>
      <w:r w:rsidR="00547873" w:rsidRPr="003720AF">
        <w:t>.</w:t>
      </w:r>
    </w:p>
    <w:p w14:paraId="5C89EA79" w14:textId="3F56EA1B" w:rsidR="003F573E" w:rsidRPr="003720AF" w:rsidRDefault="003F573E" w:rsidP="00455AFF">
      <w:pPr>
        <w:autoSpaceDE w:val="0"/>
        <w:autoSpaceDN w:val="0"/>
        <w:adjustRightInd w:val="0"/>
      </w:pPr>
      <w:r w:rsidRPr="003720AF">
        <w:t xml:space="preserve">Derauf C. LaGasse L, Smith L, et al. 2012. Prenatal methamphetamine exposure and inhibitory control among young school-age children. </w:t>
      </w:r>
      <w:r w:rsidRPr="003720AF">
        <w:rPr>
          <w:i/>
        </w:rPr>
        <w:t>Journal of Pediatrics.</w:t>
      </w:r>
      <w:r w:rsidRPr="003720AF">
        <w:t xml:space="preserve"> 161: 452</w:t>
      </w:r>
      <w:r w:rsidRPr="003720AF">
        <w:rPr>
          <w:rFonts w:cs="Arial"/>
        </w:rPr>
        <w:t>–</w:t>
      </w:r>
      <w:r w:rsidRPr="003720AF">
        <w:t xml:space="preserve">459. </w:t>
      </w:r>
      <w:hyperlink r:id="rId34" w:history="1">
        <w:r w:rsidRPr="003720AF">
          <w:rPr>
            <w:rStyle w:val="Hyperlink"/>
            <w:noProof w:val="0"/>
          </w:rPr>
          <w:t>https://www.ncbi.nlm.nih.gov/pubmed/22424953</w:t>
        </w:r>
      </w:hyperlink>
      <w:r w:rsidRPr="003720AF">
        <w:t xml:space="preserve"> </w:t>
      </w:r>
      <w:r w:rsidR="00902CEC" w:rsidRPr="003720AF">
        <w:t xml:space="preserve"> (accessed 5 October 2016).</w:t>
      </w:r>
    </w:p>
    <w:p w14:paraId="4C52DBB6" w14:textId="1131CDEA" w:rsidR="00455AFF" w:rsidRPr="003720AF" w:rsidRDefault="00455AFF" w:rsidP="00455AFF">
      <w:pPr>
        <w:autoSpaceDE w:val="0"/>
        <w:autoSpaceDN w:val="0"/>
        <w:adjustRightInd w:val="0"/>
      </w:pPr>
      <w:r w:rsidRPr="003720AF">
        <w:t xml:space="preserve">Dulcan M. 1997. Practice parameters for the assessment and treatment of children, adolescents, and adults with attention-deficit/hyperactivity disorder. American Academy of Child and Adolescent Psychiatry. </w:t>
      </w:r>
      <w:r w:rsidRPr="003720AF">
        <w:rPr>
          <w:i/>
          <w:iCs/>
        </w:rPr>
        <w:t xml:space="preserve">Journal of the American Academy of Child and Adolescent Psychiatry </w:t>
      </w:r>
      <w:r w:rsidRPr="003720AF">
        <w:rPr>
          <w:bCs/>
        </w:rPr>
        <w:t>36</w:t>
      </w:r>
      <w:r w:rsidR="00547873" w:rsidRPr="003720AF">
        <w:t xml:space="preserve">: </w:t>
      </w:r>
      <w:r w:rsidRPr="003720AF">
        <w:t>85S-121S.</w:t>
      </w:r>
    </w:p>
    <w:p w14:paraId="21C3BAB9" w14:textId="45772C87" w:rsidR="00455AFF" w:rsidRPr="003720AF" w:rsidRDefault="00455AFF" w:rsidP="00455AFF">
      <w:pPr>
        <w:rPr>
          <w:rFonts w:cs="Times New Roman"/>
        </w:rPr>
      </w:pPr>
      <w:r w:rsidRPr="003720AF">
        <w:t xml:space="preserve">enHealth 2013. </w:t>
      </w:r>
      <w:r w:rsidR="00902CEC" w:rsidRPr="003720AF">
        <w:t xml:space="preserve">enhealth </w:t>
      </w:r>
      <w:r w:rsidRPr="003720AF">
        <w:rPr>
          <w:rFonts w:cs="Times New Roman"/>
        </w:rPr>
        <w:t xml:space="preserve">Position Statement: Clandestine Drug Laboratories and Public Health Risks. </w:t>
      </w:r>
      <w:r w:rsidR="00902CEC" w:rsidRPr="003720AF">
        <w:rPr>
          <w:rFonts w:cs="Times New Roman"/>
        </w:rPr>
        <w:t>enHealth</w:t>
      </w:r>
      <w:r w:rsidR="003720AF">
        <w:rPr>
          <w:rFonts w:cs="Times New Roman"/>
        </w:rPr>
        <w:t>.</w:t>
      </w:r>
      <w:r w:rsidRPr="003720AF">
        <w:rPr>
          <w:rFonts w:cs="Times New Roman"/>
        </w:rPr>
        <w:t xml:space="preserve"> </w:t>
      </w:r>
      <w:hyperlink r:id="rId35" w:history="1">
        <w:r w:rsidR="00902CEC" w:rsidRPr="003720AF">
          <w:rPr>
            <w:rStyle w:val="Hyperlink"/>
            <w:rFonts w:cs="Times New Roman"/>
          </w:rPr>
          <w:t>https://www.health.gov.au/internet/main/publishing.nsf/Content/A12B57E41EC9F326CA257BF0001F9E7D/$File/Clan-Labs.pdf</w:t>
        </w:r>
      </w:hyperlink>
      <w:r w:rsidR="00902CEC" w:rsidRPr="003720AF">
        <w:rPr>
          <w:rStyle w:val="Hyperlink"/>
          <w:rFonts w:cs="Times New Roman"/>
        </w:rPr>
        <w:t xml:space="preserve"> </w:t>
      </w:r>
      <w:r w:rsidR="00902CEC" w:rsidRPr="003720AF">
        <w:rPr>
          <w:rStyle w:val="Hyperlink"/>
          <w:rFonts w:cs="Times New Roman"/>
          <w:color w:val="000000" w:themeColor="text1"/>
          <w:u w:val="none"/>
        </w:rPr>
        <w:t>(accessed 5 October 2016).</w:t>
      </w:r>
    </w:p>
    <w:p w14:paraId="6CDF0A5F" w14:textId="18941933" w:rsidR="00455AFF" w:rsidRPr="003720AF" w:rsidRDefault="00324159" w:rsidP="00455AFF">
      <w:pPr>
        <w:widowControl w:val="0"/>
        <w:autoSpaceDE w:val="0"/>
        <w:autoSpaceDN w:val="0"/>
        <w:adjustRightInd w:val="0"/>
        <w:rPr>
          <w:rFonts w:cs="TimesNewRomanPS"/>
        </w:rPr>
      </w:pPr>
      <w:r w:rsidRPr="003720AF">
        <w:rPr>
          <w:rFonts w:cs="TimesNewRomanPS"/>
        </w:rPr>
        <w:t>ERS</w:t>
      </w:r>
      <w:r w:rsidR="00455AFF" w:rsidRPr="003720AF">
        <w:rPr>
          <w:rFonts w:cs="TimesNewRomanPS"/>
        </w:rPr>
        <w:t xml:space="preserve">. 2009. </w:t>
      </w:r>
      <w:r w:rsidR="00455AFF" w:rsidRPr="003720AF">
        <w:rPr>
          <w:rFonts w:cs="TimesNewRomanPS"/>
          <w:i/>
        </w:rPr>
        <w:t>Derivation of Risk Based Investigation Levels</w:t>
      </w:r>
      <w:r w:rsidR="00455AFF" w:rsidRPr="003720AF">
        <w:rPr>
          <w:rFonts w:cs="TimesNewRomanPS"/>
        </w:rPr>
        <w:t xml:space="preserve">. </w:t>
      </w:r>
      <w:r w:rsidRPr="003720AF">
        <w:rPr>
          <w:rFonts w:cs="TimesNewRomanPS"/>
        </w:rPr>
        <w:t>Environmental Risk Sciences</w:t>
      </w:r>
      <w:r w:rsidRPr="003720AF">
        <w:t xml:space="preserve"> </w:t>
      </w:r>
      <w:hyperlink r:id="rId36" w:history="1">
        <w:r w:rsidR="00455AFF" w:rsidRPr="003720AF">
          <w:rPr>
            <w:rStyle w:val="Hyperlink"/>
            <w:rFonts w:cs="TimesNewRomanPS"/>
          </w:rPr>
          <w:t>http://www.enrisks.com.au/wp-content/uploads/2012/12/Derivation-of-Risk-Based-Guidelines-for-Website.pdf</w:t>
        </w:r>
      </w:hyperlink>
      <w:r w:rsidRPr="003720AF">
        <w:rPr>
          <w:rStyle w:val="Hyperlink"/>
          <w:rFonts w:cs="TimesNewRomanPS"/>
        </w:rPr>
        <w:t xml:space="preserve"> </w:t>
      </w:r>
      <w:r w:rsidRPr="003720AF">
        <w:rPr>
          <w:rStyle w:val="Hyperlink"/>
          <w:rFonts w:cs="TimesNewRomanPS"/>
          <w:color w:val="000000" w:themeColor="text1"/>
          <w:u w:val="none"/>
        </w:rPr>
        <w:t>(accessed 5 October 2016).</w:t>
      </w:r>
    </w:p>
    <w:p w14:paraId="439DBD12" w14:textId="13A4FEFE" w:rsidR="00455AFF" w:rsidRPr="003720AF" w:rsidRDefault="000205F8" w:rsidP="00455AFF">
      <w:pPr>
        <w:widowControl w:val="0"/>
        <w:autoSpaceDE w:val="0"/>
        <w:autoSpaceDN w:val="0"/>
        <w:adjustRightInd w:val="0"/>
        <w:rPr>
          <w:rFonts w:cs="TimesNewRomanPS"/>
        </w:rPr>
      </w:pPr>
      <w:r w:rsidRPr="003720AF">
        <w:rPr>
          <w:rFonts w:cs="TimesNewRomanPS"/>
        </w:rPr>
        <w:t>Cressey P, Horn B.</w:t>
      </w:r>
      <w:r w:rsidR="00455AFF" w:rsidRPr="003720AF">
        <w:rPr>
          <w:rFonts w:cs="TimesNewRomanPS"/>
        </w:rPr>
        <w:t xml:space="preserve"> 2016. </w:t>
      </w:r>
      <w:r w:rsidR="00455AFF" w:rsidRPr="003720AF">
        <w:rPr>
          <w:rFonts w:cs="TimesNewRomanPS"/>
          <w:i/>
        </w:rPr>
        <w:t>New Zealand Exposure Factors Handbook: Recommended Valu</w:t>
      </w:r>
      <w:r w:rsidR="00BC2E4C" w:rsidRPr="003720AF">
        <w:rPr>
          <w:rFonts w:cs="TimesNewRomanPS"/>
          <w:i/>
        </w:rPr>
        <w:t>es</w:t>
      </w:r>
      <w:r w:rsidR="00BC2E4C" w:rsidRPr="003720AF">
        <w:rPr>
          <w:rFonts w:cs="TimesNewRomanPS"/>
        </w:rPr>
        <w:t xml:space="preserve">. </w:t>
      </w:r>
      <w:r w:rsidR="00455AFF" w:rsidRPr="003720AF">
        <w:rPr>
          <w:rFonts w:cs="TimesNewRomanPS"/>
        </w:rPr>
        <w:t>Report to the Ministr</w:t>
      </w:r>
      <w:r w:rsidR="00324159" w:rsidRPr="003720AF">
        <w:rPr>
          <w:rFonts w:cs="TimesNewRomanPS"/>
        </w:rPr>
        <w:t xml:space="preserve">y of Health, </w:t>
      </w:r>
      <w:r w:rsidRPr="003720AF">
        <w:rPr>
          <w:rFonts w:cs="TimesNewRomanPS"/>
        </w:rPr>
        <w:t>Client Report</w:t>
      </w:r>
      <w:r w:rsidR="00324159" w:rsidRPr="003720AF">
        <w:rPr>
          <w:rFonts w:cs="TimesNewRomanPS"/>
        </w:rPr>
        <w:t xml:space="preserve"> No. FW16002 Christchurch: Institute of Environmental Science and Research.</w:t>
      </w:r>
    </w:p>
    <w:p w14:paraId="156B3E5F" w14:textId="70A71DA4" w:rsidR="00455AFF" w:rsidRPr="003720AF" w:rsidRDefault="00455AFF" w:rsidP="00455AFF">
      <w:pPr>
        <w:widowControl w:val="0"/>
        <w:autoSpaceDE w:val="0"/>
        <w:autoSpaceDN w:val="0"/>
        <w:adjustRightInd w:val="0"/>
        <w:rPr>
          <w:rFonts w:cs="Arial"/>
        </w:rPr>
      </w:pPr>
      <w:r w:rsidRPr="003720AF">
        <w:rPr>
          <w:rFonts w:cs="TimesNewRomanPS"/>
        </w:rPr>
        <w:t xml:space="preserve">Eze N, Smith L, LaGasse L, </w:t>
      </w:r>
      <w:r w:rsidR="000205F8" w:rsidRPr="003720AF">
        <w:rPr>
          <w:rFonts w:cs="TimesNewRomanPS"/>
        </w:rPr>
        <w:t>et al.</w:t>
      </w:r>
      <w:r w:rsidRPr="003720AF">
        <w:rPr>
          <w:rFonts w:cs="Arial"/>
        </w:rPr>
        <w:t xml:space="preserve"> 2016. School-Aged Outcomes following Prenatal Methamphetamine Exposure: 7.5-Year Follow-Up from the Infant Development, Environment, and Lifestyle Study. </w:t>
      </w:r>
      <w:r w:rsidRPr="003720AF">
        <w:rPr>
          <w:rFonts w:cs="Arial"/>
          <w:i/>
        </w:rPr>
        <w:t>J</w:t>
      </w:r>
      <w:r w:rsidR="00602975" w:rsidRPr="003720AF">
        <w:rPr>
          <w:rFonts w:cs="Arial"/>
          <w:i/>
        </w:rPr>
        <w:t>ournal of</w:t>
      </w:r>
      <w:r w:rsidRPr="003720AF">
        <w:rPr>
          <w:rFonts w:cs="Arial"/>
          <w:i/>
        </w:rPr>
        <w:t xml:space="preserve"> Pediatrics</w:t>
      </w:r>
      <w:r w:rsidRPr="003720AF">
        <w:rPr>
          <w:rFonts w:cs="Arial"/>
        </w:rPr>
        <w:t xml:space="preserve"> 170:</w:t>
      </w:r>
      <w:r w:rsidR="000205F8" w:rsidRPr="003720AF">
        <w:rPr>
          <w:rFonts w:cs="Arial"/>
        </w:rPr>
        <w:t xml:space="preserve"> </w:t>
      </w:r>
      <w:r w:rsidRPr="003720AF">
        <w:rPr>
          <w:rFonts w:cs="Arial"/>
        </w:rPr>
        <w:t>34-38.</w:t>
      </w:r>
    </w:p>
    <w:p w14:paraId="4E448C64" w14:textId="13420CFC" w:rsidR="00455AFF" w:rsidRPr="003720AF" w:rsidRDefault="00455AFF" w:rsidP="00455AFF">
      <w:pPr>
        <w:autoSpaceDE w:val="0"/>
        <w:autoSpaceDN w:val="0"/>
        <w:adjustRightInd w:val="0"/>
        <w:rPr>
          <w:rFonts w:cs="TimesNewRomanPS"/>
        </w:rPr>
      </w:pPr>
      <w:r w:rsidRPr="003720AF">
        <w:rPr>
          <w:rFonts w:cs="TimesNewRomanPS"/>
        </w:rPr>
        <w:t>FDA</w:t>
      </w:r>
      <w:r w:rsidR="005B710F" w:rsidRPr="003720AF">
        <w:rPr>
          <w:rFonts w:cs="TimesNewRomanPS"/>
        </w:rPr>
        <w:t xml:space="preserve"> review</w:t>
      </w:r>
      <w:r w:rsidR="000205F8" w:rsidRPr="003720AF">
        <w:rPr>
          <w:rFonts w:cs="TimesNewRomanPS"/>
        </w:rPr>
        <w:t>. 2001.</w:t>
      </w:r>
      <w:r w:rsidRPr="003720AF">
        <w:rPr>
          <w:rFonts w:cs="TimesNewRomanPS"/>
        </w:rPr>
        <w:t xml:space="preserve"> Adderall XR: Chemistry Review(s), Clinical Pharmacology and Biopharmaceutics Reviews(s), Medical Review, Pharmacology Review, and Statistical Review. Center for Drug Evaluation and Research</w:t>
      </w:r>
      <w:r w:rsidR="000205F8" w:rsidRPr="003720AF">
        <w:rPr>
          <w:rFonts w:cs="TimesNewRomanPS"/>
        </w:rPr>
        <w:t>: United States Food and Drug Administration.</w:t>
      </w:r>
    </w:p>
    <w:p w14:paraId="36CAB5EA" w14:textId="2EB51DF8" w:rsidR="00455AFF" w:rsidRPr="003720AF" w:rsidRDefault="00455AFF" w:rsidP="00455AFF">
      <w:pPr>
        <w:autoSpaceDE w:val="0"/>
        <w:autoSpaceDN w:val="0"/>
        <w:adjustRightInd w:val="0"/>
        <w:rPr>
          <w:rFonts w:cs="TimesNewRomanPS"/>
        </w:rPr>
      </w:pPr>
      <w:r w:rsidRPr="003720AF">
        <w:t>Goldman</w:t>
      </w:r>
      <w:r w:rsidR="00132B20" w:rsidRPr="003720AF">
        <w:t xml:space="preserve"> L</w:t>
      </w:r>
      <w:r w:rsidRPr="003720AF">
        <w:t xml:space="preserve"> S, Genel</w:t>
      </w:r>
      <w:r w:rsidR="00132B20" w:rsidRPr="003720AF">
        <w:t xml:space="preserve"> M</w:t>
      </w:r>
      <w:r w:rsidRPr="003720AF">
        <w:t>, Bezman R J</w:t>
      </w:r>
      <w:r w:rsidR="00132B20" w:rsidRPr="003720AF">
        <w:t xml:space="preserve">, et al. </w:t>
      </w:r>
      <w:r w:rsidRPr="003720AF">
        <w:t xml:space="preserve">1998. Diagnosis and treatment of attention-deficit/hyperactivity disorder in children and adolescents. Council on Scientific Affairs, American Medical Association. </w:t>
      </w:r>
      <w:r w:rsidR="00602975" w:rsidRPr="003720AF">
        <w:rPr>
          <w:i/>
          <w:iCs/>
        </w:rPr>
        <w:t>Journal of the American Medical Association</w:t>
      </w:r>
      <w:r w:rsidRPr="003720AF">
        <w:rPr>
          <w:i/>
          <w:iCs/>
        </w:rPr>
        <w:t xml:space="preserve"> </w:t>
      </w:r>
      <w:r w:rsidRPr="003720AF">
        <w:rPr>
          <w:bCs/>
        </w:rPr>
        <w:t>279</w:t>
      </w:r>
      <w:r w:rsidR="00132B20" w:rsidRPr="003720AF">
        <w:t>:</w:t>
      </w:r>
      <w:r w:rsidRPr="003720AF">
        <w:t xml:space="preserve"> 1100-1107.</w:t>
      </w:r>
    </w:p>
    <w:p w14:paraId="19B1A6D4" w14:textId="50024E48" w:rsidR="00455AFF" w:rsidRPr="003720AF" w:rsidRDefault="00455AFF" w:rsidP="00455AFF">
      <w:pPr>
        <w:autoSpaceDE w:val="0"/>
        <w:autoSpaceDN w:val="0"/>
        <w:adjustRightInd w:val="0"/>
      </w:pPr>
      <w:r w:rsidRPr="003720AF">
        <w:t>Hammon</w:t>
      </w:r>
      <w:r w:rsidR="00132B20" w:rsidRPr="003720AF">
        <w:t xml:space="preserve"> T L, </w:t>
      </w:r>
      <w:r w:rsidRPr="003720AF">
        <w:t xml:space="preserve">Griffin S. </w:t>
      </w:r>
      <w:r w:rsidR="00132B20" w:rsidRPr="003720AF">
        <w:t>2007</w:t>
      </w:r>
      <w:r w:rsidRPr="003720AF">
        <w:t xml:space="preserve">. Support for selection of a methamphetamine cleanup standard in Colorado. </w:t>
      </w:r>
      <w:r w:rsidRPr="003720AF">
        <w:rPr>
          <w:i/>
        </w:rPr>
        <w:t>Reg</w:t>
      </w:r>
      <w:r w:rsidR="00602975" w:rsidRPr="003720AF">
        <w:rPr>
          <w:i/>
        </w:rPr>
        <w:t>ulatory</w:t>
      </w:r>
      <w:r w:rsidRPr="003720AF">
        <w:rPr>
          <w:i/>
        </w:rPr>
        <w:t xml:space="preserve"> Toxicol</w:t>
      </w:r>
      <w:r w:rsidR="00602975" w:rsidRPr="003720AF">
        <w:rPr>
          <w:i/>
        </w:rPr>
        <w:t>ogy and</w:t>
      </w:r>
      <w:r w:rsidRPr="003720AF">
        <w:rPr>
          <w:i/>
        </w:rPr>
        <w:t xml:space="preserve"> Pharm</w:t>
      </w:r>
      <w:r w:rsidR="00602975" w:rsidRPr="003720AF">
        <w:rPr>
          <w:i/>
        </w:rPr>
        <w:t>acology</w:t>
      </w:r>
      <w:r w:rsidRPr="003720AF">
        <w:t xml:space="preserve"> 48:102-114.</w:t>
      </w:r>
    </w:p>
    <w:p w14:paraId="4F59DE2B" w14:textId="76DBE93F" w:rsidR="00455AFF" w:rsidRPr="003720AF" w:rsidRDefault="00455AFF" w:rsidP="00455AFF">
      <w:pPr>
        <w:autoSpaceDE w:val="0"/>
        <w:autoSpaceDN w:val="0"/>
        <w:adjustRightInd w:val="0"/>
        <w:rPr>
          <w:rFonts w:cs="Times New Roman"/>
          <w:color w:val="000000"/>
        </w:rPr>
      </w:pPr>
      <w:r w:rsidRPr="003720AF">
        <w:rPr>
          <w:rFonts w:cs="Times New Roman"/>
          <w:color w:val="000000"/>
        </w:rPr>
        <w:t xml:space="preserve">HSDB. 2016. </w:t>
      </w:r>
      <w:r w:rsidR="00132B20" w:rsidRPr="003720AF">
        <w:rPr>
          <w:rFonts w:cs="Times New Roman"/>
          <w:color w:val="000000"/>
        </w:rPr>
        <w:t>Hazardous Substances Data</w:t>
      </w:r>
      <w:r w:rsidR="001166CE" w:rsidRPr="003720AF">
        <w:rPr>
          <w:rFonts w:cs="Times New Roman"/>
          <w:color w:val="000000"/>
        </w:rPr>
        <w:t xml:space="preserve"> Bank</w:t>
      </w:r>
      <w:r w:rsidR="00132B20" w:rsidRPr="003720AF">
        <w:rPr>
          <w:rFonts w:cs="Times New Roman"/>
          <w:color w:val="000000"/>
        </w:rPr>
        <w:t xml:space="preserve">. </w:t>
      </w:r>
      <w:r w:rsidR="001166CE" w:rsidRPr="003720AF">
        <w:rPr>
          <w:rFonts w:cs="Times New Roman"/>
          <w:color w:val="000000"/>
        </w:rPr>
        <w:t xml:space="preserve">United States </w:t>
      </w:r>
      <w:r w:rsidR="00132B20" w:rsidRPr="003720AF">
        <w:rPr>
          <w:rFonts w:cs="Times New Roman"/>
          <w:color w:val="000000"/>
        </w:rPr>
        <w:t>National Library of Medicine.</w:t>
      </w:r>
      <w:r w:rsidR="001166CE" w:rsidRPr="003720AF">
        <w:rPr>
          <w:rFonts w:cs="Times New Roman"/>
          <w:color w:val="000000"/>
        </w:rPr>
        <w:t xml:space="preserve"> </w:t>
      </w:r>
      <w:hyperlink r:id="rId37" w:history="1">
        <w:r w:rsidR="001166CE" w:rsidRPr="003720AF">
          <w:rPr>
            <w:rStyle w:val="Hyperlink"/>
            <w:rFonts w:cs="Times New Roman"/>
            <w:noProof w:val="0"/>
          </w:rPr>
          <w:t>https://toxnet.nlm.nih.gov/newtoxnet/hsdb.htm</w:t>
        </w:r>
      </w:hyperlink>
      <w:r w:rsidR="001166CE" w:rsidRPr="003720AF">
        <w:rPr>
          <w:rFonts w:cs="Times New Roman"/>
          <w:color w:val="000000"/>
        </w:rPr>
        <w:t xml:space="preserve"> (accessed 5 October 2016).</w:t>
      </w:r>
    </w:p>
    <w:p w14:paraId="3A2C3005" w14:textId="4647A7FC" w:rsidR="00EB5B0A" w:rsidRPr="003720AF" w:rsidRDefault="00EB5B0A" w:rsidP="00EB5B0A">
      <w:pPr>
        <w:autoSpaceDE w:val="0"/>
        <w:autoSpaceDN w:val="0"/>
        <w:adjustRightInd w:val="0"/>
        <w:rPr>
          <w:rFonts w:cs="Times New Roman"/>
          <w:color w:val="000000"/>
        </w:rPr>
      </w:pPr>
      <w:r w:rsidRPr="003720AF">
        <w:rPr>
          <w:rFonts w:cs="Times New Roman"/>
          <w:color w:val="000000"/>
        </w:rPr>
        <w:t xml:space="preserve">Insight Crime. 2016. Report shows Mexico’s Growing Importance in Meth Trade. </w:t>
      </w:r>
      <w:hyperlink r:id="rId38" w:history="1">
        <w:r w:rsidRPr="003720AF">
          <w:rPr>
            <w:rStyle w:val="Hyperlink"/>
            <w:rFonts w:cs="Times New Roman"/>
            <w:noProof w:val="0"/>
          </w:rPr>
          <w:t>http://www.insightcrime.org/news-briefs/mexico-increases-meth-production</w:t>
        </w:r>
      </w:hyperlink>
      <w:r w:rsidRPr="003720AF">
        <w:rPr>
          <w:rFonts w:cs="Times New Roman"/>
          <w:color w:val="000000"/>
        </w:rPr>
        <w:t xml:space="preserve"> (accessed 5 October 2016).</w:t>
      </w:r>
    </w:p>
    <w:p w14:paraId="17C92141" w14:textId="344D41FF" w:rsidR="00455AFF" w:rsidRPr="003720AF" w:rsidRDefault="00455AFF" w:rsidP="00275484">
      <w:pPr>
        <w:autoSpaceDE w:val="0"/>
        <w:autoSpaceDN w:val="0"/>
        <w:adjustRightInd w:val="0"/>
      </w:pPr>
      <w:r w:rsidRPr="003720AF">
        <w:t xml:space="preserve">Kim N. 2016. </w:t>
      </w:r>
      <w:r w:rsidR="00275484" w:rsidRPr="003720AF">
        <w:rPr>
          <w:i/>
        </w:rPr>
        <w:t>Background notes relating to the nature and health significance and persistence of trace of methamphetamine on indoor surfaces</w:t>
      </w:r>
      <w:r w:rsidR="00275484" w:rsidRPr="003720AF">
        <w:t>. Wellington: School of Public Health, College of Health, Massey University.</w:t>
      </w:r>
    </w:p>
    <w:p w14:paraId="1A0D8C23" w14:textId="253F31FD" w:rsidR="00455AFF" w:rsidRPr="003720AF" w:rsidRDefault="00455AFF" w:rsidP="00455AFF">
      <w:pPr>
        <w:autoSpaceDE w:val="0"/>
        <w:autoSpaceDN w:val="0"/>
        <w:adjustRightInd w:val="0"/>
      </w:pPr>
      <w:r w:rsidRPr="003720AF">
        <w:t xml:space="preserve">Kolecki P. 1998. Inadvertent methamphetamine poisoning in pediatric patients. </w:t>
      </w:r>
      <w:r w:rsidRPr="003720AF">
        <w:rPr>
          <w:i/>
          <w:iCs/>
        </w:rPr>
        <w:t xml:space="preserve">Pediatric Emergency Care </w:t>
      </w:r>
      <w:r w:rsidRPr="003720AF">
        <w:rPr>
          <w:bCs/>
        </w:rPr>
        <w:t>14</w:t>
      </w:r>
      <w:r w:rsidR="00496939" w:rsidRPr="003720AF">
        <w:t xml:space="preserve">: </w:t>
      </w:r>
      <w:r w:rsidRPr="003720AF">
        <w:t>385-387.</w:t>
      </w:r>
    </w:p>
    <w:p w14:paraId="51F0FB5C" w14:textId="00EB7FBC" w:rsidR="00455AFF" w:rsidRPr="003720AF" w:rsidRDefault="00455AFF" w:rsidP="00455AFF">
      <w:pPr>
        <w:autoSpaceDE w:val="0"/>
        <w:autoSpaceDN w:val="0"/>
        <w:adjustRightInd w:val="0"/>
        <w:rPr>
          <w:rFonts w:cs="Times New Roman"/>
        </w:rPr>
      </w:pPr>
      <w:r w:rsidRPr="003720AF">
        <w:rPr>
          <w:rFonts w:cs="Times New Roman"/>
        </w:rPr>
        <w:t>Martyny J, Arbuckle S, McCammon Jr C,</w:t>
      </w:r>
      <w:r w:rsidR="00496939" w:rsidRPr="003720AF">
        <w:rPr>
          <w:rFonts w:cs="Times New Roman"/>
        </w:rPr>
        <w:t xml:space="preserve"> et al.</w:t>
      </w:r>
      <w:r w:rsidRPr="003720AF">
        <w:rPr>
          <w:rFonts w:cs="Times New Roman"/>
        </w:rPr>
        <w:t xml:space="preserve"> 2008.</w:t>
      </w:r>
      <w:r w:rsidR="00602975" w:rsidRPr="003720AF">
        <w:rPr>
          <w:rFonts w:cs="Times New Roman"/>
        </w:rPr>
        <w:t xml:space="preserve"> </w:t>
      </w:r>
      <w:r w:rsidRPr="003720AF">
        <w:rPr>
          <w:rFonts w:cs="Times New Roman"/>
        </w:rPr>
        <w:t xml:space="preserve">Methamphetamine contamination on environmental surfaces caused by simulated smoking of methamphetamine. </w:t>
      </w:r>
      <w:r w:rsidRPr="003720AF">
        <w:rPr>
          <w:rFonts w:cs="Times New Roman"/>
          <w:i/>
          <w:iCs/>
        </w:rPr>
        <w:t xml:space="preserve">Journal of Chemical Health and Safety </w:t>
      </w:r>
      <w:r w:rsidRPr="003720AF">
        <w:rPr>
          <w:rFonts w:cs="Times New Roman"/>
        </w:rPr>
        <w:t>15(5): 25-31.</w:t>
      </w:r>
    </w:p>
    <w:p w14:paraId="0898ACB0" w14:textId="33F9850D" w:rsidR="005B347C" w:rsidRPr="003720AF" w:rsidRDefault="005B347C" w:rsidP="00455AFF">
      <w:pPr>
        <w:autoSpaceDE w:val="0"/>
        <w:autoSpaceDN w:val="0"/>
        <w:adjustRightInd w:val="0"/>
        <w:rPr>
          <w:rFonts w:cs="Times New Roman"/>
        </w:rPr>
      </w:pPr>
      <w:r w:rsidRPr="003720AF">
        <w:rPr>
          <w:rFonts w:cs="Times New Roman"/>
        </w:rPr>
        <w:t xml:space="preserve">McDonnell-Dowling K, Donlon M, Kelly J. 2014. Methamphetamine exposure during pregnancy at pharmacological doses produces neurodevelopmental and behavioural effects in rat offspring. </w:t>
      </w:r>
      <w:r w:rsidRPr="003720AF">
        <w:rPr>
          <w:rFonts w:cs="Times New Roman"/>
          <w:i/>
        </w:rPr>
        <w:t>International Journal of Developmental Neuroscience</w:t>
      </w:r>
      <w:r w:rsidRPr="003720AF">
        <w:rPr>
          <w:rFonts w:cs="Times New Roman"/>
        </w:rPr>
        <w:t>. 35:42-51.</w:t>
      </w:r>
    </w:p>
    <w:p w14:paraId="24E7CB72" w14:textId="74575EFB" w:rsidR="00455AFF" w:rsidRPr="003720AF" w:rsidRDefault="00496939" w:rsidP="006D7940">
      <w:pPr>
        <w:pStyle w:val="Default"/>
        <w:spacing w:after="160"/>
        <w:rPr>
          <w:rFonts w:ascii="Arial" w:hAnsi="Arial" w:cs="Arial"/>
          <w:sz w:val="22"/>
          <w:szCs w:val="22"/>
          <w:lang w:val="en-NZ"/>
        </w:rPr>
      </w:pPr>
      <w:r w:rsidRPr="003720AF">
        <w:rPr>
          <w:rFonts w:ascii="Arial" w:hAnsi="Arial" w:cs="Arial"/>
          <w:sz w:val="22"/>
          <w:szCs w:val="22"/>
          <w:lang w:val="en-NZ"/>
        </w:rPr>
        <w:t xml:space="preserve">MDH. 2013. </w:t>
      </w:r>
      <w:r w:rsidR="00455AFF" w:rsidRPr="003720AF">
        <w:rPr>
          <w:rFonts w:ascii="Arial" w:hAnsi="Arial" w:cs="Arial"/>
          <w:i/>
          <w:sz w:val="22"/>
          <w:szCs w:val="22"/>
          <w:lang w:val="en-NZ"/>
        </w:rPr>
        <w:t>Clandestine</w:t>
      </w:r>
      <w:r w:rsidRPr="003720AF">
        <w:rPr>
          <w:rFonts w:ascii="Arial" w:hAnsi="Arial" w:cs="Arial"/>
          <w:i/>
          <w:sz w:val="22"/>
          <w:szCs w:val="22"/>
          <w:lang w:val="en-NZ"/>
        </w:rPr>
        <w:t xml:space="preserve"> Lab General Clean</w:t>
      </w:r>
      <w:r w:rsidR="00293904" w:rsidRPr="003720AF">
        <w:rPr>
          <w:rFonts w:ascii="Arial" w:hAnsi="Arial" w:cs="Arial"/>
          <w:i/>
          <w:sz w:val="22"/>
          <w:szCs w:val="22"/>
          <w:lang w:val="en-NZ"/>
        </w:rPr>
        <w:t>u</w:t>
      </w:r>
      <w:r w:rsidRPr="003720AF">
        <w:rPr>
          <w:rFonts w:ascii="Arial" w:hAnsi="Arial" w:cs="Arial"/>
          <w:i/>
          <w:sz w:val="22"/>
          <w:szCs w:val="22"/>
          <w:lang w:val="en-NZ"/>
        </w:rPr>
        <w:t>p Guidance</w:t>
      </w:r>
      <w:r w:rsidRPr="003720AF">
        <w:rPr>
          <w:rFonts w:ascii="Arial" w:hAnsi="Arial" w:cs="Arial"/>
          <w:sz w:val="22"/>
          <w:szCs w:val="22"/>
          <w:lang w:val="en-NZ"/>
        </w:rPr>
        <w:t>.</w:t>
      </w:r>
      <w:r w:rsidR="00455AFF" w:rsidRPr="003720AF">
        <w:rPr>
          <w:rFonts w:ascii="Arial" w:hAnsi="Arial" w:cs="Arial"/>
          <w:sz w:val="22"/>
          <w:szCs w:val="22"/>
          <w:lang w:val="en-NZ"/>
        </w:rPr>
        <w:t xml:space="preserve"> </w:t>
      </w:r>
      <w:r w:rsidRPr="003720AF">
        <w:rPr>
          <w:rFonts w:ascii="Arial" w:hAnsi="Arial" w:cs="Arial"/>
          <w:sz w:val="22"/>
          <w:szCs w:val="22"/>
          <w:lang w:val="en-NZ"/>
        </w:rPr>
        <w:t xml:space="preserve">St Paul: Minnesota Department of Health. </w:t>
      </w:r>
      <w:hyperlink r:id="rId39" w:history="1">
        <w:r w:rsidR="00455AFF" w:rsidRPr="003720AF">
          <w:rPr>
            <w:rStyle w:val="Hyperlink"/>
            <w:rFonts w:ascii="Arial" w:hAnsi="Arial" w:cs="Arial"/>
            <w:sz w:val="22"/>
            <w:szCs w:val="22"/>
            <w:lang w:val="en-NZ"/>
          </w:rPr>
          <w:t>http://www.health.state.mn.us/divs/eh/meth/lab/guidance.pdf</w:t>
        </w:r>
      </w:hyperlink>
      <w:r w:rsidRPr="003720AF">
        <w:rPr>
          <w:rFonts w:ascii="Arial" w:hAnsi="Arial" w:cs="Arial"/>
          <w:sz w:val="22"/>
          <w:szCs w:val="22"/>
          <w:lang w:val="en-NZ"/>
        </w:rPr>
        <w:t xml:space="preserve"> (accessed 5 October 2016).</w:t>
      </w:r>
    </w:p>
    <w:p w14:paraId="6B8DB586" w14:textId="2A5F7C1B" w:rsidR="00077BF4" w:rsidRPr="003720AF" w:rsidRDefault="00077BF4" w:rsidP="006D7940">
      <w:pPr>
        <w:pStyle w:val="Default"/>
        <w:spacing w:after="160"/>
        <w:rPr>
          <w:rFonts w:ascii="Arial" w:hAnsi="Arial" w:cs="Arial"/>
          <w:sz w:val="22"/>
          <w:szCs w:val="22"/>
          <w:lang w:val="en-NZ"/>
        </w:rPr>
      </w:pPr>
      <w:r w:rsidRPr="003720AF">
        <w:rPr>
          <w:rFonts w:ascii="Arial" w:hAnsi="Arial" w:cs="Arial"/>
          <w:sz w:val="22"/>
          <w:szCs w:val="22"/>
          <w:lang w:val="en-NZ"/>
        </w:rPr>
        <w:t xml:space="preserve">MoH. 2010. </w:t>
      </w:r>
      <w:r w:rsidRPr="003720AF">
        <w:rPr>
          <w:rFonts w:ascii="Arial" w:hAnsi="Arial" w:cs="Arial"/>
          <w:bCs/>
          <w:i/>
          <w:color w:val="061C2C"/>
          <w:sz w:val="22"/>
          <w:szCs w:val="22"/>
          <w:lang w:val="en-NZ"/>
        </w:rPr>
        <w:t>Guidelines for the Remediation of Clandestine Methamphetamine Laboratory Sites</w:t>
      </w:r>
      <w:r w:rsidRPr="003720AF">
        <w:rPr>
          <w:rFonts w:ascii="Arial" w:hAnsi="Arial" w:cs="Arial"/>
          <w:bCs/>
          <w:color w:val="061C2C"/>
          <w:sz w:val="22"/>
          <w:szCs w:val="22"/>
          <w:lang w:val="en-NZ"/>
        </w:rPr>
        <w:t xml:space="preserve">. Ministry of Health. </w:t>
      </w:r>
      <w:hyperlink r:id="rId40" w:history="1">
        <w:r w:rsidRPr="003720AF">
          <w:rPr>
            <w:rStyle w:val="Hyperlink"/>
            <w:rFonts w:ascii="Arial" w:hAnsi="Arial" w:cs="Arial"/>
            <w:sz w:val="22"/>
            <w:szCs w:val="22"/>
            <w:lang w:val="en-NZ"/>
          </w:rPr>
          <w:t>https://www.health.govt.nz/system/files/documents/publications/guidelines-remediation-clandestine-meth-lab-sites.pdf</w:t>
        </w:r>
      </w:hyperlink>
      <w:r w:rsidRPr="003720AF">
        <w:rPr>
          <w:rStyle w:val="Hyperlink"/>
          <w:rFonts w:ascii="Arial" w:hAnsi="Arial" w:cs="Arial"/>
          <w:sz w:val="22"/>
          <w:szCs w:val="22"/>
          <w:lang w:val="en-NZ"/>
        </w:rPr>
        <w:t xml:space="preserve"> </w:t>
      </w:r>
      <w:r w:rsidRPr="003720AF">
        <w:rPr>
          <w:rStyle w:val="Hyperlink"/>
          <w:rFonts w:ascii="Arial" w:hAnsi="Arial" w:cs="Arial"/>
          <w:color w:val="000000" w:themeColor="text1"/>
          <w:sz w:val="22"/>
          <w:szCs w:val="22"/>
          <w:u w:val="none"/>
          <w:lang w:val="en-NZ"/>
        </w:rPr>
        <w:t>(accessed 5 October 2016).</w:t>
      </w:r>
    </w:p>
    <w:p w14:paraId="6B7491C7" w14:textId="53DDA7BD" w:rsidR="00455AFF" w:rsidRPr="003720AF" w:rsidRDefault="00CD2386" w:rsidP="006D7940">
      <w:pPr>
        <w:pStyle w:val="Default"/>
        <w:spacing w:after="160"/>
        <w:rPr>
          <w:rFonts w:ascii="Arial" w:hAnsi="Arial" w:cs="Arial"/>
          <w:sz w:val="22"/>
          <w:szCs w:val="22"/>
          <w:lang w:val="en-NZ"/>
        </w:rPr>
      </w:pPr>
      <w:r w:rsidRPr="003720AF">
        <w:rPr>
          <w:rFonts w:ascii="Arial" w:hAnsi="Arial" w:cs="Arial"/>
          <w:sz w:val="22"/>
          <w:szCs w:val="22"/>
          <w:lang w:val="en-NZ"/>
        </w:rPr>
        <w:lastRenderedPageBreak/>
        <w:t>NLM</w:t>
      </w:r>
      <w:r w:rsidR="00455AFF" w:rsidRPr="003720AF">
        <w:rPr>
          <w:rFonts w:ascii="Arial" w:hAnsi="Arial" w:cs="Arial"/>
          <w:sz w:val="22"/>
          <w:szCs w:val="22"/>
          <w:lang w:val="en-NZ"/>
        </w:rPr>
        <w:t xml:space="preserve">. 2016. Toxicity of Methamphetamine. </w:t>
      </w:r>
      <w:r w:rsidRPr="003720AF">
        <w:rPr>
          <w:rFonts w:ascii="Arial" w:hAnsi="Arial" w:cs="Arial"/>
          <w:sz w:val="22"/>
          <w:szCs w:val="22"/>
          <w:lang w:val="en-NZ"/>
        </w:rPr>
        <w:t xml:space="preserve"> National Library of Medicine </w:t>
      </w:r>
      <w:hyperlink r:id="rId41" w:history="1">
        <w:r w:rsidR="001C6542" w:rsidRPr="003720AF">
          <w:rPr>
            <w:rStyle w:val="Hyperlink"/>
            <w:rFonts w:ascii="Arial" w:hAnsi="Arial" w:cs="Arial"/>
            <w:noProof w:val="0"/>
            <w:sz w:val="22"/>
            <w:szCs w:val="22"/>
            <w:lang w:val="en-NZ"/>
          </w:rPr>
          <w:t>https://medlineplus.gov/ency/article/007480.htm</w:t>
        </w:r>
      </w:hyperlink>
      <w:r w:rsidR="001C6542" w:rsidRPr="003720AF">
        <w:rPr>
          <w:rFonts w:ascii="Arial" w:hAnsi="Arial" w:cs="Arial"/>
          <w:sz w:val="22"/>
          <w:szCs w:val="22"/>
          <w:lang w:val="en-NZ"/>
        </w:rPr>
        <w:t xml:space="preserve"> (accessed 5 October 2016)</w:t>
      </w:r>
      <w:r w:rsidR="00455AFF" w:rsidRPr="003720AF">
        <w:rPr>
          <w:rFonts w:ascii="Arial" w:hAnsi="Arial" w:cs="Arial"/>
          <w:sz w:val="22"/>
          <w:szCs w:val="22"/>
          <w:lang w:val="en-NZ"/>
        </w:rPr>
        <w:t>.</w:t>
      </w:r>
    </w:p>
    <w:p w14:paraId="7209766D" w14:textId="7CA1C5B1" w:rsidR="00455AFF" w:rsidRPr="003720AF" w:rsidRDefault="001C6542" w:rsidP="006D7940">
      <w:pPr>
        <w:pStyle w:val="Default"/>
        <w:spacing w:after="160"/>
        <w:rPr>
          <w:rStyle w:val="Hyperlink"/>
          <w:rFonts w:ascii="Arial" w:hAnsi="Arial" w:cs="Arial"/>
          <w:bCs/>
          <w:color w:val="000000" w:themeColor="text1"/>
          <w:sz w:val="22"/>
          <w:szCs w:val="22"/>
          <w:u w:val="none"/>
          <w:lang w:val="en-NZ"/>
        </w:rPr>
      </w:pPr>
      <w:r w:rsidRPr="003720AF">
        <w:rPr>
          <w:rFonts w:ascii="Arial" w:hAnsi="Arial" w:cs="Arial"/>
          <w:sz w:val="22"/>
          <w:szCs w:val="22"/>
          <w:lang w:val="en-NZ"/>
        </w:rPr>
        <w:t>NSW</w:t>
      </w:r>
      <w:r w:rsidR="00621EC3" w:rsidRPr="003720AF">
        <w:rPr>
          <w:rFonts w:ascii="Arial" w:hAnsi="Arial" w:cs="Arial"/>
          <w:sz w:val="22"/>
          <w:szCs w:val="22"/>
          <w:lang w:val="en-NZ"/>
        </w:rPr>
        <w:t xml:space="preserve">. 2015. </w:t>
      </w:r>
      <w:r w:rsidR="00455AFF" w:rsidRPr="003720AF">
        <w:rPr>
          <w:rFonts w:ascii="Arial" w:hAnsi="Arial" w:cs="Arial"/>
          <w:bCs/>
          <w:i/>
          <w:sz w:val="22"/>
          <w:szCs w:val="22"/>
          <w:lang w:val="en-NZ"/>
        </w:rPr>
        <w:t>NSW Remediation Guidelines for Clandestine Drug Laboratories and Hydroponic Drug Plantation</w:t>
      </w:r>
      <w:r w:rsidRPr="003720AF">
        <w:rPr>
          <w:rFonts w:ascii="Arial" w:hAnsi="Arial" w:cs="Arial"/>
          <w:bCs/>
          <w:sz w:val="22"/>
          <w:szCs w:val="22"/>
          <w:lang w:val="en-NZ"/>
        </w:rPr>
        <w:t>.</w:t>
      </w:r>
      <w:r w:rsidR="00455AFF" w:rsidRPr="003720AF">
        <w:rPr>
          <w:rFonts w:ascii="Arial" w:hAnsi="Arial" w:cs="Arial"/>
          <w:bCs/>
          <w:sz w:val="22"/>
          <w:szCs w:val="22"/>
          <w:lang w:val="en-NZ"/>
        </w:rPr>
        <w:t xml:space="preserve"> Report to Health Protection NSW by J. Wright. Risk Science Associates. </w:t>
      </w:r>
      <w:hyperlink r:id="rId42" w:history="1">
        <w:r w:rsidR="00455AFF" w:rsidRPr="003720AF">
          <w:rPr>
            <w:rStyle w:val="Hyperlink"/>
            <w:rFonts w:ascii="Arial" w:hAnsi="Arial" w:cs="Arial"/>
            <w:bCs/>
            <w:sz w:val="22"/>
            <w:szCs w:val="22"/>
            <w:lang w:val="en-NZ"/>
          </w:rPr>
          <w:t>http://www.health.nsw.gov.au/environment/hazard/Documents/clan-lab-guidelines.pdf</w:t>
        </w:r>
      </w:hyperlink>
      <w:r w:rsidRPr="003720AF">
        <w:rPr>
          <w:rStyle w:val="Hyperlink"/>
          <w:rFonts w:ascii="Arial" w:hAnsi="Arial" w:cs="Arial"/>
          <w:bCs/>
          <w:sz w:val="22"/>
          <w:szCs w:val="22"/>
          <w:lang w:val="en-NZ"/>
        </w:rPr>
        <w:t xml:space="preserve"> </w:t>
      </w:r>
      <w:r w:rsidRPr="003720AF">
        <w:rPr>
          <w:rStyle w:val="Hyperlink"/>
          <w:rFonts w:ascii="Arial" w:hAnsi="Arial" w:cs="Arial"/>
          <w:bCs/>
          <w:color w:val="000000" w:themeColor="text1"/>
          <w:sz w:val="22"/>
          <w:szCs w:val="22"/>
          <w:u w:val="none"/>
          <w:lang w:val="en-NZ"/>
        </w:rPr>
        <w:t>(accessed 5 October 2016).</w:t>
      </w:r>
    </w:p>
    <w:p w14:paraId="1F04A1A4" w14:textId="63797B28" w:rsidR="00775039" w:rsidRPr="003720AF" w:rsidRDefault="00775039" w:rsidP="006D7940">
      <w:pPr>
        <w:pStyle w:val="Default"/>
        <w:spacing w:after="160"/>
        <w:rPr>
          <w:rFonts w:ascii="Arial" w:hAnsi="Arial" w:cs="Arial"/>
          <w:sz w:val="22"/>
          <w:szCs w:val="22"/>
          <w:lang w:val="en-NZ"/>
        </w:rPr>
      </w:pPr>
      <w:r w:rsidRPr="003720AF">
        <w:rPr>
          <w:rStyle w:val="Hyperlink"/>
          <w:rFonts w:ascii="Arial" w:hAnsi="Arial" w:cs="Arial"/>
          <w:bCs/>
          <w:color w:val="000000" w:themeColor="text1"/>
          <w:sz w:val="22"/>
          <w:szCs w:val="22"/>
          <w:u w:val="none"/>
          <w:lang w:val="en-NZ"/>
        </w:rPr>
        <w:t>NTS. 2005. NTP-CERHR Monograph on the Potential Human Reproductive and Developmental Effects of Amphetamines.  NIH Publication No. 05 - 4474. Research Triangle Park: National Toxicology Program, Centre for the Evaluation of Risks to Human Reproduction..</w:t>
      </w:r>
    </w:p>
    <w:p w14:paraId="5DE91DA2" w14:textId="652A0A17" w:rsidR="00455AFF" w:rsidRPr="003720AF" w:rsidRDefault="00455AFF" w:rsidP="006D7940">
      <w:pPr>
        <w:pStyle w:val="Default"/>
        <w:spacing w:after="160"/>
        <w:rPr>
          <w:rFonts w:ascii="Arial" w:hAnsi="Arial" w:cs="Arial"/>
          <w:sz w:val="22"/>
          <w:szCs w:val="22"/>
          <w:lang w:val="en-NZ"/>
        </w:rPr>
      </w:pPr>
      <w:r w:rsidRPr="003720AF">
        <w:rPr>
          <w:rFonts w:ascii="Arial" w:hAnsi="Arial" w:cs="Arial"/>
          <w:sz w:val="22"/>
          <w:szCs w:val="22"/>
          <w:lang w:val="en-NZ"/>
        </w:rPr>
        <w:t>OEHHA</w:t>
      </w:r>
      <w:r w:rsidR="009269EB" w:rsidRPr="003720AF">
        <w:rPr>
          <w:rFonts w:ascii="Arial" w:hAnsi="Arial" w:cs="Arial"/>
          <w:sz w:val="22"/>
          <w:szCs w:val="22"/>
          <w:lang w:val="en-NZ"/>
        </w:rPr>
        <w:t>. 2009</w:t>
      </w:r>
      <w:r w:rsidR="009240D0" w:rsidRPr="003720AF">
        <w:rPr>
          <w:rFonts w:ascii="Arial" w:hAnsi="Arial" w:cs="Arial"/>
          <w:sz w:val="22"/>
          <w:szCs w:val="22"/>
          <w:lang w:val="en-NZ"/>
        </w:rPr>
        <w:t>a</w:t>
      </w:r>
      <w:r w:rsidR="009269EB" w:rsidRPr="003720AF">
        <w:rPr>
          <w:rFonts w:ascii="Arial" w:hAnsi="Arial" w:cs="Arial"/>
          <w:sz w:val="22"/>
          <w:szCs w:val="22"/>
          <w:lang w:val="en-NZ"/>
        </w:rPr>
        <w:t xml:space="preserve">. </w:t>
      </w:r>
      <w:r w:rsidRPr="003720AF">
        <w:rPr>
          <w:rFonts w:ascii="Arial" w:hAnsi="Arial" w:cs="Arial"/>
          <w:i/>
          <w:sz w:val="22"/>
          <w:szCs w:val="22"/>
          <w:lang w:val="en-NZ"/>
        </w:rPr>
        <w:t xml:space="preserve">Assessment of children’s exposure to surface methamphetamine residues in former clandestine methamphetamine labs, and identification of a risk based cleanup standard for surface </w:t>
      </w:r>
      <w:r w:rsidR="0069399F" w:rsidRPr="003720AF">
        <w:rPr>
          <w:rFonts w:ascii="Arial" w:hAnsi="Arial" w:cs="Arial"/>
          <w:i/>
          <w:sz w:val="22"/>
          <w:szCs w:val="22"/>
          <w:lang w:val="en-NZ"/>
        </w:rPr>
        <w:t>methamphetamine contamination</w:t>
      </w:r>
      <w:r w:rsidR="0069399F" w:rsidRPr="003720AF">
        <w:rPr>
          <w:rFonts w:ascii="Arial" w:hAnsi="Arial" w:cs="Arial"/>
          <w:sz w:val="22"/>
          <w:szCs w:val="22"/>
          <w:lang w:val="en-NZ"/>
        </w:rPr>
        <w:t xml:space="preserve">. </w:t>
      </w:r>
      <w:r w:rsidR="009240D0" w:rsidRPr="003720AF">
        <w:rPr>
          <w:rFonts w:ascii="Arial" w:hAnsi="Arial" w:cs="Arial"/>
          <w:sz w:val="22"/>
          <w:szCs w:val="22"/>
          <w:lang w:val="en-NZ"/>
        </w:rPr>
        <w:t xml:space="preserve">Integrated Risk Assessment Branch, Office of Environmental Health Hazard Assessment, California Environmental Protection Agency. </w:t>
      </w:r>
      <w:hyperlink r:id="rId43" w:history="1">
        <w:r w:rsidRPr="003720AF">
          <w:rPr>
            <w:rStyle w:val="Hyperlink"/>
            <w:rFonts w:ascii="Arial" w:hAnsi="Arial" w:cs="Arial"/>
            <w:sz w:val="22"/>
            <w:szCs w:val="22"/>
            <w:lang w:val="en-NZ"/>
          </w:rPr>
          <w:t>http://oehha.ca.gov/media/downloads/crnr/exposureanalysis022709.pdf</w:t>
        </w:r>
      </w:hyperlink>
      <w:r w:rsidRPr="003720AF">
        <w:rPr>
          <w:rFonts w:ascii="Arial" w:hAnsi="Arial" w:cs="Arial"/>
          <w:sz w:val="22"/>
          <w:szCs w:val="22"/>
          <w:lang w:val="en-NZ"/>
        </w:rPr>
        <w:t>.</w:t>
      </w:r>
      <w:r w:rsidR="0069399F" w:rsidRPr="003720AF">
        <w:rPr>
          <w:rFonts w:ascii="Arial" w:hAnsi="Arial" w:cs="Arial"/>
          <w:sz w:val="22"/>
          <w:szCs w:val="22"/>
          <w:lang w:val="en-NZ"/>
        </w:rPr>
        <w:t xml:space="preserve"> (accessed 5 October 2016).</w:t>
      </w:r>
    </w:p>
    <w:p w14:paraId="581F8458" w14:textId="611AB77D" w:rsidR="009240D0" w:rsidRPr="003720AF" w:rsidRDefault="009240D0" w:rsidP="009240D0">
      <w:pPr>
        <w:autoSpaceDE w:val="0"/>
        <w:autoSpaceDN w:val="0"/>
        <w:adjustRightInd w:val="0"/>
        <w:rPr>
          <w:rFonts w:cs="Times New Roman"/>
          <w:color w:val="000000"/>
        </w:rPr>
      </w:pPr>
      <w:r w:rsidRPr="003720AF">
        <w:rPr>
          <w:rFonts w:cs="Times New Roman"/>
          <w:color w:val="000000"/>
        </w:rPr>
        <w:t xml:space="preserve">OEHHA. 2009b. </w:t>
      </w:r>
      <w:r w:rsidRPr="003720AF">
        <w:rPr>
          <w:rFonts w:cs="Times New Roman"/>
          <w:i/>
          <w:color w:val="000000"/>
        </w:rPr>
        <w:t>Development of a Reference Dose (RfD) for Methamphetamine.</w:t>
      </w:r>
      <w:r w:rsidRPr="003720AF">
        <w:rPr>
          <w:rFonts w:cs="Times New Roman"/>
          <w:color w:val="000000"/>
        </w:rPr>
        <w:t xml:space="preserve">  Integrated Risk Assessment Branch, Office of Environmental Health Hazard Assessment, California Environmental Protection Agency. </w:t>
      </w:r>
    </w:p>
    <w:p w14:paraId="2FBCE4E5" w14:textId="403C73DB" w:rsidR="001D616E" w:rsidRPr="003720AF" w:rsidRDefault="001D616E" w:rsidP="009240D0">
      <w:pPr>
        <w:autoSpaceDE w:val="0"/>
        <w:autoSpaceDN w:val="0"/>
        <w:adjustRightInd w:val="0"/>
      </w:pPr>
      <w:r w:rsidRPr="003720AF">
        <w:t xml:space="preserve">Oro A, Dixon S. 1987. Perinatal cocaine and methamphetamine exposure: maternal and neonatal correlates. </w:t>
      </w:r>
      <w:r w:rsidRPr="003720AF">
        <w:rPr>
          <w:i/>
        </w:rPr>
        <w:t>Journal of Pediatrics</w:t>
      </w:r>
      <w:r w:rsidRPr="003720AF">
        <w:t>. 111:571</w:t>
      </w:r>
      <w:r w:rsidRPr="003720AF">
        <w:rPr>
          <w:rFonts w:cs="Arial"/>
        </w:rPr>
        <w:t>–</w:t>
      </w:r>
      <w:r w:rsidRPr="003720AF">
        <w:t>578.</w:t>
      </w:r>
    </w:p>
    <w:p w14:paraId="6A35600A" w14:textId="1E93836F" w:rsidR="001D616E" w:rsidRPr="003720AF" w:rsidRDefault="001D616E" w:rsidP="009240D0">
      <w:pPr>
        <w:autoSpaceDE w:val="0"/>
        <w:autoSpaceDN w:val="0"/>
        <w:adjustRightInd w:val="0"/>
      </w:pPr>
      <w:r w:rsidRPr="003720AF">
        <w:t xml:space="preserve">Plessinger M. 1998. Prenatal exposure to amphetamines. Risks and adverse outcomes in pregnancy. </w:t>
      </w:r>
      <w:r w:rsidRPr="003720AF">
        <w:rPr>
          <w:i/>
        </w:rPr>
        <w:t>Obstetrics &amp; Gynecology Clinics of North America</w:t>
      </w:r>
      <w:r w:rsidRPr="003720AF">
        <w:t>. 25(1):119</w:t>
      </w:r>
      <w:r w:rsidRPr="003720AF">
        <w:rPr>
          <w:rFonts w:cs="Arial"/>
        </w:rPr>
        <w:t>–</w:t>
      </w:r>
      <w:r w:rsidRPr="003720AF">
        <w:t>138.</w:t>
      </w:r>
    </w:p>
    <w:p w14:paraId="5322BC46" w14:textId="79A07C1C" w:rsidR="00455AFF" w:rsidRPr="003720AF" w:rsidRDefault="001D616E" w:rsidP="00455AFF">
      <w:pPr>
        <w:rPr>
          <w:rFonts w:cs="Arial"/>
          <w:bCs/>
        </w:rPr>
      </w:pPr>
      <w:r w:rsidRPr="003720AF">
        <w:rPr>
          <w:rFonts w:cs="Arial"/>
          <w:bCs/>
        </w:rPr>
        <w:t xml:space="preserve">Salocks C. 2016. </w:t>
      </w:r>
      <w:r w:rsidR="00621EC3" w:rsidRPr="003720AF">
        <w:rPr>
          <w:rFonts w:cs="Arial"/>
          <w:bCs/>
          <w:i/>
        </w:rPr>
        <w:t xml:space="preserve">Assessing the health risks of </w:t>
      </w:r>
      <w:r w:rsidR="00455AFF" w:rsidRPr="003720AF">
        <w:rPr>
          <w:rFonts w:cs="Arial"/>
          <w:bCs/>
          <w:i/>
        </w:rPr>
        <w:t>contaminants on surfaces: A case Study involving clandestine Meth Labs</w:t>
      </w:r>
      <w:r w:rsidR="00621EC3" w:rsidRPr="003720AF">
        <w:rPr>
          <w:rFonts w:cs="Arial"/>
          <w:bCs/>
        </w:rPr>
        <w:t xml:space="preserve">. </w:t>
      </w:r>
      <w:r w:rsidR="00455AFF" w:rsidRPr="003720AF">
        <w:rPr>
          <w:rFonts w:cs="Arial"/>
          <w:bCs/>
        </w:rPr>
        <w:t>Presentation to the University of California, Davis. January 2016.</w:t>
      </w:r>
    </w:p>
    <w:p w14:paraId="769D9CE6" w14:textId="602EF257" w:rsidR="00455AFF" w:rsidRPr="003720AF" w:rsidRDefault="00455AFF" w:rsidP="00455AFF">
      <w:pPr>
        <w:widowControl w:val="0"/>
        <w:autoSpaceDE w:val="0"/>
        <w:autoSpaceDN w:val="0"/>
        <w:adjustRightInd w:val="0"/>
        <w:rPr>
          <w:rFonts w:cs="Arial"/>
        </w:rPr>
      </w:pPr>
      <w:r w:rsidRPr="003720AF">
        <w:t xml:space="preserve">Sanga </w:t>
      </w:r>
      <w:r w:rsidR="00621EC3" w:rsidRPr="003720AF">
        <w:t>M, Younis I R, Tirumalai P S, et al.</w:t>
      </w:r>
      <w:r w:rsidRPr="003720AF">
        <w:t xml:space="preserve"> 2006. </w:t>
      </w:r>
      <w:hyperlink r:id="rId44" w:history="1">
        <w:r w:rsidRPr="003720AF">
          <w:rPr>
            <w:rFonts w:cs="Arial"/>
            <w:bCs/>
          </w:rPr>
          <w:t>Epoxidation of the methamphetamine pyrolysis product, trans-phenylpropene, to trans-phenylpropylene oxide by CYP enzymes and stereoselective glutathione adduct formation.</w:t>
        </w:r>
      </w:hyperlink>
      <w:r w:rsidRPr="003720AF">
        <w:rPr>
          <w:rFonts w:cs="Arial"/>
        </w:rPr>
        <w:t xml:space="preserve"> </w:t>
      </w:r>
      <w:r w:rsidRPr="003720AF">
        <w:rPr>
          <w:rFonts w:cs="Arial"/>
          <w:i/>
        </w:rPr>
        <w:t>Toxicol</w:t>
      </w:r>
      <w:r w:rsidR="00602975" w:rsidRPr="003720AF">
        <w:rPr>
          <w:rFonts w:cs="Arial"/>
          <w:i/>
        </w:rPr>
        <w:t>ogy and</w:t>
      </w:r>
      <w:r w:rsidRPr="003720AF">
        <w:rPr>
          <w:rFonts w:cs="Arial"/>
          <w:i/>
        </w:rPr>
        <w:t xml:space="preserve"> Appl</w:t>
      </w:r>
      <w:r w:rsidR="00602975" w:rsidRPr="003720AF">
        <w:rPr>
          <w:rFonts w:cs="Arial"/>
          <w:i/>
        </w:rPr>
        <w:t>ied</w:t>
      </w:r>
      <w:r w:rsidRPr="003720AF">
        <w:rPr>
          <w:rFonts w:cs="Arial"/>
          <w:i/>
        </w:rPr>
        <w:t xml:space="preserve"> Pharmacol</w:t>
      </w:r>
      <w:r w:rsidR="00602975" w:rsidRPr="003720AF">
        <w:rPr>
          <w:rFonts w:cs="Arial"/>
          <w:i/>
        </w:rPr>
        <w:t>ogy</w:t>
      </w:r>
      <w:r w:rsidRPr="003720AF">
        <w:rPr>
          <w:rFonts w:cs="Arial"/>
          <w:i/>
        </w:rPr>
        <w:t>.</w:t>
      </w:r>
      <w:r w:rsidRPr="003720AF">
        <w:rPr>
          <w:rFonts w:cs="Arial"/>
        </w:rPr>
        <w:t xml:space="preserve"> 211(2):</w:t>
      </w:r>
      <w:r w:rsidR="00621EC3" w:rsidRPr="003720AF">
        <w:rPr>
          <w:rFonts w:cs="Arial"/>
        </w:rPr>
        <w:t xml:space="preserve"> </w:t>
      </w:r>
      <w:r w:rsidRPr="003720AF">
        <w:rPr>
          <w:rFonts w:cs="Arial"/>
        </w:rPr>
        <w:t>148-156.</w:t>
      </w:r>
    </w:p>
    <w:p w14:paraId="17990ABC" w14:textId="0EA80E08" w:rsidR="00455AFF" w:rsidRPr="003720AF" w:rsidRDefault="00455AFF" w:rsidP="00455AFF">
      <w:pPr>
        <w:widowControl w:val="0"/>
        <w:autoSpaceDE w:val="0"/>
        <w:autoSpaceDN w:val="0"/>
        <w:adjustRightInd w:val="0"/>
        <w:rPr>
          <w:rFonts w:cs="Arial"/>
        </w:rPr>
      </w:pPr>
      <w:r w:rsidRPr="003720AF">
        <w:rPr>
          <w:rFonts w:cs="Arial"/>
        </w:rPr>
        <w:t xml:space="preserve">Sekine H and Nakahara Y. 1987. </w:t>
      </w:r>
      <w:r w:rsidRPr="003720AF">
        <w:rPr>
          <w:rFonts w:cs="Arial"/>
          <w:bCs/>
        </w:rPr>
        <w:t>Abuse of smoking methamphetamine mixed with tobacco: I. Inhalation efficiency and pyrolysis products of methamphetamine.</w:t>
      </w:r>
      <w:r w:rsidRPr="003720AF">
        <w:rPr>
          <w:rFonts w:cs="Arial"/>
        </w:rPr>
        <w:t xml:space="preserve"> </w:t>
      </w:r>
      <w:r w:rsidR="00602975" w:rsidRPr="003720AF">
        <w:rPr>
          <w:rFonts w:cs="Arial"/>
          <w:i/>
        </w:rPr>
        <w:t>Journal of</w:t>
      </w:r>
      <w:r w:rsidRPr="003720AF">
        <w:rPr>
          <w:rFonts w:cs="Arial"/>
          <w:i/>
        </w:rPr>
        <w:t xml:space="preserve"> Forensic Sci</w:t>
      </w:r>
      <w:r w:rsidR="00602975" w:rsidRPr="003720AF">
        <w:rPr>
          <w:rFonts w:cs="Arial"/>
          <w:i/>
        </w:rPr>
        <w:t>ence</w:t>
      </w:r>
      <w:r w:rsidRPr="003720AF">
        <w:rPr>
          <w:rFonts w:cs="Arial"/>
          <w:i/>
        </w:rPr>
        <w:t>.</w:t>
      </w:r>
      <w:r w:rsidRPr="003720AF">
        <w:rPr>
          <w:rFonts w:cs="Arial"/>
        </w:rPr>
        <w:t xml:space="preserve"> 32(5):</w:t>
      </w:r>
      <w:r w:rsidR="00621EC3" w:rsidRPr="003720AF">
        <w:rPr>
          <w:rFonts w:cs="Arial"/>
        </w:rPr>
        <w:t xml:space="preserve"> </w:t>
      </w:r>
      <w:r w:rsidRPr="003720AF">
        <w:rPr>
          <w:rFonts w:cs="Arial"/>
        </w:rPr>
        <w:t>1271</w:t>
      </w:r>
      <w:r w:rsidR="00621EC3" w:rsidRPr="003720AF">
        <w:rPr>
          <w:rFonts w:cs="Arial"/>
        </w:rPr>
        <w:t>–80</w:t>
      </w:r>
      <w:r w:rsidRPr="003720AF">
        <w:rPr>
          <w:rFonts w:cs="Arial"/>
        </w:rPr>
        <w:t>.</w:t>
      </w:r>
    </w:p>
    <w:p w14:paraId="1BEE7E06" w14:textId="77C7D3C6" w:rsidR="00275CD8" w:rsidRPr="003720AF" w:rsidRDefault="00275CD8" w:rsidP="00455AFF">
      <w:pPr>
        <w:widowControl w:val="0"/>
        <w:autoSpaceDE w:val="0"/>
        <w:autoSpaceDN w:val="0"/>
        <w:adjustRightInd w:val="0"/>
        <w:rPr>
          <w:rFonts w:cs="Arial"/>
        </w:rPr>
      </w:pPr>
      <w:r w:rsidRPr="003720AF">
        <w:rPr>
          <w:rFonts w:cs="Arial"/>
        </w:rPr>
        <w:t xml:space="preserve">Serrano K. 2012. </w:t>
      </w:r>
      <w:r w:rsidRPr="003720AF">
        <w:rPr>
          <w:rFonts w:cs="Arial"/>
          <w:i/>
        </w:rPr>
        <w:t>Methamphetamine Residue Transfer Efficiencies from Household Surfaces</w:t>
      </w:r>
      <w:r w:rsidRPr="003720AF">
        <w:rPr>
          <w:rFonts w:cs="Arial"/>
        </w:rPr>
        <w:t xml:space="preserve">. </w:t>
      </w:r>
      <w:hyperlink r:id="rId45" w:history="1">
        <w:r w:rsidRPr="003720AF">
          <w:rPr>
            <w:rStyle w:val="Hyperlink"/>
            <w:rFonts w:cs="Arial"/>
            <w:noProof w:val="0"/>
          </w:rPr>
          <w:t>https://www.aiha.org/get-involved/VolunteerGroups/Documents/2012%20AIHce%20RT%20225_Serrano.pdf</w:t>
        </w:r>
      </w:hyperlink>
      <w:r w:rsidRPr="003720AF">
        <w:rPr>
          <w:rFonts w:cs="Arial"/>
        </w:rPr>
        <w:t xml:space="preserve"> (accessed 5 October 2016).</w:t>
      </w:r>
    </w:p>
    <w:p w14:paraId="653D866B" w14:textId="1EADDA9A" w:rsidR="00455AFF" w:rsidRPr="003720AF" w:rsidRDefault="00621EC3" w:rsidP="00455AFF">
      <w:pPr>
        <w:widowControl w:val="0"/>
        <w:autoSpaceDE w:val="0"/>
        <w:autoSpaceDN w:val="0"/>
        <w:adjustRightInd w:val="0"/>
      </w:pPr>
      <w:r w:rsidRPr="003720AF">
        <w:t>Shakleya D, Tarr S, Kraner J, et al.</w:t>
      </w:r>
      <w:r w:rsidR="00455AFF" w:rsidRPr="003720AF">
        <w:t xml:space="preserve"> 2005. </w:t>
      </w:r>
      <w:r w:rsidR="00455AFF" w:rsidRPr="003720AF">
        <w:rPr>
          <w:rFonts w:cs="Arial"/>
          <w:bCs/>
        </w:rPr>
        <w:t xml:space="preserve">Potential marker for smoked </w:t>
      </w:r>
      <w:r w:rsidR="00455AFF" w:rsidRPr="003720AF">
        <w:rPr>
          <w:rFonts w:cs="Arial"/>
          <w:bCs/>
          <w:color w:val="0E0E0E"/>
        </w:rPr>
        <w:t>methamphetamine</w:t>
      </w:r>
      <w:r w:rsidR="00455AFF" w:rsidRPr="003720AF">
        <w:rPr>
          <w:rFonts w:cs="Arial"/>
          <w:bCs/>
        </w:rPr>
        <w:t xml:space="preserve"> hydrochloride based on a gas chromatography-mass spectrometry quantification method for trans-phenylpropene.</w:t>
      </w:r>
      <w:r w:rsidRPr="003720AF">
        <w:rPr>
          <w:rFonts w:cs="Arial"/>
          <w:bCs/>
        </w:rPr>
        <w:t xml:space="preserve"> </w:t>
      </w:r>
      <w:r w:rsidR="00602975" w:rsidRPr="003720AF">
        <w:rPr>
          <w:rFonts w:cs="Arial"/>
          <w:bCs/>
          <w:i/>
        </w:rPr>
        <w:t>Journal of Analytical</w:t>
      </w:r>
      <w:r w:rsidR="00455AFF" w:rsidRPr="003720AF">
        <w:rPr>
          <w:rFonts w:cs="Arial"/>
          <w:bCs/>
          <w:i/>
        </w:rPr>
        <w:t xml:space="preserve"> Toxicol</w:t>
      </w:r>
      <w:r w:rsidR="00602975" w:rsidRPr="003720AF">
        <w:rPr>
          <w:rFonts w:cs="Arial"/>
          <w:bCs/>
          <w:i/>
        </w:rPr>
        <w:t>ogy</w:t>
      </w:r>
      <w:r w:rsidRPr="003720AF">
        <w:rPr>
          <w:rFonts w:cs="Arial"/>
          <w:bCs/>
        </w:rPr>
        <w:t xml:space="preserve"> 29(6): 552–</w:t>
      </w:r>
      <w:r w:rsidR="00455AFF" w:rsidRPr="003720AF">
        <w:rPr>
          <w:rFonts w:cs="Arial"/>
          <w:bCs/>
        </w:rPr>
        <w:t>555.</w:t>
      </w:r>
    </w:p>
    <w:p w14:paraId="045A9296" w14:textId="521D3AF7" w:rsidR="00455AFF" w:rsidRPr="003720AF" w:rsidRDefault="00455AFF" w:rsidP="00455AFF">
      <w:pPr>
        <w:widowControl w:val="0"/>
        <w:autoSpaceDE w:val="0"/>
        <w:autoSpaceDN w:val="0"/>
        <w:adjustRightInd w:val="0"/>
      </w:pPr>
      <w:r w:rsidRPr="003720AF">
        <w:t>Smith L, Diaz S, LaGasse L</w:t>
      </w:r>
      <w:r w:rsidR="00115AF4" w:rsidRPr="003720AF">
        <w:t xml:space="preserve"> et al.</w:t>
      </w:r>
      <w:r w:rsidRPr="003720AF">
        <w:t xml:space="preserve"> 2015.  </w:t>
      </w:r>
      <w:r w:rsidRPr="003720AF">
        <w:rPr>
          <w:rFonts w:cs="Times New Roman"/>
        </w:rPr>
        <w:t>Developmental and behavioral consequences of prenatal methamphetamine exposure: A review of the Infant Development, Environment, and Lifestyle (IDEAL) study</w:t>
      </w:r>
      <w:r w:rsidR="00115AF4" w:rsidRPr="003720AF">
        <w:rPr>
          <w:rFonts w:cs="Times New Roman"/>
        </w:rPr>
        <w:t xml:space="preserve">. </w:t>
      </w:r>
      <w:r w:rsidRPr="003720AF">
        <w:rPr>
          <w:i/>
        </w:rPr>
        <w:t>Neurotoxicol</w:t>
      </w:r>
      <w:r w:rsidR="00602975" w:rsidRPr="003720AF">
        <w:rPr>
          <w:i/>
        </w:rPr>
        <w:t>ogy and</w:t>
      </w:r>
      <w:r w:rsidRPr="003720AF">
        <w:rPr>
          <w:i/>
        </w:rPr>
        <w:t xml:space="preserve"> Teratol</w:t>
      </w:r>
      <w:r w:rsidR="00602975" w:rsidRPr="003720AF">
        <w:rPr>
          <w:i/>
        </w:rPr>
        <w:t>ogy</w:t>
      </w:r>
      <w:r w:rsidR="00115AF4" w:rsidRPr="003720AF">
        <w:t xml:space="preserve"> 15:</w:t>
      </w:r>
      <w:r w:rsidRPr="003720AF">
        <w:t xml:space="preserve"> 35-44.</w:t>
      </w:r>
    </w:p>
    <w:p w14:paraId="6518EBB3" w14:textId="08170C18" w:rsidR="00F03DEF" w:rsidRPr="003720AF" w:rsidRDefault="00F03DEF" w:rsidP="00F03DEF">
      <w:pPr>
        <w:autoSpaceDE w:val="0"/>
        <w:autoSpaceDN w:val="0"/>
        <w:adjustRightInd w:val="0"/>
      </w:pPr>
      <w:r w:rsidRPr="003720AF">
        <w:lastRenderedPageBreak/>
        <w:t xml:space="preserve">Smith L, Yonekura M, Wallace T, et al. 2003. Effects of prenatal methamphetamine exposure on fetal growth and drug withdrawal symptoms in infants born at term. </w:t>
      </w:r>
      <w:r w:rsidRPr="003720AF">
        <w:rPr>
          <w:i/>
        </w:rPr>
        <w:t xml:space="preserve">Journal of Developmental and Behavioral Pediatrics. </w:t>
      </w:r>
      <w:r w:rsidRPr="003720AF">
        <w:t>24(1):17</w:t>
      </w:r>
      <w:r w:rsidRPr="003720AF">
        <w:rPr>
          <w:rFonts w:cs="Arial"/>
        </w:rPr>
        <w:t>–</w:t>
      </w:r>
      <w:r w:rsidRPr="003720AF">
        <w:t>23.</w:t>
      </w:r>
    </w:p>
    <w:p w14:paraId="21B6448F" w14:textId="4A4ABFDB" w:rsidR="00455AFF" w:rsidRPr="003720AF" w:rsidRDefault="00154F49" w:rsidP="00455AFF">
      <w:pPr>
        <w:autoSpaceDE w:val="0"/>
        <w:autoSpaceDN w:val="0"/>
        <w:adjustRightInd w:val="0"/>
      </w:pPr>
      <w:hyperlink r:id="rId46" w:history="1">
        <w:r w:rsidR="00455AFF" w:rsidRPr="003720AF">
          <w:rPr>
            <w:rFonts w:cs="Arial"/>
          </w:rPr>
          <w:t>Sribanditmongkol P</w:t>
        </w:r>
      </w:hyperlink>
      <w:r w:rsidR="00455AFF" w:rsidRPr="003720AF">
        <w:rPr>
          <w:rFonts w:cs="Arial"/>
        </w:rPr>
        <w:t xml:space="preserve">, </w:t>
      </w:r>
      <w:hyperlink r:id="rId47" w:history="1">
        <w:r w:rsidR="00455AFF" w:rsidRPr="003720AF">
          <w:rPr>
            <w:rFonts w:cs="Arial"/>
          </w:rPr>
          <w:t>Chokjamsai M</w:t>
        </w:r>
      </w:hyperlink>
      <w:r w:rsidR="00455AFF" w:rsidRPr="003720AF">
        <w:rPr>
          <w:rFonts w:cs="Arial"/>
        </w:rPr>
        <w:t xml:space="preserve">, </w:t>
      </w:r>
      <w:hyperlink r:id="rId48" w:history="1">
        <w:r w:rsidR="00455AFF" w:rsidRPr="003720AF">
          <w:rPr>
            <w:rFonts w:cs="Arial"/>
          </w:rPr>
          <w:t>Thampitak S</w:t>
        </w:r>
      </w:hyperlink>
      <w:r w:rsidR="00455AFF" w:rsidRPr="003720AF">
        <w:rPr>
          <w:rFonts w:cs="Arial"/>
        </w:rPr>
        <w:t>. 2000. Methamphetamine overdose</w:t>
      </w:r>
      <w:r w:rsidR="00115AF4" w:rsidRPr="003720AF">
        <w:rPr>
          <w:rFonts w:cs="Arial"/>
        </w:rPr>
        <w:t xml:space="preserve"> and fatality: 2 Cases report. </w:t>
      </w:r>
      <w:r w:rsidR="00455AFF" w:rsidRPr="003720AF">
        <w:rPr>
          <w:rFonts w:cs="Arial"/>
          <w:i/>
        </w:rPr>
        <w:t>J</w:t>
      </w:r>
      <w:r w:rsidR="00602975" w:rsidRPr="003720AF">
        <w:rPr>
          <w:rFonts w:cs="Arial"/>
          <w:i/>
        </w:rPr>
        <w:t>ournal of the</w:t>
      </w:r>
      <w:r w:rsidR="00455AFF" w:rsidRPr="003720AF">
        <w:rPr>
          <w:rFonts w:cs="Arial"/>
          <w:i/>
        </w:rPr>
        <w:t xml:space="preserve"> Med</w:t>
      </w:r>
      <w:r w:rsidR="00602975" w:rsidRPr="003720AF">
        <w:rPr>
          <w:rFonts w:cs="Arial"/>
          <w:i/>
        </w:rPr>
        <w:t>ical</w:t>
      </w:r>
      <w:r w:rsidR="00455AFF" w:rsidRPr="003720AF">
        <w:rPr>
          <w:rFonts w:cs="Arial"/>
          <w:i/>
        </w:rPr>
        <w:t xml:space="preserve"> Assoc</w:t>
      </w:r>
      <w:r w:rsidR="00602975" w:rsidRPr="003720AF">
        <w:rPr>
          <w:rFonts w:cs="Arial"/>
          <w:i/>
        </w:rPr>
        <w:t>iation of</w:t>
      </w:r>
      <w:r w:rsidR="00455AFF" w:rsidRPr="003720AF">
        <w:rPr>
          <w:rFonts w:cs="Arial"/>
          <w:i/>
        </w:rPr>
        <w:t xml:space="preserve"> Thai</w:t>
      </w:r>
      <w:r w:rsidR="00602975" w:rsidRPr="003720AF">
        <w:rPr>
          <w:rFonts w:cs="Arial"/>
          <w:i/>
        </w:rPr>
        <w:t>land</w:t>
      </w:r>
      <w:r w:rsidR="00455AFF" w:rsidRPr="003720AF">
        <w:rPr>
          <w:rFonts w:cs="Arial"/>
          <w:i/>
        </w:rPr>
        <w:t xml:space="preserve"> 83(9):1120</w:t>
      </w:r>
      <w:r w:rsidR="00115AF4" w:rsidRPr="003720AF">
        <w:rPr>
          <w:rFonts w:cs="Arial"/>
          <w:i/>
        </w:rPr>
        <w:t>–3</w:t>
      </w:r>
      <w:r w:rsidR="00455AFF" w:rsidRPr="003720AF">
        <w:rPr>
          <w:rFonts w:cs="Arial"/>
          <w:i/>
        </w:rPr>
        <w:t>.</w:t>
      </w:r>
    </w:p>
    <w:p w14:paraId="6870E109" w14:textId="28ED37CB" w:rsidR="00455AFF" w:rsidRPr="003720AF" w:rsidRDefault="009E7A10" w:rsidP="00455AFF">
      <w:pPr>
        <w:rPr>
          <w:rStyle w:val="Hyperlink"/>
          <w:u w:val="none"/>
        </w:rPr>
      </w:pPr>
      <w:r w:rsidRPr="003720AF">
        <w:rPr>
          <w:color w:val="000000"/>
        </w:rPr>
        <w:t>USDEA. 2005</w:t>
      </w:r>
      <w:r w:rsidR="00455AFF" w:rsidRPr="003720AF">
        <w:rPr>
          <w:color w:val="000000"/>
        </w:rPr>
        <w:t>.</w:t>
      </w:r>
      <w:r w:rsidRPr="003720AF">
        <w:rPr>
          <w:color w:val="000000"/>
        </w:rPr>
        <w:t xml:space="preserve"> </w:t>
      </w:r>
      <w:r w:rsidRPr="003720AF">
        <w:rPr>
          <w:i/>
          <w:color w:val="000000"/>
        </w:rPr>
        <w:t>Guidelines for Law Enforcement for the Cleanup of Clandestine Drug Laboratories</w:t>
      </w:r>
      <w:r w:rsidRPr="003720AF">
        <w:rPr>
          <w:color w:val="000000"/>
        </w:rPr>
        <w:t>. United States Drug Enforcement Agency.</w:t>
      </w:r>
      <w:r w:rsidR="00455AFF" w:rsidRPr="003720AF">
        <w:rPr>
          <w:color w:val="000000"/>
        </w:rPr>
        <w:t xml:space="preserve"> </w:t>
      </w:r>
      <w:hyperlink r:id="rId49" w:history="1">
        <w:r w:rsidR="00455AFF" w:rsidRPr="003720AF">
          <w:rPr>
            <w:rStyle w:val="Hyperlink"/>
          </w:rPr>
          <w:t>http://www.dea.gov/resources/img/redbook.pdf</w:t>
        </w:r>
      </w:hyperlink>
      <w:r w:rsidR="004A078F" w:rsidRPr="003720AF">
        <w:rPr>
          <w:rStyle w:val="Hyperlink"/>
        </w:rPr>
        <w:t xml:space="preserve"> </w:t>
      </w:r>
      <w:r w:rsidR="004A078F" w:rsidRPr="003720AF">
        <w:rPr>
          <w:rStyle w:val="Hyperlink"/>
          <w:color w:val="000000" w:themeColor="text1"/>
          <w:u w:val="none"/>
        </w:rPr>
        <w:t>(accessed 5 October 2016).</w:t>
      </w:r>
    </w:p>
    <w:p w14:paraId="4D761439" w14:textId="66556459" w:rsidR="00455AFF" w:rsidRPr="003720AF" w:rsidRDefault="00455AFF" w:rsidP="00455AFF">
      <w:pPr>
        <w:rPr>
          <w:color w:val="000000"/>
        </w:rPr>
      </w:pPr>
      <w:r w:rsidRPr="003720AF">
        <w:rPr>
          <w:color w:val="000000"/>
        </w:rPr>
        <w:t>USDEA</w:t>
      </w:r>
      <w:r w:rsidR="00CE5D08" w:rsidRPr="003720AF">
        <w:rPr>
          <w:color w:val="000000"/>
        </w:rPr>
        <w:t>.</w:t>
      </w:r>
      <w:r w:rsidRPr="003720AF">
        <w:rPr>
          <w:color w:val="000000"/>
        </w:rPr>
        <w:t xml:space="preserve"> 2015. </w:t>
      </w:r>
      <w:r w:rsidR="00CE5D08" w:rsidRPr="003720AF">
        <w:rPr>
          <w:color w:val="000000"/>
        </w:rPr>
        <w:t xml:space="preserve">United States Drug Enforcement Administration. </w:t>
      </w:r>
      <w:hyperlink r:id="rId50" w:history="1">
        <w:r w:rsidRPr="003720AF">
          <w:rPr>
            <w:rStyle w:val="Hyperlink"/>
          </w:rPr>
          <w:t>https://www.dea.gov/resource-center/meth-lab-maps.shtml</w:t>
        </w:r>
      </w:hyperlink>
      <w:r w:rsidR="00CE5D08" w:rsidRPr="003720AF">
        <w:rPr>
          <w:rStyle w:val="Hyperlink"/>
        </w:rPr>
        <w:t xml:space="preserve"> </w:t>
      </w:r>
      <w:r w:rsidR="00CE5D08" w:rsidRPr="003720AF">
        <w:rPr>
          <w:rStyle w:val="Hyperlink"/>
          <w:color w:val="000000" w:themeColor="text1"/>
          <w:u w:val="none"/>
        </w:rPr>
        <w:t>(accessed 5 October 2016)</w:t>
      </w:r>
      <w:r w:rsidR="00CE5D08" w:rsidRPr="003720AF">
        <w:rPr>
          <w:rStyle w:val="Hyperlink"/>
          <w:color w:val="000000" w:themeColor="text1"/>
        </w:rPr>
        <w:t xml:space="preserve"> </w:t>
      </w:r>
    </w:p>
    <w:p w14:paraId="45F2B582" w14:textId="2E0FDECF" w:rsidR="00455AFF" w:rsidRPr="003720AF" w:rsidRDefault="005203AD" w:rsidP="00455AFF">
      <w:pPr>
        <w:rPr>
          <w:color w:val="000000"/>
        </w:rPr>
      </w:pPr>
      <w:r w:rsidRPr="003720AF">
        <w:rPr>
          <w:color w:val="000000"/>
        </w:rPr>
        <w:t xml:space="preserve">USEPA. 2013. </w:t>
      </w:r>
      <w:r w:rsidR="00455AFF" w:rsidRPr="003720AF">
        <w:rPr>
          <w:color w:val="000000"/>
        </w:rPr>
        <w:t>Vo</w:t>
      </w:r>
      <w:r w:rsidRPr="003720AF">
        <w:rPr>
          <w:color w:val="000000"/>
        </w:rPr>
        <w:t>l</w:t>
      </w:r>
      <w:r w:rsidR="00455AFF" w:rsidRPr="003720AF">
        <w:rPr>
          <w:color w:val="000000"/>
        </w:rPr>
        <w:t>untary guidelines for methamp</w:t>
      </w:r>
      <w:r w:rsidRPr="003720AF">
        <w:rPr>
          <w:color w:val="000000"/>
        </w:rPr>
        <w:t xml:space="preserve">hetamine lab cleanup. United States Environmental Protection Agency. </w:t>
      </w:r>
      <w:hyperlink r:id="rId51" w:history="1">
        <w:r w:rsidR="00455AFF" w:rsidRPr="003720AF">
          <w:rPr>
            <w:rStyle w:val="Hyperlink"/>
          </w:rPr>
          <w:t>https://www.epa.gov/sites/production/files/documents/meth_lab_guidelines.pdf</w:t>
        </w:r>
      </w:hyperlink>
      <w:r w:rsidR="00EB7B59" w:rsidRPr="003720AF">
        <w:rPr>
          <w:rStyle w:val="Hyperlink"/>
        </w:rPr>
        <w:t xml:space="preserve"> </w:t>
      </w:r>
      <w:r w:rsidR="00EB7B59" w:rsidRPr="003720AF">
        <w:rPr>
          <w:rStyle w:val="Hyperlink"/>
          <w:color w:val="000000" w:themeColor="text1"/>
          <w:u w:val="none"/>
        </w:rPr>
        <w:t>(accessed 5 October 2016).</w:t>
      </w:r>
    </w:p>
    <w:p w14:paraId="0B2A1E29" w14:textId="37D23A70" w:rsidR="00455AFF" w:rsidRPr="003720AF" w:rsidRDefault="009E7A10" w:rsidP="00455AFF">
      <w:pPr>
        <w:autoSpaceDE w:val="0"/>
        <w:autoSpaceDN w:val="0"/>
        <w:adjustRightInd w:val="0"/>
      </w:pPr>
      <w:r w:rsidRPr="003720AF">
        <w:t>US</w:t>
      </w:r>
      <w:r w:rsidR="00455AFF" w:rsidRPr="003720AF">
        <w:t xml:space="preserve">FDA. 2011. </w:t>
      </w:r>
      <w:r w:rsidR="00455AFF" w:rsidRPr="003720AF">
        <w:rPr>
          <w:rFonts w:cs="Arial"/>
          <w:color w:val="333333"/>
        </w:rPr>
        <w:t>FDA Drug Safety Communication: Safety Review Update of Medications used to treat Attention-Deficit/Hyperactivity Disorder (ADHD) in children and young adults.</w:t>
      </w:r>
      <w:r w:rsidRPr="003720AF">
        <w:rPr>
          <w:rFonts w:cs="Arial"/>
          <w:color w:val="333333"/>
        </w:rPr>
        <w:t xml:space="preserve"> United States Food and Drug Administration.</w:t>
      </w:r>
      <w:r w:rsidR="00455AFF" w:rsidRPr="003720AF">
        <w:rPr>
          <w:rFonts w:cs="Arial"/>
          <w:color w:val="333333"/>
        </w:rPr>
        <w:t xml:space="preserve"> </w:t>
      </w:r>
      <w:hyperlink r:id="rId52" w:history="1">
        <w:r w:rsidR="00455AFF" w:rsidRPr="003720AF">
          <w:rPr>
            <w:rStyle w:val="Hyperlink"/>
          </w:rPr>
          <w:t>http://www.fda.gov/Drugs/DrugSafety/ucm277770.htm</w:t>
        </w:r>
      </w:hyperlink>
      <w:r w:rsidR="00EB7B59" w:rsidRPr="003720AF">
        <w:rPr>
          <w:rStyle w:val="Hyperlink"/>
        </w:rPr>
        <w:t xml:space="preserve">. </w:t>
      </w:r>
      <w:r w:rsidR="00EB7B59" w:rsidRPr="003720AF">
        <w:rPr>
          <w:rStyle w:val="Hyperlink"/>
          <w:color w:val="000000" w:themeColor="text1"/>
          <w:u w:val="none"/>
        </w:rPr>
        <w:t>(accessed 5 October 2016).</w:t>
      </w:r>
    </w:p>
    <w:p w14:paraId="69D3CDE1" w14:textId="7B014916" w:rsidR="00455AFF" w:rsidRPr="003720AF" w:rsidRDefault="00801A9E" w:rsidP="00455AFF">
      <w:pPr>
        <w:autoSpaceDE w:val="0"/>
        <w:autoSpaceDN w:val="0"/>
        <w:adjustRightInd w:val="0"/>
        <w:rPr>
          <w:color w:val="000000" w:themeColor="text1"/>
        </w:rPr>
      </w:pPr>
      <w:r w:rsidRPr="003720AF">
        <w:t>UDH</w:t>
      </w:r>
      <w:r w:rsidR="00455AFF" w:rsidRPr="003720AF">
        <w:t xml:space="preserve">. 2015. </w:t>
      </w:r>
      <w:r w:rsidR="00455AFF" w:rsidRPr="003720AF">
        <w:rPr>
          <w:i/>
        </w:rPr>
        <w:t>Development of Utah’s Methamphetamine Decontamination Standard.</w:t>
      </w:r>
      <w:r w:rsidR="00455AFF" w:rsidRPr="003720AF">
        <w:t xml:space="preserve"> </w:t>
      </w:r>
      <w:r w:rsidRPr="003720AF">
        <w:t xml:space="preserve">Utah Department of Health. </w:t>
      </w:r>
      <w:hyperlink r:id="rId53" w:history="1">
        <w:r w:rsidR="00455AFF" w:rsidRPr="003720AF">
          <w:rPr>
            <w:rStyle w:val="Hyperlink"/>
          </w:rPr>
          <w:t>http://health.utah.gov/meth/Pages/DeconStandard.html</w:t>
        </w:r>
      </w:hyperlink>
      <w:r w:rsidR="00DE7A12" w:rsidRPr="003720AF">
        <w:rPr>
          <w:rStyle w:val="Hyperlink"/>
          <w:u w:val="none"/>
        </w:rPr>
        <w:t xml:space="preserve"> </w:t>
      </w:r>
      <w:r w:rsidR="00DE7A12" w:rsidRPr="003720AF">
        <w:rPr>
          <w:rStyle w:val="Hyperlink"/>
          <w:color w:val="000000" w:themeColor="text1"/>
          <w:u w:val="none"/>
        </w:rPr>
        <w:t>(accessed 5 October 2016).</w:t>
      </w:r>
    </w:p>
    <w:p w14:paraId="7D8E1969" w14:textId="59AE0A55" w:rsidR="00455AFF" w:rsidRPr="003720AF" w:rsidRDefault="00455AFF" w:rsidP="00455AFF">
      <w:pPr>
        <w:widowControl w:val="0"/>
        <w:autoSpaceDE w:val="0"/>
        <w:autoSpaceDN w:val="0"/>
        <w:adjustRightInd w:val="0"/>
        <w:rPr>
          <w:rFonts w:cs="Arial"/>
          <w:bCs/>
        </w:rPr>
      </w:pPr>
      <w:r w:rsidRPr="003720AF">
        <w:rPr>
          <w:rFonts w:cs="Arial"/>
          <w:bCs/>
        </w:rPr>
        <w:t>Van Dyke M, Martyny J</w:t>
      </w:r>
      <w:r w:rsidR="00EB4C85" w:rsidRPr="003720AF">
        <w:rPr>
          <w:rFonts w:cs="Arial"/>
          <w:bCs/>
        </w:rPr>
        <w:t xml:space="preserve"> W</w:t>
      </w:r>
      <w:r w:rsidRPr="003720AF">
        <w:rPr>
          <w:rFonts w:cs="Arial"/>
          <w:bCs/>
        </w:rPr>
        <w:t>, Serrano K</w:t>
      </w:r>
      <w:r w:rsidR="00EB4C85" w:rsidRPr="003720AF">
        <w:rPr>
          <w:rFonts w:cs="Arial"/>
          <w:bCs/>
        </w:rPr>
        <w:t xml:space="preserve"> A</w:t>
      </w:r>
      <w:r w:rsidRPr="003720AF">
        <w:rPr>
          <w:rFonts w:cs="Arial"/>
          <w:bCs/>
        </w:rPr>
        <w:t xml:space="preserve">. 2014. </w:t>
      </w:r>
      <w:r w:rsidRPr="003720AF">
        <w:rPr>
          <w:rFonts w:cs="Times New Roman"/>
        </w:rPr>
        <w:t xml:space="preserve">Methamphetamine Residue Dermal Transfer Efficiencies from Household Surfaces. </w:t>
      </w:r>
      <w:r w:rsidRPr="003720AF">
        <w:rPr>
          <w:rFonts w:cs="Arial"/>
          <w:bCs/>
          <w:i/>
        </w:rPr>
        <w:t>J</w:t>
      </w:r>
      <w:r w:rsidR="00602975" w:rsidRPr="003720AF">
        <w:rPr>
          <w:rFonts w:cs="Arial"/>
          <w:bCs/>
          <w:i/>
        </w:rPr>
        <w:t>ournal of</w:t>
      </w:r>
      <w:r w:rsidRPr="003720AF">
        <w:rPr>
          <w:rFonts w:cs="Arial"/>
          <w:bCs/>
          <w:i/>
        </w:rPr>
        <w:t xml:space="preserve"> Occup</w:t>
      </w:r>
      <w:r w:rsidR="00602975" w:rsidRPr="003720AF">
        <w:rPr>
          <w:rFonts w:cs="Arial"/>
          <w:bCs/>
          <w:i/>
        </w:rPr>
        <w:t>ational</w:t>
      </w:r>
      <w:r w:rsidRPr="003720AF">
        <w:rPr>
          <w:rFonts w:cs="Arial"/>
          <w:bCs/>
          <w:i/>
        </w:rPr>
        <w:t xml:space="preserve"> </w:t>
      </w:r>
      <w:r w:rsidR="00602975" w:rsidRPr="003720AF">
        <w:rPr>
          <w:rFonts w:cs="Arial"/>
          <w:bCs/>
          <w:i/>
        </w:rPr>
        <w:t xml:space="preserve">and </w:t>
      </w:r>
      <w:r w:rsidRPr="003720AF">
        <w:rPr>
          <w:rFonts w:cs="Arial"/>
          <w:bCs/>
          <w:i/>
        </w:rPr>
        <w:t>Environ</w:t>
      </w:r>
      <w:r w:rsidR="00602975" w:rsidRPr="003720AF">
        <w:rPr>
          <w:rFonts w:cs="Arial"/>
          <w:bCs/>
          <w:i/>
        </w:rPr>
        <w:t>mental</w:t>
      </w:r>
      <w:r w:rsidRPr="003720AF">
        <w:rPr>
          <w:rFonts w:cs="Arial"/>
          <w:bCs/>
          <w:i/>
        </w:rPr>
        <w:t xml:space="preserve"> Hyg</w:t>
      </w:r>
      <w:r w:rsidR="00602975" w:rsidRPr="003720AF">
        <w:rPr>
          <w:rFonts w:cs="Arial"/>
          <w:bCs/>
          <w:i/>
        </w:rPr>
        <w:t>iene</w:t>
      </w:r>
      <w:r w:rsidRPr="003720AF">
        <w:rPr>
          <w:rFonts w:cs="Arial"/>
          <w:bCs/>
        </w:rPr>
        <w:t>. 11:</w:t>
      </w:r>
      <w:r w:rsidR="00EB4C85" w:rsidRPr="003720AF">
        <w:rPr>
          <w:rFonts w:cs="Arial"/>
          <w:bCs/>
        </w:rPr>
        <w:t xml:space="preserve"> </w:t>
      </w:r>
      <w:r w:rsidRPr="003720AF">
        <w:rPr>
          <w:rFonts w:cs="Arial"/>
          <w:bCs/>
        </w:rPr>
        <w:t>249</w:t>
      </w:r>
      <w:r w:rsidR="00EB4C85" w:rsidRPr="003720AF">
        <w:rPr>
          <w:rFonts w:cs="Arial"/>
          <w:bCs/>
        </w:rPr>
        <w:t>–58</w:t>
      </w:r>
      <w:r w:rsidRPr="003720AF">
        <w:rPr>
          <w:rFonts w:cs="Arial"/>
          <w:bCs/>
        </w:rPr>
        <w:t>.</w:t>
      </w:r>
    </w:p>
    <w:p w14:paraId="134FB909" w14:textId="44333D98" w:rsidR="00546343" w:rsidRPr="003720AF" w:rsidRDefault="00546343" w:rsidP="00455AFF">
      <w:pPr>
        <w:widowControl w:val="0"/>
        <w:autoSpaceDE w:val="0"/>
        <w:autoSpaceDN w:val="0"/>
        <w:adjustRightInd w:val="0"/>
        <w:rPr>
          <w:rFonts w:cs="Times New Roman"/>
        </w:rPr>
      </w:pPr>
      <w:r w:rsidRPr="003720AF">
        <w:rPr>
          <w:rFonts w:cs="Times New Roman"/>
        </w:rPr>
        <w:t xml:space="preserve">Wilkins C, Griffiths R, Sweetsur P. 2009. </w:t>
      </w:r>
      <w:r w:rsidRPr="003720AF">
        <w:rPr>
          <w:rFonts w:cs="Times New Roman"/>
          <w:i/>
        </w:rPr>
        <w:t>Recent Trends in Illegal Drug Use in New Zealand, 2006-2008 - Findings from the 2006, 2007 and 2008 Illicit Drug Monitoring System (IDMS).</w:t>
      </w:r>
      <w:r w:rsidRPr="003720AF">
        <w:rPr>
          <w:rFonts w:cs="Times New Roman"/>
        </w:rPr>
        <w:t xml:space="preserve"> Auckland: Centre for Social and Health Outcomes Research and Evaluation (SHORE) and Te Ropu Whariki, Massey University.</w:t>
      </w:r>
    </w:p>
    <w:p w14:paraId="24BFD419" w14:textId="65925DAD" w:rsidR="003F573E" w:rsidRPr="003720AF" w:rsidRDefault="003F573E" w:rsidP="00455AFF">
      <w:pPr>
        <w:widowControl w:val="0"/>
        <w:autoSpaceDE w:val="0"/>
        <w:autoSpaceDN w:val="0"/>
        <w:adjustRightInd w:val="0"/>
        <w:rPr>
          <w:rFonts w:cs="Times New Roman"/>
        </w:rPr>
      </w:pPr>
      <w:r w:rsidRPr="003720AF">
        <w:rPr>
          <w:rFonts w:cs="Times New Roman"/>
        </w:rPr>
        <w:t xml:space="preserve">Williams M, Moran M, Vorhees C. 2003. Refining the critical period for methamphetamine-induced spatial deficits in the Morris water maze. </w:t>
      </w:r>
      <w:r w:rsidRPr="003720AF">
        <w:rPr>
          <w:rFonts w:cs="Times New Roman"/>
          <w:i/>
        </w:rPr>
        <w:t>Psychopharmacology</w:t>
      </w:r>
      <w:r w:rsidRPr="003720AF">
        <w:rPr>
          <w:rFonts w:cs="Times New Roman"/>
        </w:rPr>
        <w:t xml:space="preserve"> 168(3):329</w:t>
      </w:r>
      <w:r w:rsidRPr="003720AF">
        <w:rPr>
          <w:rFonts w:cs="Arial"/>
        </w:rPr>
        <w:t>–</w:t>
      </w:r>
      <w:r w:rsidRPr="003720AF">
        <w:rPr>
          <w:rFonts w:cs="Times New Roman"/>
        </w:rPr>
        <w:t>338.</w:t>
      </w:r>
    </w:p>
    <w:p w14:paraId="4F71C7D5" w14:textId="275DEF32" w:rsidR="00455AFF" w:rsidRPr="003720AF" w:rsidRDefault="00455AFF" w:rsidP="00455AFF">
      <w:pPr>
        <w:autoSpaceDE w:val="0"/>
        <w:autoSpaceDN w:val="0"/>
        <w:adjustRightInd w:val="0"/>
        <w:rPr>
          <w:rFonts w:cs="Times-Roman"/>
        </w:rPr>
      </w:pPr>
      <w:r w:rsidRPr="003720AF">
        <w:t>Y</w:t>
      </w:r>
      <w:r w:rsidR="00EB4C85" w:rsidRPr="003720AF">
        <w:t>oung</w:t>
      </w:r>
      <w:r w:rsidRPr="003720AF">
        <w:t xml:space="preserve"> G C, Turner R K. 1965. CNS stimulant drugs and conditioning treatment of nocturnal enuresis. </w:t>
      </w:r>
      <w:r w:rsidRPr="003720AF">
        <w:rPr>
          <w:i/>
          <w:iCs/>
        </w:rPr>
        <w:t xml:space="preserve">Behaviour Research and Therapy </w:t>
      </w:r>
      <w:r w:rsidRPr="003720AF">
        <w:rPr>
          <w:bCs/>
        </w:rPr>
        <w:t>3</w:t>
      </w:r>
      <w:r w:rsidR="00EB4C85" w:rsidRPr="003720AF">
        <w:t xml:space="preserve">: </w:t>
      </w:r>
      <w:r w:rsidRPr="003720AF">
        <w:t>93-101.</w:t>
      </w:r>
    </w:p>
    <w:p w14:paraId="5B0C056D" w14:textId="77777777" w:rsidR="006D7940" w:rsidRPr="003720AF" w:rsidRDefault="006D7940">
      <w:pPr>
        <w:rPr>
          <w:color w:val="000000"/>
        </w:rPr>
      </w:pPr>
      <w:r w:rsidRPr="003720AF">
        <w:rPr>
          <w:color w:val="000000"/>
        </w:rPr>
        <w:br w:type="page"/>
      </w:r>
    </w:p>
    <w:p w14:paraId="773918A3" w14:textId="77777777" w:rsidR="007A08AF" w:rsidRPr="003720AF" w:rsidRDefault="007A08AF" w:rsidP="00F95965">
      <w:pPr>
        <w:pStyle w:val="Heading1"/>
        <w:numPr>
          <w:ilvl w:val="0"/>
          <w:numId w:val="0"/>
        </w:numPr>
      </w:pPr>
      <w:bookmarkStart w:id="55" w:name="_Toc463856049"/>
      <w:r w:rsidRPr="003720AF">
        <w:lastRenderedPageBreak/>
        <w:t>APPENDIX</w:t>
      </w:r>
      <w:bookmarkEnd w:id="55"/>
    </w:p>
    <w:p w14:paraId="0616EFE9" w14:textId="77777777" w:rsidR="004A49B0" w:rsidRPr="003720AF" w:rsidRDefault="004A49B0" w:rsidP="004A49B0">
      <w:pPr>
        <w:pStyle w:val="Texttitle"/>
        <w:rPr>
          <w:lang w:val="en-NZ"/>
        </w:rPr>
      </w:pPr>
      <w:r w:rsidRPr="003720AF">
        <w:rPr>
          <w:lang w:val="en-NZ"/>
        </w:rPr>
        <w:t>Evaluation of Post-Remediation Residential Methamphetamine Exposure for Purposes of Calculating Risk-Based Cleanup Levels</w:t>
      </w:r>
    </w:p>
    <w:p w14:paraId="38FE83DA" w14:textId="77777777" w:rsidR="004A49B0" w:rsidRPr="003720AF" w:rsidRDefault="004A49B0" w:rsidP="00825551">
      <w:pPr>
        <w:pStyle w:val="AppendixHeading2"/>
        <w:ind w:left="709" w:hanging="709"/>
        <w:rPr>
          <w:b/>
          <w:color w:val="000000" w:themeColor="text1"/>
        </w:rPr>
      </w:pPr>
      <w:bookmarkStart w:id="56" w:name="_Toc463482640"/>
      <w:bookmarkStart w:id="57" w:name="_Toc463856050"/>
      <w:r w:rsidRPr="003720AF">
        <w:rPr>
          <w:b/>
          <w:color w:val="000000" w:themeColor="text1"/>
        </w:rPr>
        <w:t>Introduction</w:t>
      </w:r>
      <w:bookmarkEnd w:id="56"/>
      <w:bookmarkEnd w:id="57"/>
    </w:p>
    <w:p w14:paraId="1715239B" w14:textId="0A138563" w:rsidR="004A49B0" w:rsidRPr="003720AF" w:rsidRDefault="004A49B0" w:rsidP="00C225D4">
      <w:pPr>
        <w:pStyle w:val="BodyText"/>
        <w:spacing w:line="360" w:lineRule="auto"/>
        <w:jc w:val="left"/>
      </w:pPr>
      <w:r w:rsidRPr="003720AF">
        <w:t>Calculation of risk-based cleanup levels for residual methamphetamine in residences formerly used for clandestine drug synthesis requires (1) a reliable method for exposure concentration measurement (typically wipe samples reported drug mass per unit area), (2) robust estimates of dose for receptors of concern (young children and f</w:t>
      </w:r>
      <w:r w:rsidR="00F95965" w:rsidRPr="003720AF">
        <w:t>oetuses – i</w:t>
      </w:r>
      <w:r w:rsidRPr="003720AF">
        <w:t xml:space="preserve">e, pregnant women), preferably generated in a well-documented and easy-to-use spreadsheet format, and (3) absorbed-dose toxicity criteria relevant to the exposure routes and receptor populations of interest. </w:t>
      </w:r>
    </w:p>
    <w:p w14:paraId="2103A9E2" w14:textId="395EE840" w:rsidR="004A49B0" w:rsidRPr="003720AF" w:rsidRDefault="004A49B0" w:rsidP="00C225D4">
      <w:pPr>
        <w:pStyle w:val="BodyText"/>
        <w:spacing w:line="360" w:lineRule="auto"/>
        <w:jc w:val="left"/>
      </w:pPr>
      <w:r w:rsidRPr="003720AF">
        <w:t>The purpose of this document is to briefly review and evaluate these published approaches, and recommend an exposure methodology concordant with current regulation and knowledge. The deterministic method for methamphetamine exposure assessment suggested here is based on elements of the approaches taken by the U</w:t>
      </w:r>
      <w:r w:rsidR="00F95965" w:rsidRPr="003720AF">
        <w:t>nited States</w:t>
      </w:r>
      <w:r w:rsidRPr="003720AF">
        <w:t xml:space="preserve"> states of California and Colorado, with reference to New Zealand exposure data and more recent literature as relevant.</w:t>
      </w:r>
    </w:p>
    <w:p w14:paraId="2498FBE6" w14:textId="77777777" w:rsidR="004A49B0" w:rsidRPr="003720AF" w:rsidRDefault="004A49B0" w:rsidP="00AC284D">
      <w:pPr>
        <w:pStyle w:val="AppendixHeading2"/>
        <w:ind w:left="709" w:hanging="709"/>
        <w:rPr>
          <w:b/>
        </w:rPr>
      </w:pPr>
      <w:bookmarkStart w:id="58" w:name="_Toc463482641"/>
      <w:bookmarkStart w:id="59" w:name="_Toc463856051"/>
      <w:r w:rsidRPr="003720AF">
        <w:rPr>
          <w:b/>
        </w:rPr>
        <w:t>Overview of California and Colorado methamphetamine exposure models</w:t>
      </w:r>
      <w:bookmarkEnd w:id="58"/>
      <w:bookmarkEnd w:id="59"/>
    </w:p>
    <w:p w14:paraId="1C047442" w14:textId="76357F60" w:rsidR="004A49B0" w:rsidRPr="003720AF" w:rsidRDefault="004A49B0" w:rsidP="00C225D4">
      <w:pPr>
        <w:pStyle w:val="BodyText"/>
        <w:spacing w:line="360" w:lineRule="auto"/>
        <w:jc w:val="left"/>
        <w:rPr>
          <w:szCs w:val="24"/>
        </w:rPr>
      </w:pPr>
      <w:r w:rsidRPr="003720AF">
        <w:t xml:space="preserve">California’s Office of Environmental Health Hazard Assessment (OEHHA) </w:t>
      </w:r>
      <w:r w:rsidRPr="003720AF">
        <w:rPr>
          <w:szCs w:val="24"/>
        </w:rPr>
        <w:t xml:space="preserve">evaluated both the </w:t>
      </w:r>
      <w:r w:rsidRPr="003720AF">
        <w:t>U</w:t>
      </w:r>
      <w:r w:rsidR="00F95965" w:rsidRPr="003720AF">
        <w:t>nited States</w:t>
      </w:r>
      <w:r w:rsidRPr="003720AF">
        <w:t xml:space="preserve"> Environmental Protection Agency’s (USEPA’s) Standard Operating Procedures (SOP) for Residential Exposure Assessment (referred to herein as the 2001 SOP) (EPA 1997, 2001)</w:t>
      </w:r>
      <w:r w:rsidRPr="003720AF">
        <w:rPr>
          <w:szCs w:val="24"/>
        </w:rPr>
        <w:t xml:space="preserve"> (a deterministic model) and the </w:t>
      </w:r>
      <w:r w:rsidRPr="003720AF">
        <w:t xml:space="preserve">Stochastic Human Exposure and Dose Simulation for multimedia (SHEDS-Multimedia version 3) (a probabilistic model) </w:t>
      </w:r>
      <w:r w:rsidRPr="003720AF">
        <w:rPr>
          <w:szCs w:val="24"/>
        </w:rPr>
        <w:t xml:space="preserve">for estimating exposure (absorbed dose) of </w:t>
      </w:r>
      <w:r w:rsidR="00F94386" w:rsidRPr="003720AF">
        <w:t xml:space="preserve">children aged 6 to </w:t>
      </w:r>
      <w:r w:rsidRPr="003720AF">
        <w:t xml:space="preserve">24 months </w:t>
      </w:r>
      <w:r w:rsidRPr="003720AF">
        <w:rPr>
          <w:szCs w:val="24"/>
        </w:rPr>
        <w:t xml:space="preserve">to methamphetamine in remediated residences (OEHHA 2009a). Both models </w:t>
      </w:r>
      <w:r w:rsidRPr="003720AF">
        <w:t>incorporate surface loading of methamphetamine, dermal transfer efficiency, dermal absorption, and exposure factors for frequency of contact with contaminated surfaces (including hand-to-mouth behavio</w:t>
      </w:r>
      <w:r w:rsidR="00F94386" w:rsidRPr="003720AF">
        <w:t>u</w:t>
      </w:r>
      <w:r w:rsidRPr="003720AF">
        <w:t xml:space="preserve">rs). Exposure via inhalation is considered to be negligible. Gastrointestinal (oral) absorption was assumed to be 100% in both models. </w:t>
      </w:r>
      <w:r w:rsidRPr="003720AF">
        <w:rPr>
          <w:szCs w:val="24"/>
        </w:rPr>
        <w:t xml:space="preserve">Dermal absorption was assumed to be 100% in the 2001 SOP model, vs. a value of 57% (Salocks </w:t>
      </w:r>
      <w:r w:rsidR="00F94386" w:rsidRPr="003720AF">
        <w:rPr>
          <w:szCs w:val="24"/>
          <w:lang w:bidi="en-US"/>
        </w:rPr>
        <w:t>et al</w:t>
      </w:r>
      <w:r w:rsidRPr="003720AF">
        <w:rPr>
          <w:szCs w:val="24"/>
        </w:rPr>
        <w:t xml:space="preserve"> 2012, 2014) used in the SHEDS model. Hand-to-mouth contact frequency was set at 19.6 per hour in the SHEDS model </w:t>
      </w:r>
      <w:r w:rsidRPr="003720AF">
        <w:rPr>
          <w:szCs w:val="24"/>
        </w:rPr>
        <w:lastRenderedPageBreak/>
        <w:t xml:space="preserve">based on a metaanalysis of children's hand-to-mouth frequency data (Xue </w:t>
      </w:r>
      <w:r w:rsidRPr="003720AF">
        <w:rPr>
          <w:szCs w:val="24"/>
          <w:lang w:bidi="en-US"/>
        </w:rPr>
        <w:t xml:space="preserve">et al </w:t>
      </w:r>
      <w:r w:rsidRPr="003720AF">
        <w:rPr>
          <w:szCs w:val="24"/>
        </w:rPr>
        <w:t xml:space="preserve">2007). This study also forms the basis for </w:t>
      </w:r>
      <w:r w:rsidR="00F94386" w:rsidRPr="003720AF">
        <w:rPr>
          <w:szCs w:val="24"/>
        </w:rPr>
        <w:t xml:space="preserve">the </w:t>
      </w:r>
      <w:r w:rsidRPr="003720AF">
        <w:rPr>
          <w:szCs w:val="24"/>
        </w:rPr>
        <w:t xml:space="preserve">USEPA’s recommended indoor hand-to-mouth frequency for children aged 1 to </w:t>
      </w:r>
      <w:r w:rsidRPr="003720AF">
        <w:rPr>
          <w:rFonts w:cstheme="minorHAnsi"/>
          <w:szCs w:val="24"/>
        </w:rPr>
        <w:t xml:space="preserve">≤ </w:t>
      </w:r>
      <w:r w:rsidRPr="003720AF">
        <w:rPr>
          <w:szCs w:val="24"/>
        </w:rPr>
        <w:t xml:space="preserve">2 years (USEPA 2011), which has been recommended for </w:t>
      </w:r>
      <w:r w:rsidR="00667116" w:rsidRPr="003720AF">
        <w:rPr>
          <w:szCs w:val="24"/>
        </w:rPr>
        <w:t xml:space="preserve">use </w:t>
      </w:r>
      <w:r w:rsidR="005B710F" w:rsidRPr="003720AF">
        <w:rPr>
          <w:szCs w:val="24"/>
        </w:rPr>
        <w:t xml:space="preserve">by the Institute of Environmental Science and Research </w:t>
      </w:r>
      <w:r w:rsidR="00667116" w:rsidRPr="003720AF">
        <w:rPr>
          <w:szCs w:val="24"/>
        </w:rPr>
        <w:t xml:space="preserve">in </w:t>
      </w:r>
      <w:r w:rsidRPr="003720AF">
        <w:t xml:space="preserve">New Zealand </w:t>
      </w:r>
      <w:r w:rsidRPr="003720AF">
        <w:rPr>
          <w:szCs w:val="24"/>
        </w:rPr>
        <w:t>(</w:t>
      </w:r>
      <w:r w:rsidR="00667116" w:rsidRPr="003720AF">
        <w:rPr>
          <w:szCs w:val="24"/>
        </w:rPr>
        <w:t>Cressey and Horn</w:t>
      </w:r>
      <w:r w:rsidRPr="003720AF">
        <w:rPr>
          <w:szCs w:val="24"/>
        </w:rPr>
        <w:t xml:space="preserve"> 2016). OEHHA ran the 2001 SOP model with both the default hand-to-mouth contact frequency of 1.56 per hour and 19 per hour. </w:t>
      </w:r>
    </w:p>
    <w:p w14:paraId="71ECC950" w14:textId="73BF9372" w:rsidR="004A49B0" w:rsidRPr="003720AF" w:rsidRDefault="004A49B0" w:rsidP="00C225D4">
      <w:pPr>
        <w:pStyle w:val="BodyText"/>
        <w:spacing w:line="360" w:lineRule="auto"/>
        <w:jc w:val="left"/>
        <w:rPr>
          <w:szCs w:val="24"/>
        </w:rPr>
      </w:pPr>
      <w:r w:rsidRPr="003720AF">
        <w:rPr>
          <w:szCs w:val="24"/>
        </w:rPr>
        <w:t>Methamphetamine exposures calculated by OEHHA using the two models for children aged 1 to ≤ 2 years in a residence with a methamphetamine surf</w:t>
      </w:r>
      <w:r w:rsidR="00B31E55" w:rsidRPr="003720AF">
        <w:rPr>
          <w:szCs w:val="24"/>
        </w:rPr>
        <w:t>ace concentration of 0.1 µg/100 </w:t>
      </w:r>
      <w:r w:rsidRPr="003720AF">
        <w:rPr>
          <w:szCs w:val="24"/>
        </w:rPr>
        <w:t>cm</w:t>
      </w:r>
      <w:r w:rsidRPr="003720AF">
        <w:rPr>
          <w:szCs w:val="24"/>
          <w:vertAlign w:val="superscript"/>
        </w:rPr>
        <w:t>2</w:t>
      </w:r>
      <w:r w:rsidRPr="003720AF">
        <w:rPr>
          <w:szCs w:val="24"/>
        </w:rPr>
        <w:t xml:space="preserve"> differed by two orders of magnitude (approximately 0.00002 mg/kg-d [95</w:t>
      </w:r>
      <w:r w:rsidRPr="003720AF">
        <w:rPr>
          <w:szCs w:val="24"/>
          <w:vertAlign w:val="superscript"/>
        </w:rPr>
        <w:t>th</w:t>
      </w:r>
      <w:r w:rsidRPr="003720AF">
        <w:rPr>
          <w:szCs w:val="24"/>
        </w:rPr>
        <w:t xml:space="preserve"> percentile total absorbed dose] for SHEDS vs. 0.007 mg/kg-d for the 2001 SOP with the higher hand-to-mouth contact frequency). Further, the proportion of exposure contributed by the oral route was about three times higher in the 2001 SOP model. OEHHA noted that the SOP was label</w:t>
      </w:r>
      <w:r w:rsidR="00A07432">
        <w:rPr>
          <w:szCs w:val="24"/>
        </w:rPr>
        <w:t>l</w:t>
      </w:r>
      <w:r w:rsidRPr="003720AF">
        <w:rPr>
          <w:szCs w:val="24"/>
        </w:rPr>
        <w:t>ed “DRAFT – DO NOT CITE OR QUOTE,” and determined that the critical dermal exposure parameter dermal transfer coeffi</w:t>
      </w:r>
      <w:r w:rsidR="00C710D7" w:rsidRPr="003720AF">
        <w:rPr>
          <w:szCs w:val="24"/>
        </w:rPr>
        <w:t>cient for young children (6,000 </w:t>
      </w:r>
      <w:r w:rsidRPr="003720AF">
        <w:rPr>
          <w:szCs w:val="24"/>
        </w:rPr>
        <w:t>cm</w:t>
      </w:r>
      <w:r w:rsidRPr="003720AF">
        <w:rPr>
          <w:szCs w:val="24"/>
          <w:vertAlign w:val="superscript"/>
        </w:rPr>
        <w:t>2</w:t>
      </w:r>
      <w:r w:rsidRPr="003720AF">
        <w:rPr>
          <w:szCs w:val="24"/>
        </w:rPr>
        <w:t>/hr) was overestimated. A study to develop transfer coefficients for young children engaged in routine activities reported values ranging from 10 to 6,000 cm</w:t>
      </w:r>
      <w:r w:rsidRPr="003720AF">
        <w:rPr>
          <w:szCs w:val="24"/>
          <w:vertAlign w:val="superscript"/>
        </w:rPr>
        <w:t>2</w:t>
      </w:r>
      <w:r w:rsidRPr="003720AF">
        <w:rPr>
          <w:szCs w:val="24"/>
        </w:rPr>
        <w:t xml:space="preserve">/hour (Cohen Hubal </w:t>
      </w:r>
      <w:r w:rsidRPr="003720AF">
        <w:rPr>
          <w:szCs w:val="24"/>
          <w:lang w:bidi="en-US"/>
        </w:rPr>
        <w:t xml:space="preserve">et al </w:t>
      </w:r>
      <w:r w:rsidRPr="003720AF">
        <w:rPr>
          <w:szCs w:val="24"/>
        </w:rPr>
        <w:t>2006). In view of these results, OEHHA (2009a) concluded that while “[t]he algorithms and default parameter values prescribed by the SOP appear to be appropriate for obtaining very conservative, screening level estimates of exposure,” the SHEDS model provided a better exposure estimation tool. The SHEDS model was therefore run to calculate deposited residue concentration that yielded an absorbed do</w:t>
      </w:r>
      <w:r w:rsidR="00B31E55" w:rsidRPr="003720AF">
        <w:rPr>
          <w:szCs w:val="24"/>
        </w:rPr>
        <w:t>se</w:t>
      </w:r>
      <w:r w:rsidRPr="003720AF">
        <w:rPr>
          <w:szCs w:val="24"/>
        </w:rPr>
        <w:t xml:space="preserve"> equal to the OEHHA reference dose (RfD) of 0.0003 mg/kg-d. The deposited residue concentration of 1.5 µg/100 cm</w:t>
      </w:r>
      <w:r w:rsidRPr="003720AF">
        <w:rPr>
          <w:szCs w:val="24"/>
          <w:vertAlign w:val="superscript"/>
        </w:rPr>
        <w:t>2</w:t>
      </w:r>
      <w:r w:rsidRPr="003720AF">
        <w:rPr>
          <w:szCs w:val="24"/>
        </w:rPr>
        <w:t>, which fell between the 95</w:t>
      </w:r>
      <w:r w:rsidRPr="003720AF">
        <w:rPr>
          <w:szCs w:val="24"/>
          <w:vertAlign w:val="superscript"/>
        </w:rPr>
        <w:t>th</w:t>
      </w:r>
      <w:r w:rsidRPr="003720AF">
        <w:rPr>
          <w:szCs w:val="24"/>
        </w:rPr>
        <w:t xml:space="preserve"> and 99</w:t>
      </w:r>
      <w:r w:rsidRPr="003720AF">
        <w:rPr>
          <w:szCs w:val="24"/>
          <w:vertAlign w:val="superscript"/>
        </w:rPr>
        <w:t>th</w:t>
      </w:r>
      <w:r w:rsidRPr="003720AF">
        <w:rPr>
          <w:szCs w:val="24"/>
        </w:rPr>
        <w:t xml:space="preserve"> percentile estimates of absorbed dose, was selected as the OEHHA cleanup standard.</w:t>
      </w:r>
    </w:p>
    <w:p w14:paraId="23F3EAE4" w14:textId="749D9325" w:rsidR="004A49B0" w:rsidRPr="003720AF" w:rsidRDefault="004A49B0" w:rsidP="00C225D4">
      <w:pPr>
        <w:pStyle w:val="BodyText"/>
        <w:spacing w:line="360" w:lineRule="auto"/>
        <w:jc w:val="left"/>
        <w:rPr>
          <w:szCs w:val="24"/>
        </w:rPr>
      </w:pPr>
      <w:r w:rsidRPr="003720AF">
        <w:t>The Colorado Department of Public Health and Environment (CDPHE) used 2001 SOP (EPA 1997, 2001) to calculate exposures to children and women associated with three technology-based methamphetamine cleanup levels used in the U</w:t>
      </w:r>
      <w:r w:rsidR="00C710D7" w:rsidRPr="003720AF">
        <w:t>nited S</w:t>
      </w:r>
      <w:r w:rsidR="008509E0" w:rsidRPr="003720AF">
        <w:t>t</w:t>
      </w:r>
      <w:r w:rsidR="00C710D7" w:rsidRPr="003720AF">
        <w:t>ates: 0.05 µg/100 </w:t>
      </w:r>
      <w:r w:rsidRPr="003720AF">
        <w:t>cm</w:t>
      </w:r>
      <w:r w:rsidRPr="003720AF">
        <w:rPr>
          <w:vertAlign w:val="superscript"/>
        </w:rPr>
        <w:t>2</w:t>
      </w:r>
      <w:r w:rsidR="00B31E55" w:rsidRPr="003720AF">
        <w:t>, 0.1 </w:t>
      </w:r>
      <w:r w:rsidRPr="003720AF">
        <w:t>µg/100 cm</w:t>
      </w:r>
      <w:r w:rsidRPr="003720AF">
        <w:rPr>
          <w:vertAlign w:val="superscript"/>
        </w:rPr>
        <w:t>2</w:t>
      </w:r>
      <w:r w:rsidRPr="003720AF">
        <w:t xml:space="preserve"> and 0.5 µg/100 cm</w:t>
      </w:r>
      <w:r w:rsidRPr="003720AF">
        <w:rPr>
          <w:vertAlign w:val="superscript"/>
        </w:rPr>
        <w:t>2</w:t>
      </w:r>
      <w:r w:rsidRPr="003720AF">
        <w:t xml:space="preserve">. Receptor groups were infants, young children, and women of childbearing age. Only hard surfaces were considered as potential exposure sources, as carpeting was assumed to have been removed and replaced during remediation. Gastrointestinal absorption was assumed to be 100%, and dermal absorption was estimated at 10% based on USEPA defaults for other compounds (USEPA 2004). Because all calculated exposures were below the range of selected toxicity criteria (0.005 to 0.07 mg/kg-d), the highest cleanup level was selected as it is more practical to implement </w:t>
      </w:r>
      <w:r w:rsidRPr="003720AF">
        <w:lastRenderedPageBreak/>
        <w:t xml:space="preserve">(Hammon and Griffin 2007). </w:t>
      </w:r>
      <w:r w:rsidRPr="003720AF">
        <w:rPr>
          <w:szCs w:val="24"/>
        </w:rPr>
        <w:t xml:space="preserve">The calculated dose for 1 </w:t>
      </w:r>
      <w:r w:rsidR="00B31E55" w:rsidRPr="003720AF">
        <w:rPr>
          <w:szCs w:val="24"/>
        </w:rPr>
        <w:t xml:space="preserve">to </w:t>
      </w:r>
      <w:r w:rsidRPr="003720AF">
        <w:rPr>
          <w:szCs w:val="24"/>
        </w:rPr>
        <w:t>≤ 2-year old children presented by Hammon and Griffin (2007) assuming a surface metha</w:t>
      </w:r>
      <w:r w:rsidR="00C710D7" w:rsidRPr="003720AF">
        <w:rPr>
          <w:szCs w:val="24"/>
        </w:rPr>
        <w:t>mphetamine concentration of 0.1 </w:t>
      </w:r>
      <w:r w:rsidRPr="003720AF">
        <w:rPr>
          <w:szCs w:val="24"/>
        </w:rPr>
        <w:t>µg/100 cm</w:t>
      </w:r>
      <w:r w:rsidRPr="003720AF">
        <w:rPr>
          <w:szCs w:val="24"/>
          <w:vertAlign w:val="superscript"/>
        </w:rPr>
        <w:t>2</w:t>
      </w:r>
      <w:r w:rsidRPr="003720AF">
        <w:rPr>
          <w:szCs w:val="24"/>
        </w:rPr>
        <w:t xml:space="preserve"> was around 0.00004 mg/kg-d. Exposure via dermal absorption was similar to that calculated with the SHEDS model, while oral exposure was an order of magnitude higher. Despite the significant differences in approach, it is noteworthy that CDPHE’s overall results were within an order of magnitude (higher) of OHHEA’s 95</w:t>
      </w:r>
      <w:r w:rsidRPr="003720AF">
        <w:rPr>
          <w:szCs w:val="24"/>
          <w:vertAlign w:val="superscript"/>
        </w:rPr>
        <w:t>th</w:t>
      </w:r>
      <w:r w:rsidRPr="003720AF">
        <w:rPr>
          <w:szCs w:val="24"/>
        </w:rPr>
        <w:t xml:space="preserve"> percentile SHED output (</w:t>
      </w:r>
      <w:r w:rsidRPr="003720AF">
        <w:rPr>
          <w:szCs w:val="24"/>
        </w:rPr>
        <w:fldChar w:fldCharType="begin"/>
      </w:r>
      <w:r w:rsidRPr="003720AF">
        <w:rPr>
          <w:szCs w:val="24"/>
        </w:rPr>
        <w:instrText xml:space="preserve"> REF _Ref463481795 \h </w:instrText>
      </w:r>
      <w:r w:rsidR="00C225D4" w:rsidRPr="003720AF">
        <w:rPr>
          <w:szCs w:val="24"/>
        </w:rPr>
        <w:instrText xml:space="preserve"> \* MERGEFORMAT </w:instrText>
      </w:r>
      <w:r w:rsidRPr="003720AF">
        <w:rPr>
          <w:szCs w:val="24"/>
        </w:rPr>
      </w:r>
      <w:r w:rsidRPr="003720AF">
        <w:rPr>
          <w:szCs w:val="24"/>
        </w:rPr>
        <w:fldChar w:fldCharType="separate"/>
      </w:r>
      <w:r w:rsidR="00F6014F" w:rsidRPr="003720AF">
        <w:t>F</w:t>
      </w:r>
      <w:r w:rsidR="00F6014F" w:rsidRPr="00F6014F">
        <w:t>igure</w:t>
      </w:r>
      <w:r w:rsidR="00F6014F" w:rsidRPr="003720AF">
        <w:rPr>
          <w:szCs w:val="24"/>
        </w:rPr>
        <w:t xml:space="preserve"> A</w:t>
      </w:r>
      <w:r w:rsidR="00F6014F">
        <w:rPr>
          <w:szCs w:val="24"/>
        </w:rPr>
        <w:t>1</w:t>
      </w:r>
      <w:r w:rsidRPr="003720AF">
        <w:rPr>
          <w:szCs w:val="24"/>
        </w:rPr>
        <w:fldChar w:fldCharType="end"/>
      </w:r>
      <w:r w:rsidRPr="003720AF">
        <w:rPr>
          <w:szCs w:val="24"/>
        </w:rPr>
        <w:t>).</w:t>
      </w:r>
    </w:p>
    <w:p w14:paraId="5F86E4CC" w14:textId="54807978" w:rsidR="004A49B0" w:rsidRPr="003720AF" w:rsidRDefault="004A49B0" w:rsidP="00C225D4">
      <w:pPr>
        <w:pStyle w:val="BodyText"/>
        <w:spacing w:line="360" w:lineRule="auto"/>
        <w:jc w:val="left"/>
      </w:pPr>
      <w:r w:rsidRPr="003720AF">
        <w:t xml:space="preserve">Major characteristics of the OEHHA and CDPHE methamphetamine exposure models are compared in </w:t>
      </w:r>
      <w:r w:rsidR="0061761E" w:rsidRPr="003720AF">
        <w:t>Table A1</w:t>
      </w:r>
    </w:p>
    <w:p w14:paraId="2307118F" w14:textId="3D28DFD0" w:rsidR="004A49B0" w:rsidRPr="003720AF" w:rsidRDefault="006C6B16" w:rsidP="006C6B16">
      <w:pPr>
        <w:pStyle w:val="Caption"/>
      </w:pPr>
      <w:bookmarkStart w:id="60" w:name="_Toc463482649"/>
      <w:bookmarkStart w:id="61" w:name="_Toc463798598"/>
      <w:r w:rsidRPr="003720AF">
        <w:t>Table A</w:t>
      </w:r>
      <w:fldSimple w:instr=" SEQ Table_A \* ARABIC ">
        <w:r w:rsidR="00F6014F">
          <w:rPr>
            <w:noProof/>
          </w:rPr>
          <w:t>1</w:t>
        </w:r>
      </w:fldSimple>
      <w:r w:rsidR="00A52CC2" w:rsidRPr="003720AF">
        <w:t>:</w:t>
      </w:r>
      <w:r w:rsidR="00A52CC2" w:rsidRPr="003720AF">
        <w:tab/>
      </w:r>
      <w:r w:rsidR="004A49B0" w:rsidRPr="003720AF">
        <w:t>Comparison of OEHHA and CDPHE approaches to calculating risk-based cleanup levels for methamphetamine</w:t>
      </w:r>
      <w:bookmarkEnd w:id="60"/>
      <w:bookmarkEnd w:id="61"/>
    </w:p>
    <w:tbl>
      <w:tblPr>
        <w:tblStyle w:val="ListTable22"/>
        <w:tblW w:w="0" w:type="auto"/>
        <w:tblLayout w:type="fixed"/>
        <w:tblLook w:val="0620" w:firstRow="1" w:lastRow="0" w:firstColumn="0" w:lastColumn="0" w:noHBand="1" w:noVBand="1"/>
      </w:tblPr>
      <w:tblGrid>
        <w:gridCol w:w="3261"/>
        <w:gridCol w:w="2972"/>
        <w:gridCol w:w="3117"/>
      </w:tblGrid>
      <w:tr w:rsidR="004A49B0" w:rsidRPr="003720AF" w14:paraId="1FA15948" w14:textId="77777777" w:rsidTr="0087744B">
        <w:trPr>
          <w:cnfStyle w:val="100000000000" w:firstRow="1" w:lastRow="0" w:firstColumn="0" w:lastColumn="0" w:oddVBand="0" w:evenVBand="0" w:oddHBand="0" w:evenHBand="0" w:firstRowFirstColumn="0" w:firstRowLastColumn="0" w:lastRowFirstColumn="0" w:lastRowLastColumn="0"/>
          <w:trHeight w:val="300"/>
          <w:tblHeader/>
        </w:trPr>
        <w:tc>
          <w:tcPr>
            <w:tcW w:w="3261" w:type="dxa"/>
            <w:noWrap/>
            <w:hideMark/>
          </w:tcPr>
          <w:p w14:paraId="6139594A" w14:textId="77777777" w:rsidR="004A49B0" w:rsidRPr="003720AF" w:rsidRDefault="004A49B0" w:rsidP="0087744B">
            <w:pPr>
              <w:spacing w:before="40" w:after="40"/>
              <w:rPr>
                <w:lang w:val="en-NZ"/>
              </w:rPr>
            </w:pPr>
            <w:r w:rsidRPr="003720AF">
              <w:rPr>
                <w:lang w:val="en-NZ"/>
              </w:rPr>
              <w:t>Characteristic</w:t>
            </w:r>
          </w:p>
        </w:tc>
        <w:tc>
          <w:tcPr>
            <w:tcW w:w="2972" w:type="dxa"/>
            <w:noWrap/>
            <w:hideMark/>
          </w:tcPr>
          <w:p w14:paraId="70234A84" w14:textId="77777777" w:rsidR="004A49B0" w:rsidRPr="003720AF" w:rsidRDefault="004A49B0" w:rsidP="0087744B">
            <w:pPr>
              <w:spacing w:before="40" w:after="40"/>
              <w:rPr>
                <w:lang w:val="en-NZ"/>
              </w:rPr>
            </w:pPr>
            <w:r w:rsidRPr="003720AF">
              <w:rPr>
                <w:lang w:val="en-NZ"/>
              </w:rPr>
              <w:t>OEHHA</w:t>
            </w:r>
          </w:p>
        </w:tc>
        <w:tc>
          <w:tcPr>
            <w:tcW w:w="3117" w:type="dxa"/>
            <w:noWrap/>
            <w:hideMark/>
          </w:tcPr>
          <w:p w14:paraId="14EE939B" w14:textId="77777777" w:rsidR="004A49B0" w:rsidRPr="003720AF" w:rsidRDefault="004A49B0" w:rsidP="0087744B">
            <w:pPr>
              <w:spacing w:before="40" w:after="40"/>
              <w:rPr>
                <w:lang w:val="en-NZ"/>
              </w:rPr>
            </w:pPr>
            <w:r w:rsidRPr="003720AF">
              <w:rPr>
                <w:lang w:val="en-NZ"/>
              </w:rPr>
              <w:t>CDPHE</w:t>
            </w:r>
          </w:p>
        </w:tc>
      </w:tr>
      <w:tr w:rsidR="004A49B0" w:rsidRPr="003720AF" w14:paraId="3F79DFF0" w14:textId="77777777" w:rsidTr="0087744B">
        <w:trPr>
          <w:trHeight w:val="300"/>
        </w:trPr>
        <w:tc>
          <w:tcPr>
            <w:tcW w:w="3261" w:type="dxa"/>
            <w:noWrap/>
            <w:hideMark/>
          </w:tcPr>
          <w:p w14:paraId="0BEAECEF" w14:textId="77777777" w:rsidR="004A49B0" w:rsidRPr="003720AF" w:rsidRDefault="004A49B0" w:rsidP="0087744B">
            <w:pPr>
              <w:spacing w:before="40" w:after="40"/>
              <w:rPr>
                <w:lang w:val="en-NZ"/>
              </w:rPr>
            </w:pPr>
            <w:r w:rsidRPr="003720AF">
              <w:rPr>
                <w:lang w:val="en-NZ"/>
              </w:rPr>
              <w:t>Model</w:t>
            </w:r>
          </w:p>
        </w:tc>
        <w:tc>
          <w:tcPr>
            <w:tcW w:w="2972" w:type="dxa"/>
            <w:noWrap/>
            <w:hideMark/>
          </w:tcPr>
          <w:p w14:paraId="4E905521" w14:textId="77777777" w:rsidR="004A49B0" w:rsidRPr="003720AF" w:rsidRDefault="004A49B0" w:rsidP="0087744B">
            <w:pPr>
              <w:spacing w:before="40" w:after="40"/>
              <w:rPr>
                <w:lang w:val="en-NZ"/>
              </w:rPr>
            </w:pPr>
            <w:r w:rsidRPr="003720AF">
              <w:rPr>
                <w:lang w:val="en-NZ"/>
              </w:rPr>
              <w:t>SHEDS-Multimedia v 3</w:t>
            </w:r>
          </w:p>
        </w:tc>
        <w:tc>
          <w:tcPr>
            <w:tcW w:w="3117" w:type="dxa"/>
            <w:noWrap/>
            <w:hideMark/>
          </w:tcPr>
          <w:p w14:paraId="121EB7B2" w14:textId="77777777" w:rsidR="004A49B0" w:rsidRPr="003720AF" w:rsidRDefault="004A49B0" w:rsidP="0087744B">
            <w:pPr>
              <w:spacing w:before="40" w:after="40"/>
              <w:rPr>
                <w:lang w:val="en-NZ"/>
              </w:rPr>
            </w:pPr>
            <w:r w:rsidRPr="003720AF">
              <w:rPr>
                <w:lang w:val="en-NZ"/>
              </w:rPr>
              <w:t>2001 SOP</w:t>
            </w:r>
          </w:p>
        </w:tc>
      </w:tr>
      <w:tr w:rsidR="004A49B0" w:rsidRPr="003720AF" w14:paraId="78B18AB3" w14:textId="77777777" w:rsidTr="0087744B">
        <w:trPr>
          <w:trHeight w:val="900"/>
        </w:trPr>
        <w:tc>
          <w:tcPr>
            <w:tcW w:w="3261" w:type="dxa"/>
            <w:noWrap/>
            <w:hideMark/>
          </w:tcPr>
          <w:p w14:paraId="4190BD79" w14:textId="77777777" w:rsidR="004A49B0" w:rsidRPr="003720AF" w:rsidRDefault="004A49B0" w:rsidP="0087744B">
            <w:pPr>
              <w:spacing w:before="40" w:after="40"/>
              <w:rPr>
                <w:lang w:val="en-NZ"/>
              </w:rPr>
            </w:pPr>
            <w:r w:rsidRPr="003720AF">
              <w:rPr>
                <w:lang w:val="en-NZ"/>
              </w:rPr>
              <w:t>Receptor ages</w:t>
            </w:r>
          </w:p>
        </w:tc>
        <w:tc>
          <w:tcPr>
            <w:tcW w:w="2972" w:type="dxa"/>
            <w:noWrap/>
            <w:hideMark/>
          </w:tcPr>
          <w:p w14:paraId="68C1A924" w14:textId="2EF57EA7" w:rsidR="004A49B0" w:rsidRPr="003720AF" w:rsidRDefault="004A49B0" w:rsidP="0087744B">
            <w:pPr>
              <w:spacing w:before="40" w:after="40"/>
              <w:rPr>
                <w:lang w:val="en-NZ"/>
              </w:rPr>
            </w:pPr>
            <w:r w:rsidRPr="003720AF">
              <w:rPr>
                <w:lang w:val="en-NZ"/>
              </w:rPr>
              <w:t xml:space="preserve">1 </w:t>
            </w:r>
            <w:r w:rsidR="0087744B" w:rsidRPr="003720AF">
              <w:rPr>
                <w:lang w:val="en-NZ"/>
              </w:rPr>
              <w:t xml:space="preserve">to </w:t>
            </w:r>
            <w:r w:rsidRPr="003720AF">
              <w:rPr>
                <w:lang w:val="en-NZ"/>
              </w:rPr>
              <w:t>≤ 2 years</w:t>
            </w:r>
          </w:p>
        </w:tc>
        <w:tc>
          <w:tcPr>
            <w:tcW w:w="3117" w:type="dxa"/>
            <w:hideMark/>
          </w:tcPr>
          <w:p w14:paraId="6882B047" w14:textId="77777777" w:rsidR="004A49B0" w:rsidRPr="003720AF" w:rsidRDefault="004A49B0" w:rsidP="0087744B">
            <w:pPr>
              <w:spacing w:before="40" w:after="40"/>
              <w:rPr>
                <w:lang w:val="en-NZ"/>
              </w:rPr>
            </w:pPr>
            <w:r w:rsidRPr="003720AF">
              <w:rPr>
                <w:lang w:val="en-NZ"/>
              </w:rPr>
              <w:t>1 year</w:t>
            </w:r>
            <w:r w:rsidRPr="003720AF">
              <w:rPr>
                <w:lang w:val="en-NZ"/>
              </w:rPr>
              <w:br/>
              <w:t>6 years</w:t>
            </w:r>
            <w:r w:rsidRPr="003720AF">
              <w:rPr>
                <w:lang w:val="en-NZ"/>
              </w:rPr>
              <w:br/>
              <w:t>Woman of child-bearing age</w:t>
            </w:r>
          </w:p>
        </w:tc>
      </w:tr>
      <w:tr w:rsidR="004A49B0" w:rsidRPr="003720AF" w14:paraId="29DE3CE9" w14:textId="77777777" w:rsidTr="0087744B">
        <w:trPr>
          <w:trHeight w:val="900"/>
        </w:trPr>
        <w:tc>
          <w:tcPr>
            <w:tcW w:w="3261" w:type="dxa"/>
            <w:noWrap/>
            <w:hideMark/>
          </w:tcPr>
          <w:p w14:paraId="4E22FF58" w14:textId="77777777" w:rsidR="004A49B0" w:rsidRPr="003720AF" w:rsidRDefault="004A49B0" w:rsidP="0087744B">
            <w:pPr>
              <w:spacing w:before="40" w:after="40"/>
              <w:rPr>
                <w:lang w:val="en-NZ"/>
              </w:rPr>
            </w:pPr>
            <w:r w:rsidRPr="003720AF">
              <w:rPr>
                <w:lang w:val="en-NZ"/>
              </w:rPr>
              <w:t>Exposure source</w:t>
            </w:r>
          </w:p>
        </w:tc>
        <w:tc>
          <w:tcPr>
            <w:tcW w:w="2972" w:type="dxa"/>
            <w:hideMark/>
          </w:tcPr>
          <w:p w14:paraId="2FAAB8CC" w14:textId="77777777" w:rsidR="004A49B0" w:rsidRPr="003720AF" w:rsidRDefault="004A49B0" w:rsidP="0087744B">
            <w:pPr>
              <w:spacing w:before="40" w:after="40"/>
              <w:rPr>
                <w:lang w:val="en-NZ"/>
              </w:rPr>
            </w:pPr>
            <w:r w:rsidRPr="003720AF">
              <w:rPr>
                <w:lang w:val="en-NZ"/>
              </w:rPr>
              <w:t>Hard floor</w:t>
            </w:r>
            <w:r w:rsidRPr="003720AF">
              <w:rPr>
                <w:lang w:val="en-NZ"/>
              </w:rPr>
              <w:br/>
              <w:t>Carpet</w:t>
            </w:r>
          </w:p>
        </w:tc>
        <w:tc>
          <w:tcPr>
            <w:tcW w:w="3117" w:type="dxa"/>
            <w:noWrap/>
            <w:hideMark/>
          </w:tcPr>
          <w:p w14:paraId="43803E2E" w14:textId="77777777" w:rsidR="004A49B0" w:rsidRPr="003720AF" w:rsidRDefault="004A49B0" w:rsidP="0087744B">
            <w:pPr>
              <w:spacing w:before="40" w:after="40"/>
              <w:rPr>
                <w:lang w:val="en-NZ"/>
              </w:rPr>
            </w:pPr>
            <w:r w:rsidRPr="003720AF">
              <w:rPr>
                <w:lang w:val="en-NZ"/>
              </w:rPr>
              <w:t>Hard floor (carpet assumed to have been removed in remediation)</w:t>
            </w:r>
          </w:p>
        </w:tc>
      </w:tr>
      <w:tr w:rsidR="004A49B0" w:rsidRPr="003720AF" w14:paraId="7FAC49B8" w14:textId="77777777" w:rsidTr="0087744B">
        <w:trPr>
          <w:trHeight w:val="1658"/>
        </w:trPr>
        <w:tc>
          <w:tcPr>
            <w:tcW w:w="3261" w:type="dxa"/>
            <w:noWrap/>
            <w:hideMark/>
          </w:tcPr>
          <w:p w14:paraId="4DD37416" w14:textId="77777777" w:rsidR="004A49B0" w:rsidRPr="003720AF" w:rsidRDefault="004A49B0" w:rsidP="0087744B">
            <w:pPr>
              <w:spacing w:before="40" w:after="40"/>
              <w:rPr>
                <w:lang w:val="en-NZ"/>
              </w:rPr>
            </w:pPr>
            <w:r w:rsidRPr="003720AF">
              <w:rPr>
                <w:lang w:val="en-NZ"/>
              </w:rPr>
              <w:t>Exposure route</w:t>
            </w:r>
          </w:p>
        </w:tc>
        <w:tc>
          <w:tcPr>
            <w:tcW w:w="2972" w:type="dxa"/>
            <w:noWrap/>
            <w:hideMark/>
          </w:tcPr>
          <w:p w14:paraId="441947BC" w14:textId="77777777" w:rsidR="004A49B0" w:rsidRPr="003720AF" w:rsidRDefault="004A49B0" w:rsidP="0087744B">
            <w:pPr>
              <w:pStyle w:val="ListParagraph"/>
              <w:numPr>
                <w:ilvl w:val="0"/>
                <w:numId w:val="31"/>
              </w:numPr>
              <w:spacing w:before="40" w:after="40"/>
              <w:ind w:left="229" w:hanging="270"/>
              <w:rPr>
                <w:lang w:val="en-NZ"/>
              </w:rPr>
            </w:pPr>
            <w:r w:rsidRPr="003720AF">
              <w:rPr>
                <w:lang w:val="en-NZ"/>
              </w:rPr>
              <w:t>Ingestion due to hand-to-mouth activities</w:t>
            </w:r>
          </w:p>
          <w:p w14:paraId="18E1C5AD" w14:textId="77777777" w:rsidR="004A49B0" w:rsidRPr="003720AF" w:rsidRDefault="004A49B0" w:rsidP="0087744B">
            <w:pPr>
              <w:pStyle w:val="ListParagraph"/>
              <w:numPr>
                <w:ilvl w:val="0"/>
                <w:numId w:val="31"/>
              </w:numPr>
              <w:spacing w:before="40" w:after="40"/>
              <w:ind w:left="229" w:hanging="270"/>
              <w:rPr>
                <w:lang w:val="en-NZ"/>
              </w:rPr>
            </w:pPr>
            <w:r w:rsidRPr="003720AF">
              <w:rPr>
                <w:lang w:val="en-NZ"/>
              </w:rPr>
              <w:t>Ingestion due to object mouthing</w:t>
            </w:r>
          </w:p>
          <w:p w14:paraId="2869312D" w14:textId="77777777" w:rsidR="004A49B0" w:rsidRPr="003720AF" w:rsidRDefault="004A49B0" w:rsidP="0087744B">
            <w:pPr>
              <w:pStyle w:val="ListParagraph"/>
              <w:numPr>
                <w:ilvl w:val="0"/>
                <w:numId w:val="31"/>
              </w:numPr>
              <w:spacing w:before="40" w:after="40"/>
              <w:ind w:left="229" w:hanging="270"/>
              <w:rPr>
                <w:lang w:val="en-NZ"/>
              </w:rPr>
            </w:pPr>
            <w:r w:rsidRPr="003720AF">
              <w:rPr>
                <w:lang w:val="en-NZ"/>
              </w:rPr>
              <w:t>Dermal contact (body)</w:t>
            </w:r>
          </w:p>
          <w:p w14:paraId="66904F15" w14:textId="77777777" w:rsidR="004A49B0" w:rsidRPr="003720AF" w:rsidRDefault="004A49B0" w:rsidP="0087744B">
            <w:pPr>
              <w:pStyle w:val="ListParagraph"/>
              <w:numPr>
                <w:ilvl w:val="0"/>
                <w:numId w:val="31"/>
              </w:numPr>
              <w:spacing w:before="40" w:after="40"/>
              <w:ind w:left="229" w:hanging="270"/>
              <w:rPr>
                <w:lang w:val="en-NZ"/>
              </w:rPr>
            </w:pPr>
            <w:r w:rsidRPr="003720AF">
              <w:rPr>
                <w:lang w:val="en-NZ"/>
              </w:rPr>
              <w:t>Dermal contact (hands)</w:t>
            </w:r>
          </w:p>
        </w:tc>
        <w:tc>
          <w:tcPr>
            <w:tcW w:w="3117" w:type="dxa"/>
            <w:noWrap/>
            <w:hideMark/>
          </w:tcPr>
          <w:p w14:paraId="4936BA43" w14:textId="77777777" w:rsidR="004A49B0" w:rsidRPr="003720AF" w:rsidRDefault="004A49B0" w:rsidP="0087744B">
            <w:pPr>
              <w:pStyle w:val="ListParagraph"/>
              <w:numPr>
                <w:ilvl w:val="0"/>
                <w:numId w:val="31"/>
              </w:numPr>
              <w:spacing w:before="40" w:after="40"/>
              <w:ind w:left="229" w:hanging="270"/>
              <w:rPr>
                <w:lang w:val="en-NZ"/>
              </w:rPr>
            </w:pPr>
            <w:r w:rsidRPr="003720AF">
              <w:rPr>
                <w:lang w:val="en-NZ"/>
              </w:rPr>
              <w:t>Ingestion due to hand-to-mouth activities</w:t>
            </w:r>
          </w:p>
          <w:p w14:paraId="539469D1" w14:textId="77777777" w:rsidR="004A49B0" w:rsidRPr="003720AF" w:rsidRDefault="004A49B0" w:rsidP="0087744B">
            <w:pPr>
              <w:pStyle w:val="ListParagraph"/>
              <w:numPr>
                <w:ilvl w:val="0"/>
                <w:numId w:val="31"/>
              </w:numPr>
              <w:spacing w:before="40" w:after="40"/>
              <w:ind w:left="229" w:hanging="270"/>
              <w:rPr>
                <w:lang w:val="en-NZ"/>
              </w:rPr>
            </w:pPr>
            <w:r w:rsidRPr="003720AF">
              <w:rPr>
                <w:lang w:val="en-NZ"/>
              </w:rPr>
              <w:t xml:space="preserve">Dermal contact </w:t>
            </w:r>
          </w:p>
        </w:tc>
      </w:tr>
      <w:tr w:rsidR="004A49B0" w:rsidRPr="003720AF" w14:paraId="1BF20608" w14:textId="77777777" w:rsidTr="0087744B">
        <w:trPr>
          <w:trHeight w:val="300"/>
        </w:trPr>
        <w:tc>
          <w:tcPr>
            <w:tcW w:w="3261" w:type="dxa"/>
            <w:noWrap/>
          </w:tcPr>
          <w:p w14:paraId="0F950D09" w14:textId="77777777" w:rsidR="004A49B0" w:rsidRPr="003720AF" w:rsidRDefault="004A49B0" w:rsidP="0087744B">
            <w:pPr>
              <w:spacing w:before="40" w:after="40"/>
              <w:rPr>
                <w:lang w:val="en-NZ"/>
              </w:rPr>
            </w:pPr>
            <w:r w:rsidRPr="003720AF">
              <w:rPr>
                <w:lang w:val="en-NZ"/>
              </w:rPr>
              <w:t>Oral absorption fraction</w:t>
            </w:r>
          </w:p>
        </w:tc>
        <w:tc>
          <w:tcPr>
            <w:tcW w:w="2972" w:type="dxa"/>
            <w:noWrap/>
          </w:tcPr>
          <w:p w14:paraId="6421C90A" w14:textId="77777777" w:rsidR="004A49B0" w:rsidRPr="003720AF" w:rsidRDefault="004A49B0" w:rsidP="0087744B">
            <w:pPr>
              <w:spacing w:before="40" w:after="40"/>
              <w:jc w:val="center"/>
              <w:rPr>
                <w:lang w:val="en-NZ"/>
              </w:rPr>
            </w:pPr>
            <w:r w:rsidRPr="003720AF">
              <w:rPr>
                <w:lang w:val="en-NZ"/>
              </w:rPr>
              <w:t>1</w:t>
            </w:r>
          </w:p>
        </w:tc>
        <w:tc>
          <w:tcPr>
            <w:tcW w:w="3117" w:type="dxa"/>
            <w:noWrap/>
          </w:tcPr>
          <w:p w14:paraId="7F2A7C5D" w14:textId="77777777" w:rsidR="004A49B0" w:rsidRPr="003720AF" w:rsidRDefault="004A49B0" w:rsidP="0087744B">
            <w:pPr>
              <w:spacing w:before="40" w:after="40"/>
              <w:jc w:val="center"/>
              <w:rPr>
                <w:lang w:val="en-NZ"/>
              </w:rPr>
            </w:pPr>
            <w:r w:rsidRPr="003720AF">
              <w:rPr>
                <w:lang w:val="en-NZ"/>
              </w:rPr>
              <w:t>1</w:t>
            </w:r>
          </w:p>
        </w:tc>
      </w:tr>
      <w:tr w:rsidR="004A49B0" w:rsidRPr="003720AF" w14:paraId="7EE2DEE5" w14:textId="77777777" w:rsidTr="0087744B">
        <w:trPr>
          <w:trHeight w:val="300"/>
        </w:trPr>
        <w:tc>
          <w:tcPr>
            <w:tcW w:w="3261" w:type="dxa"/>
            <w:noWrap/>
          </w:tcPr>
          <w:p w14:paraId="2EDE1954" w14:textId="77777777" w:rsidR="004A49B0" w:rsidRPr="003720AF" w:rsidRDefault="004A49B0" w:rsidP="0087744B">
            <w:pPr>
              <w:spacing w:before="40" w:after="40"/>
              <w:rPr>
                <w:lang w:val="en-NZ"/>
              </w:rPr>
            </w:pPr>
            <w:r w:rsidRPr="003720AF">
              <w:rPr>
                <w:lang w:val="en-NZ"/>
              </w:rPr>
              <w:t>Dermal absorption fraction</w:t>
            </w:r>
          </w:p>
        </w:tc>
        <w:tc>
          <w:tcPr>
            <w:tcW w:w="2972" w:type="dxa"/>
            <w:noWrap/>
          </w:tcPr>
          <w:p w14:paraId="197E7CBE" w14:textId="77777777" w:rsidR="004A49B0" w:rsidRPr="003720AF" w:rsidRDefault="004A49B0" w:rsidP="0087744B">
            <w:pPr>
              <w:spacing w:before="40" w:after="40"/>
              <w:jc w:val="center"/>
              <w:rPr>
                <w:lang w:val="en-NZ"/>
              </w:rPr>
            </w:pPr>
            <w:r w:rsidRPr="003720AF">
              <w:rPr>
                <w:lang w:val="en-NZ"/>
              </w:rPr>
              <w:t>0.57</w:t>
            </w:r>
          </w:p>
        </w:tc>
        <w:tc>
          <w:tcPr>
            <w:tcW w:w="3117" w:type="dxa"/>
            <w:noWrap/>
          </w:tcPr>
          <w:p w14:paraId="2484349B" w14:textId="77777777" w:rsidR="004A49B0" w:rsidRPr="003720AF" w:rsidRDefault="004A49B0" w:rsidP="0087744B">
            <w:pPr>
              <w:spacing w:before="40" w:after="40"/>
              <w:jc w:val="center"/>
              <w:rPr>
                <w:lang w:val="en-NZ"/>
              </w:rPr>
            </w:pPr>
            <w:r w:rsidRPr="003720AF">
              <w:rPr>
                <w:lang w:val="en-NZ"/>
              </w:rPr>
              <w:t>0.1</w:t>
            </w:r>
          </w:p>
        </w:tc>
      </w:tr>
      <w:tr w:rsidR="004A49B0" w:rsidRPr="003720AF" w14:paraId="65C31642" w14:textId="77777777" w:rsidTr="0087744B">
        <w:trPr>
          <w:trHeight w:val="300"/>
        </w:trPr>
        <w:tc>
          <w:tcPr>
            <w:tcW w:w="3261" w:type="dxa"/>
            <w:noWrap/>
          </w:tcPr>
          <w:p w14:paraId="608DE70F" w14:textId="77777777" w:rsidR="004A49B0" w:rsidRPr="003720AF" w:rsidRDefault="004A49B0" w:rsidP="0087744B">
            <w:pPr>
              <w:spacing w:before="40" w:after="40"/>
              <w:rPr>
                <w:lang w:val="en-NZ"/>
              </w:rPr>
            </w:pPr>
            <w:r w:rsidRPr="003720AF">
              <w:rPr>
                <w:lang w:val="en-NZ"/>
              </w:rPr>
              <w:t>Hand-to-mouth frequency (h</w:t>
            </w:r>
            <w:r w:rsidRPr="003720AF">
              <w:rPr>
                <w:vertAlign w:val="superscript"/>
                <w:lang w:val="en-NZ"/>
              </w:rPr>
              <w:t>-1</w:t>
            </w:r>
            <w:r w:rsidRPr="003720AF">
              <w:rPr>
                <w:lang w:val="en-NZ"/>
              </w:rPr>
              <w:t>)</w:t>
            </w:r>
          </w:p>
        </w:tc>
        <w:tc>
          <w:tcPr>
            <w:tcW w:w="2972" w:type="dxa"/>
            <w:noWrap/>
          </w:tcPr>
          <w:p w14:paraId="3EE60BA2" w14:textId="77777777" w:rsidR="004A49B0" w:rsidRPr="003720AF" w:rsidRDefault="004A49B0" w:rsidP="0087744B">
            <w:pPr>
              <w:spacing w:before="40" w:after="40"/>
              <w:jc w:val="center"/>
              <w:rPr>
                <w:lang w:val="en-NZ"/>
              </w:rPr>
            </w:pPr>
            <w:r w:rsidRPr="003720AF">
              <w:rPr>
                <w:lang w:val="en-NZ"/>
              </w:rPr>
              <w:t>19.6</w:t>
            </w:r>
          </w:p>
        </w:tc>
        <w:tc>
          <w:tcPr>
            <w:tcW w:w="3117" w:type="dxa"/>
            <w:noWrap/>
          </w:tcPr>
          <w:p w14:paraId="1A590FE2" w14:textId="77777777" w:rsidR="004A49B0" w:rsidRPr="003720AF" w:rsidRDefault="004A49B0" w:rsidP="0087744B">
            <w:pPr>
              <w:spacing w:before="40" w:after="40"/>
              <w:jc w:val="center"/>
              <w:rPr>
                <w:lang w:val="en-NZ"/>
              </w:rPr>
            </w:pPr>
            <w:r w:rsidRPr="003720AF">
              <w:rPr>
                <w:lang w:val="en-NZ"/>
              </w:rPr>
              <w:t>9.5</w:t>
            </w:r>
          </w:p>
        </w:tc>
      </w:tr>
      <w:tr w:rsidR="004A49B0" w:rsidRPr="003720AF" w14:paraId="0429229D" w14:textId="77777777" w:rsidTr="0087744B">
        <w:trPr>
          <w:trHeight w:val="300"/>
        </w:trPr>
        <w:tc>
          <w:tcPr>
            <w:tcW w:w="3261" w:type="dxa"/>
            <w:noWrap/>
          </w:tcPr>
          <w:p w14:paraId="0839D4EC" w14:textId="77777777" w:rsidR="004A49B0" w:rsidRPr="003720AF" w:rsidRDefault="004A49B0" w:rsidP="0087744B">
            <w:pPr>
              <w:spacing w:before="40" w:after="40"/>
              <w:rPr>
                <w:lang w:val="en-NZ"/>
              </w:rPr>
            </w:pPr>
            <w:r w:rsidRPr="003720AF">
              <w:rPr>
                <w:lang w:val="en-NZ"/>
              </w:rPr>
              <w:t>Total dose (mg/kg-d) to infant at surface concentration of 0.1 µg/100 cm</w:t>
            </w:r>
            <w:r w:rsidRPr="003720AF">
              <w:rPr>
                <w:vertAlign w:val="superscript"/>
                <w:lang w:val="en-NZ"/>
              </w:rPr>
              <w:t>2</w:t>
            </w:r>
            <w:r w:rsidRPr="003720AF">
              <w:rPr>
                <w:lang w:val="en-NZ"/>
              </w:rPr>
              <w:t xml:space="preserve"> </w:t>
            </w:r>
          </w:p>
        </w:tc>
        <w:tc>
          <w:tcPr>
            <w:tcW w:w="2972" w:type="dxa"/>
            <w:noWrap/>
          </w:tcPr>
          <w:p w14:paraId="2DAA0746" w14:textId="77777777" w:rsidR="004A49B0" w:rsidRPr="003720AF" w:rsidRDefault="004A49B0" w:rsidP="0087744B">
            <w:pPr>
              <w:spacing w:before="40" w:after="40"/>
              <w:jc w:val="center"/>
              <w:rPr>
                <w:lang w:val="en-NZ"/>
              </w:rPr>
            </w:pPr>
            <w:r w:rsidRPr="003720AF">
              <w:rPr>
                <w:lang w:val="en-NZ"/>
              </w:rPr>
              <w:t>0.00002</w:t>
            </w:r>
          </w:p>
        </w:tc>
        <w:tc>
          <w:tcPr>
            <w:tcW w:w="3117" w:type="dxa"/>
            <w:noWrap/>
          </w:tcPr>
          <w:p w14:paraId="6EE5E257" w14:textId="77777777" w:rsidR="004A49B0" w:rsidRPr="003720AF" w:rsidRDefault="004A49B0" w:rsidP="0087744B">
            <w:pPr>
              <w:spacing w:before="40" w:after="40"/>
              <w:jc w:val="center"/>
              <w:rPr>
                <w:lang w:val="en-NZ"/>
              </w:rPr>
            </w:pPr>
            <w:r w:rsidRPr="003720AF">
              <w:rPr>
                <w:lang w:val="en-NZ"/>
              </w:rPr>
              <w:t>0.00004</w:t>
            </w:r>
          </w:p>
        </w:tc>
      </w:tr>
      <w:tr w:rsidR="004A49B0" w:rsidRPr="003720AF" w14:paraId="75F1ADFD" w14:textId="77777777" w:rsidTr="0087744B">
        <w:trPr>
          <w:trHeight w:val="300"/>
        </w:trPr>
        <w:tc>
          <w:tcPr>
            <w:tcW w:w="3261" w:type="dxa"/>
            <w:noWrap/>
            <w:hideMark/>
          </w:tcPr>
          <w:p w14:paraId="39219004" w14:textId="77777777" w:rsidR="004A49B0" w:rsidRPr="003720AF" w:rsidRDefault="004A49B0" w:rsidP="0087744B">
            <w:pPr>
              <w:spacing w:before="40" w:after="40"/>
              <w:rPr>
                <w:lang w:val="en-NZ"/>
              </w:rPr>
            </w:pPr>
            <w:r w:rsidRPr="003720AF">
              <w:rPr>
                <w:lang w:val="en-NZ"/>
              </w:rPr>
              <w:t>Surface concentration corresponding to OEHHA RfD (0.0003 mg/kg-d) (µg/100 cm</w:t>
            </w:r>
            <w:r w:rsidRPr="003720AF">
              <w:rPr>
                <w:vertAlign w:val="superscript"/>
                <w:lang w:val="en-NZ"/>
              </w:rPr>
              <w:t>2</w:t>
            </w:r>
            <w:r w:rsidRPr="003720AF">
              <w:rPr>
                <w:lang w:val="en-NZ"/>
              </w:rPr>
              <w:t>)</w:t>
            </w:r>
          </w:p>
        </w:tc>
        <w:tc>
          <w:tcPr>
            <w:tcW w:w="2972" w:type="dxa"/>
            <w:noWrap/>
            <w:hideMark/>
          </w:tcPr>
          <w:p w14:paraId="579EBF05" w14:textId="77777777" w:rsidR="004A49B0" w:rsidRPr="003720AF" w:rsidRDefault="004A49B0" w:rsidP="0087744B">
            <w:pPr>
              <w:spacing w:before="40" w:after="40"/>
              <w:jc w:val="center"/>
              <w:rPr>
                <w:lang w:val="en-NZ"/>
              </w:rPr>
            </w:pPr>
            <w:r w:rsidRPr="003720AF">
              <w:rPr>
                <w:lang w:val="en-NZ"/>
              </w:rPr>
              <w:t>1.5</w:t>
            </w:r>
          </w:p>
        </w:tc>
        <w:tc>
          <w:tcPr>
            <w:tcW w:w="3117" w:type="dxa"/>
            <w:noWrap/>
            <w:hideMark/>
          </w:tcPr>
          <w:p w14:paraId="00130D4B" w14:textId="77777777" w:rsidR="004A49B0" w:rsidRPr="003720AF" w:rsidRDefault="004A49B0" w:rsidP="0087744B">
            <w:pPr>
              <w:spacing w:before="40" w:after="40"/>
              <w:jc w:val="center"/>
              <w:rPr>
                <w:lang w:val="en-NZ"/>
              </w:rPr>
            </w:pPr>
            <w:r w:rsidRPr="003720AF">
              <w:rPr>
                <w:lang w:val="en-NZ"/>
              </w:rPr>
              <w:t>0.8</w:t>
            </w:r>
          </w:p>
        </w:tc>
      </w:tr>
    </w:tbl>
    <w:p w14:paraId="53ACC882" w14:textId="77777777" w:rsidR="004A49B0" w:rsidRPr="003720AF" w:rsidRDefault="004A49B0" w:rsidP="004A49B0">
      <w:pPr>
        <w:pStyle w:val="BodyText"/>
        <w:rPr>
          <w:szCs w:val="24"/>
        </w:rPr>
      </w:pPr>
    </w:p>
    <w:p w14:paraId="2695059C" w14:textId="77777777" w:rsidR="004A49B0" w:rsidRPr="003720AF" w:rsidRDefault="004A49B0" w:rsidP="00825551">
      <w:pPr>
        <w:pStyle w:val="AppendixHeading2"/>
        <w:ind w:left="567"/>
        <w:rPr>
          <w:b/>
        </w:rPr>
      </w:pPr>
      <w:bookmarkStart w:id="62" w:name="_Toc463482642"/>
      <w:bookmarkStart w:id="63" w:name="_Toc463856052"/>
      <w:r w:rsidRPr="003720AF">
        <w:rPr>
          <w:b/>
        </w:rPr>
        <w:t>Suggested approach to characterizing post-remediation methamphetamine exposure in New Zealand</w:t>
      </w:r>
      <w:bookmarkEnd w:id="62"/>
      <w:bookmarkEnd w:id="63"/>
    </w:p>
    <w:p w14:paraId="3E04F81B" w14:textId="77777777" w:rsidR="004A49B0" w:rsidRPr="003720AF" w:rsidRDefault="004A49B0" w:rsidP="00C225D4">
      <w:pPr>
        <w:pStyle w:val="BodyText"/>
        <w:spacing w:line="360" w:lineRule="auto"/>
        <w:jc w:val="left"/>
        <w:rPr>
          <w:szCs w:val="24"/>
        </w:rPr>
      </w:pPr>
      <w:r w:rsidRPr="003720AF">
        <w:rPr>
          <w:szCs w:val="24"/>
        </w:rPr>
        <w:t xml:space="preserve">The flexible and powerful SHEDS-Multimedia model permits users to specify chemical- and scenario-specific parameter values and distributions as inputs, yielding a distribution of </w:t>
      </w:r>
      <w:r w:rsidRPr="003720AF">
        <w:rPr>
          <w:szCs w:val="24"/>
        </w:rPr>
        <w:lastRenderedPageBreak/>
        <w:t xml:space="preserve">potential exposures to receptors of concern. However, it requires SAS software and considerable expertise to run. For purposes of developing conservative (health-protective) cleanup criteria, the USEPA and other authorities typically rely on much simpler deterministic models such as the SOP that provide upper-bound but not unrealistic exposure estimates. While calculated exposures may represent only the higher percentiles of the exposed population, the models are straightforward to use (and modify), and provide confidence that exposure is not underestimated. Values for critical exposure parameters such as surface-to-skin transfer efficiency and dermal absorption fraction can be readily updated as scenario- and chemical-specific research data become available. </w:t>
      </w:r>
    </w:p>
    <w:p w14:paraId="5FAEF3C1" w14:textId="7DCE559B" w:rsidR="004A49B0" w:rsidRPr="003720AF" w:rsidRDefault="004A49B0" w:rsidP="00C225D4">
      <w:pPr>
        <w:pStyle w:val="BodyText"/>
        <w:spacing w:line="360" w:lineRule="auto"/>
        <w:jc w:val="left"/>
        <w:rPr>
          <w:szCs w:val="24"/>
        </w:rPr>
      </w:pPr>
      <w:r w:rsidRPr="003720AF">
        <w:rPr>
          <w:szCs w:val="24"/>
        </w:rPr>
        <w:t xml:space="preserve">The overall methodology/algorithms in USEPA’s Residential SOP were substantially revised and updated in 2012 to include the most reliable scientific data available. Data analyses were performed with more complete or appropriate statistical procedures, including distributional analyses to evaluate a more complete range of potential exposure parameter values. </w:t>
      </w:r>
      <w:r w:rsidR="00110655" w:rsidRPr="003720AF">
        <w:rPr>
          <w:szCs w:val="24"/>
        </w:rPr>
        <w:t>Use of t</w:t>
      </w:r>
      <w:r w:rsidRPr="003720AF">
        <w:rPr>
          <w:szCs w:val="24"/>
        </w:rPr>
        <w:t>he 2012 SOP results in lower dermal and oral exposure estimates than the 2001 version due to incorporation of a modified version of the algorithm utilized in the SHEDS model</w:t>
      </w:r>
      <w:r w:rsidR="00110655" w:rsidRPr="003720AF">
        <w:rPr>
          <w:szCs w:val="24"/>
        </w:rPr>
        <w:t>. This</w:t>
      </w:r>
      <w:r w:rsidRPr="003720AF">
        <w:rPr>
          <w:szCs w:val="24"/>
        </w:rPr>
        <w:t xml:space="preserve"> reflect</w:t>
      </w:r>
      <w:r w:rsidR="00110655" w:rsidRPr="003720AF">
        <w:rPr>
          <w:szCs w:val="24"/>
        </w:rPr>
        <w:t>s</w:t>
      </w:r>
      <w:r w:rsidRPr="003720AF">
        <w:rPr>
          <w:szCs w:val="24"/>
        </w:rPr>
        <w:t xml:space="preserve"> a more realistic removal/replenishment mechanism between hand/object</w:t>
      </w:r>
      <w:r w:rsidR="00110655" w:rsidRPr="003720AF">
        <w:rPr>
          <w:szCs w:val="24"/>
        </w:rPr>
        <w:t xml:space="preserve"> mouthing events, and establishes</w:t>
      </w:r>
      <w:r w:rsidRPr="003720AF">
        <w:rPr>
          <w:szCs w:val="24"/>
        </w:rPr>
        <w:t xml:space="preserve"> a maximum dermal hand loading. Of note is the fact that key parameters observed by OEHHA to be overestimated in the 2001 SOP available to them, dermal absorption and dermal transfer coefficient, have also been better defined. </w:t>
      </w:r>
    </w:p>
    <w:p w14:paraId="55CA2C0C" w14:textId="77777777" w:rsidR="004A49B0" w:rsidRPr="003720AF" w:rsidRDefault="004A49B0" w:rsidP="00825551">
      <w:pPr>
        <w:pStyle w:val="AppendixHeading3"/>
        <w:rPr>
          <w:b/>
        </w:rPr>
      </w:pPr>
      <w:bookmarkStart w:id="64" w:name="_Toc463482643"/>
      <w:bookmarkStart w:id="65" w:name="_Toc463856053"/>
      <w:r w:rsidRPr="003720AF">
        <w:rPr>
          <w:b/>
        </w:rPr>
        <w:t>Receptors and exposure pathways</w:t>
      </w:r>
      <w:bookmarkEnd w:id="64"/>
      <w:bookmarkEnd w:id="65"/>
    </w:p>
    <w:p w14:paraId="4808A8A4" w14:textId="2B160F51" w:rsidR="004A49B0" w:rsidRPr="003720AF" w:rsidRDefault="004A49B0" w:rsidP="00C225D4">
      <w:pPr>
        <w:pStyle w:val="BodyText"/>
        <w:spacing w:line="360" w:lineRule="auto"/>
        <w:jc w:val="left"/>
      </w:pPr>
      <w:r w:rsidRPr="003720AF">
        <w:t>To support calculation of a scientifically defensible risk-based surface cleanup criterion for methamphetamine, the 2012 SOP post-application indoor exposure scenario had been adapted to represent post-remediation conditions in residences formerly used as clan</w:t>
      </w:r>
      <w:r w:rsidR="0087744B" w:rsidRPr="003720AF">
        <w:t xml:space="preserve"> labs</w:t>
      </w:r>
      <w:r w:rsidRPr="003720AF">
        <w:t>. Methamphetamine residues may be present on carpeted and hard surfaces, and exposure duration is expected to be chronic (greater than six months) (USEPA 2012</w:t>
      </w:r>
      <w:r w:rsidR="0087744B" w:rsidRPr="003720AF">
        <w:t>). However, because current New Zealand Ministry of Health</w:t>
      </w:r>
      <w:r w:rsidRPr="003720AF">
        <w:t xml:space="preserve"> removal and remediation guidelines specify that carpeting and all other absorbent materials should be removed (</w:t>
      </w:r>
      <w:r w:rsidR="0087744B" w:rsidRPr="003720AF">
        <w:t>MoH</w:t>
      </w:r>
      <w:r w:rsidRPr="003720AF">
        <w:t xml:space="preserve"> 2010), only hard surfaces are considered exposure sources. Receptors of concern are (1) young children aged 1 to ≤ 2 years (expected to be maximally exposed due to primarily indoor presence and high degree of hand-to-mouth contact) (USEPA 2005), and (2) women of child-bearing age (13 through 49 years) whose f</w:t>
      </w:r>
      <w:r w:rsidR="009336F2" w:rsidRPr="003720AF">
        <w:t>o</w:t>
      </w:r>
      <w:r w:rsidRPr="003720AF">
        <w:t xml:space="preserve">etuses could be at risk. </w:t>
      </w:r>
    </w:p>
    <w:p w14:paraId="0F3A8515" w14:textId="77777777" w:rsidR="004A49B0" w:rsidRPr="003720AF" w:rsidRDefault="004A49B0" w:rsidP="00C225D4">
      <w:pPr>
        <w:pStyle w:val="BodyText"/>
        <w:spacing w:line="360" w:lineRule="auto"/>
        <w:jc w:val="left"/>
      </w:pPr>
      <w:r w:rsidRPr="003720AF">
        <w:t xml:space="preserve">Neither OEHHA nor CDPHE considered inhalation to be a significant exposure route for methamphetamine in remediated houses. Both adults and children may be exposed via </w:t>
      </w:r>
      <w:r w:rsidRPr="003720AF">
        <w:lastRenderedPageBreak/>
        <w:t>dermal contact and absorption. Young children may also receive oral exposures via mouthing of their hands and objects, but this exposure route is considered insignificant for adults and hence omitted from the model (USEPA 2012). Because potential exposure via object mouthing appears to be relatively small, and was not considered by CDPHE (Hammon and Griffin 2007) or discussed in detail by OEHHA (OEHHA 2009a), it is not included here.</w:t>
      </w:r>
    </w:p>
    <w:p w14:paraId="53102083" w14:textId="77777777" w:rsidR="004A49B0" w:rsidRPr="003720AF" w:rsidRDefault="004A49B0" w:rsidP="00825551">
      <w:pPr>
        <w:pStyle w:val="AppendixHeading3"/>
        <w:rPr>
          <w:b/>
        </w:rPr>
      </w:pPr>
      <w:bookmarkStart w:id="66" w:name="_Toc463482644"/>
      <w:bookmarkStart w:id="67" w:name="_Toc463856054"/>
      <w:r w:rsidRPr="003720AF">
        <w:rPr>
          <w:b/>
        </w:rPr>
        <w:t>Exposure equations</w:t>
      </w:r>
      <w:bookmarkEnd w:id="66"/>
      <w:bookmarkEnd w:id="67"/>
    </w:p>
    <w:p w14:paraId="2CBC3009" w14:textId="77777777" w:rsidR="004A49B0" w:rsidRPr="003720AF" w:rsidRDefault="004A49B0" w:rsidP="00C225D4">
      <w:pPr>
        <w:pStyle w:val="BodyText"/>
        <w:spacing w:line="360" w:lineRule="auto"/>
        <w:jc w:val="left"/>
      </w:pPr>
      <w:r w:rsidRPr="003720AF">
        <w:t>An electronic spreadsheet for calculating indoor exposures according to the 2012 SOP is available online.</w:t>
      </w:r>
      <w:r w:rsidRPr="003720AF">
        <w:rPr>
          <w:rStyle w:val="FootnoteReference"/>
        </w:rPr>
        <w:footnoteReference w:id="1"/>
      </w:r>
      <w:r w:rsidRPr="003720AF">
        <w:t xml:space="preserve"> The general equation used in this spreadsheet for exposure via dermal contact and absorption (assuming the same residue concentration on hard and soft surfaces) is:</w:t>
      </w:r>
    </w:p>
    <w:p w14:paraId="4A8B9911" w14:textId="77777777" w:rsidR="004A49B0" w:rsidRPr="003720AF" w:rsidRDefault="004A49B0" w:rsidP="004A49B0">
      <w:pPr>
        <w:pStyle w:val="Equation"/>
        <w:rPr>
          <w:lang w:val="en-NZ"/>
        </w:rPr>
      </w:pPr>
      <w:r w:rsidRPr="003720AF">
        <w:rPr>
          <w:lang w:val="en-NZ"/>
        </w:rPr>
        <w:tab/>
      </w:r>
      <w:r w:rsidRPr="003720AF">
        <w:rPr>
          <w:position w:val="-30"/>
          <w:lang w:val="en-NZ"/>
        </w:rPr>
        <w:object w:dxaOrig="5420" w:dyaOrig="999" w14:anchorId="3E2756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2.95pt;height:50.5pt" o:ole="">
            <v:imagedata r:id="rId54" o:title=""/>
          </v:shape>
          <o:OLEObject Type="Embed" ProgID="Equation.DSMT4" ShapeID="_x0000_i1025" DrawAspect="Content" ObjectID="_1551178469" r:id="rId55"/>
        </w:object>
      </w:r>
      <w:r w:rsidRPr="003720AF">
        <w:rPr>
          <w:lang w:val="en-NZ"/>
        </w:rPr>
        <w:t xml:space="preserve"> </w:t>
      </w:r>
      <w:r w:rsidRPr="003720AF">
        <w:rPr>
          <w:lang w:val="en-NZ"/>
        </w:rPr>
        <w:tab/>
      </w:r>
      <w:r w:rsidRPr="003720AF">
        <w:rPr>
          <w:lang w:val="en-NZ"/>
        </w:rPr>
        <w:fldChar w:fldCharType="begin"/>
      </w:r>
      <w:r w:rsidRPr="003720AF">
        <w:rPr>
          <w:lang w:val="en-NZ"/>
        </w:rPr>
        <w:instrText xml:space="preserve"> MACROBUTTON MTPlaceRef \* MERGEFORMAT </w:instrText>
      </w:r>
      <w:r w:rsidRPr="003720AF">
        <w:rPr>
          <w:lang w:val="en-NZ"/>
        </w:rPr>
        <w:fldChar w:fldCharType="begin"/>
      </w:r>
      <w:r w:rsidRPr="003720AF">
        <w:rPr>
          <w:lang w:val="en-NZ"/>
        </w:rPr>
        <w:instrText xml:space="preserve"> SEQ MTEqn \h \* MERGEFORMAT </w:instrText>
      </w:r>
      <w:r w:rsidRPr="003720AF">
        <w:rPr>
          <w:lang w:val="en-NZ"/>
        </w:rPr>
        <w:fldChar w:fldCharType="end"/>
      </w:r>
      <w:bookmarkStart w:id="68" w:name="ZEqnNum240937"/>
      <w:r w:rsidRPr="003720AF">
        <w:rPr>
          <w:lang w:val="en-NZ"/>
        </w:rPr>
        <w:instrText>{</w:instrText>
      </w:r>
      <w:r w:rsidR="00E66261" w:rsidRPr="003720AF">
        <w:rPr>
          <w:lang w:val="en-NZ"/>
        </w:rPr>
        <w:fldChar w:fldCharType="begin"/>
      </w:r>
      <w:r w:rsidR="00E66261" w:rsidRPr="003720AF">
        <w:rPr>
          <w:lang w:val="en-NZ"/>
        </w:rPr>
        <w:instrText xml:space="preserve"> SEQ MTEqn \c \* Arabic \* MERGEFORMAT </w:instrText>
      </w:r>
      <w:r w:rsidR="00E66261" w:rsidRPr="003720AF">
        <w:rPr>
          <w:lang w:val="en-NZ"/>
        </w:rPr>
        <w:fldChar w:fldCharType="separate"/>
      </w:r>
      <w:r w:rsidR="00F6014F">
        <w:rPr>
          <w:noProof/>
          <w:lang w:val="en-NZ"/>
        </w:rPr>
        <w:instrText>1</w:instrText>
      </w:r>
      <w:r w:rsidR="00E66261" w:rsidRPr="003720AF">
        <w:rPr>
          <w:noProof/>
          <w:lang w:val="en-NZ"/>
        </w:rPr>
        <w:fldChar w:fldCharType="end"/>
      </w:r>
      <w:r w:rsidRPr="003720AF">
        <w:rPr>
          <w:lang w:val="en-NZ"/>
        </w:rPr>
        <w:instrText>}</w:instrText>
      </w:r>
      <w:bookmarkEnd w:id="68"/>
      <w:r w:rsidRPr="003720AF">
        <w:rPr>
          <w:lang w:val="en-NZ"/>
        </w:rPr>
        <w:fldChar w:fldCharType="end"/>
      </w:r>
    </w:p>
    <w:p w14:paraId="687C0C2C" w14:textId="77777777" w:rsidR="004A49B0" w:rsidRPr="003720AF" w:rsidRDefault="004A49B0" w:rsidP="004A49B0">
      <w:pPr>
        <w:pStyle w:val="BodyText"/>
      </w:pPr>
      <w:r w:rsidRPr="003720AF">
        <w:t>where:</w:t>
      </w:r>
    </w:p>
    <w:tbl>
      <w:tblPr>
        <w:tblStyle w:val="Reporttable"/>
        <w:tblW w:w="0" w:type="auto"/>
        <w:tblLook w:val="0600" w:firstRow="0" w:lastRow="0" w:firstColumn="0" w:lastColumn="0" w:noHBand="1" w:noVBand="1"/>
      </w:tblPr>
      <w:tblGrid>
        <w:gridCol w:w="1710"/>
        <w:gridCol w:w="7928"/>
      </w:tblGrid>
      <w:tr w:rsidR="004A49B0" w:rsidRPr="003720AF" w14:paraId="44440143" w14:textId="77777777" w:rsidTr="004A49B0">
        <w:tc>
          <w:tcPr>
            <w:tcW w:w="1710" w:type="dxa"/>
          </w:tcPr>
          <w:p w14:paraId="79EBDC82" w14:textId="77777777" w:rsidR="004A49B0" w:rsidRPr="003720AF" w:rsidRDefault="004A49B0" w:rsidP="004A49B0">
            <w:pPr>
              <w:pStyle w:val="BodyText"/>
              <w:spacing w:after="0" w:line="240" w:lineRule="auto"/>
              <w:rPr>
                <w:sz w:val="20"/>
                <w:vertAlign w:val="subscript"/>
                <w:lang w:val="en-NZ"/>
              </w:rPr>
            </w:pPr>
            <w:r w:rsidRPr="003720AF">
              <w:rPr>
                <w:sz w:val="20"/>
                <w:lang w:val="en-NZ"/>
              </w:rPr>
              <w:t>ABS</w:t>
            </w:r>
            <w:r w:rsidRPr="003720AF">
              <w:rPr>
                <w:sz w:val="20"/>
                <w:vertAlign w:val="subscript"/>
                <w:lang w:val="en-NZ"/>
              </w:rPr>
              <w:t>d</w:t>
            </w:r>
          </w:p>
        </w:tc>
        <w:tc>
          <w:tcPr>
            <w:tcW w:w="7928" w:type="dxa"/>
          </w:tcPr>
          <w:p w14:paraId="68774FF9" w14:textId="77777777" w:rsidR="004A49B0" w:rsidRPr="003720AF" w:rsidRDefault="004A49B0" w:rsidP="004A49B0">
            <w:pPr>
              <w:pStyle w:val="BodyText"/>
              <w:spacing w:after="0" w:line="240" w:lineRule="auto"/>
              <w:rPr>
                <w:sz w:val="20"/>
                <w:lang w:val="en-NZ"/>
              </w:rPr>
            </w:pPr>
            <w:r w:rsidRPr="003720AF">
              <w:rPr>
                <w:sz w:val="20"/>
                <w:lang w:val="en-NZ"/>
              </w:rPr>
              <w:t>Dermal absorption fraction (unitless)</w:t>
            </w:r>
          </w:p>
        </w:tc>
      </w:tr>
      <w:tr w:rsidR="004A49B0" w:rsidRPr="003720AF" w14:paraId="551E4F7D" w14:textId="77777777" w:rsidTr="004A49B0">
        <w:tc>
          <w:tcPr>
            <w:tcW w:w="1710" w:type="dxa"/>
          </w:tcPr>
          <w:p w14:paraId="7FF14034" w14:textId="77777777" w:rsidR="004A49B0" w:rsidRPr="003720AF" w:rsidRDefault="004A49B0" w:rsidP="004A49B0">
            <w:pPr>
              <w:pStyle w:val="BodyText"/>
              <w:spacing w:after="0" w:line="240" w:lineRule="auto"/>
              <w:rPr>
                <w:sz w:val="20"/>
                <w:lang w:val="en-NZ"/>
              </w:rPr>
            </w:pPr>
            <w:r w:rsidRPr="003720AF">
              <w:rPr>
                <w:sz w:val="20"/>
                <w:lang w:val="en-NZ"/>
              </w:rPr>
              <w:t>BW</w:t>
            </w:r>
          </w:p>
        </w:tc>
        <w:tc>
          <w:tcPr>
            <w:tcW w:w="7928" w:type="dxa"/>
          </w:tcPr>
          <w:p w14:paraId="6538F510" w14:textId="77777777" w:rsidR="004A49B0" w:rsidRPr="003720AF" w:rsidRDefault="004A49B0" w:rsidP="004A49B0">
            <w:pPr>
              <w:pStyle w:val="BodyText"/>
              <w:spacing w:after="0" w:line="240" w:lineRule="auto"/>
              <w:rPr>
                <w:sz w:val="20"/>
                <w:lang w:val="en-NZ"/>
              </w:rPr>
            </w:pPr>
            <w:r w:rsidRPr="003720AF">
              <w:rPr>
                <w:sz w:val="20"/>
                <w:lang w:val="en-NZ"/>
              </w:rPr>
              <w:t>Body weight (kg)</w:t>
            </w:r>
          </w:p>
        </w:tc>
      </w:tr>
      <w:tr w:rsidR="004A49B0" w:rsidRPr="003720AF" w14:paraId="4CF1FF02" w14:textId="77777777" w:rsidTr="004A49B0">
        <w:tc>
          <w:tcPr>
            <w:tcW w:w="1710" w:type="dxa"/>
          </w:tcPr>
          <w:p w14:paraId="06DC3EBD" w14:textId="77777777" w:rsidR="004A49B0" w:rsidRPr="003720AF" w:rsidRDefault="004A49B0" w:rsidP="004A49B0">
            <w:pPr>
              <w:pStyle w:val="BodyText"/>
              <w:spacing w:after="0" w:line="240" w:lineRule="auto"/>
              <w:rPr>
                <w:sz w:val="20"/>
                <w:vertAlign w:val="subscript"/>
                <w:lang w:val="en-NZ"/>
              </w:rPr>
            </w:pPr>
            <w:r w:rsidRPr="003720AF">
              <w:rPr>
                <w:sz w:val="20"/>
                <w:lang w:val="en-NZ"/>
              </w:rPr>
              <w:t>DR</w:t>
            </w:r>
          </w:p>
        </w:tc>
        <w:tc>
          <w:tcPr>
            <w:tcW w:w="7928" w:type="dxa"/>
          </w:tcPr>
          <w:p w14:paraId="4A5F8159" w14:textId="77777777" w:rsidR="004A49B0" w:rsidRPr="003720AF" w:rsidRDefault="004A49B0" w:rsidP="004A49B0">
            <w:pPr>
              <w:pStyle w:val="BodyText"/>
              <w:spacing w:after="0" w:line="240" w:lineRule="auto"/>
              <w:rPr>
                <w:sz w:val="20"/>
                <w:lang w:val="en-NZ"/>
              </w:rPr>
            </w:pPr>
            <w:r w:rsidRPr="003720AF">
              <w:rPr>
                <w:sz w:val="20"/>
                <w:lang w:val="en-NZ"/>
              </w:rPr>
              <w:t>Deposited residue (µg/cm</w:t>
            </w:r>
            <w:r w:rsidRPr="003720AF">
              <w:rPr>
                <w:sz w:val="20"/>
                <w:vertAlign w:val="superscript"/>
                <w:lang w:val="en-NZ"/>
              </w:rPr>
              <w:t>2</w:t>
            </w:r>
            <w:r w:rsidRPr="003720AF">
              <w:rPr>
                <w:sz w:val="20"/>
                <w:lang w:val="en-NZ"/>
              </w:rPr>
              <w:t>)</w:t>
            </w:r>
          </w:p>
        </w:tc>
      </w:tr>
      <w:tr w:rsidR="004A49B0" w:rsidRPr="003720AF" w14:paraId="6D1EA722" w14:textId="77777777" w:rsidTr="004A49B0">
        <w:tc>
          <w:tcPr>
            <w:tcW w:w="1710" w:type="dxa"/>
          </w:tcPr>
          <w:p w14:paraId="7AD0DB18" w14:textId="77777777" w:rsidR="004A49B0" w:rsidRPr="003720AF" w:rsidRDefault="004A49B0" w:rsidP="004A49B0">
            <w:pPr>
              <w:pStyle w:val="BodyText"/>
              <w:spacing w:after="0" w:line="240" w:lineRule="auto"/>
              <w:rPr>
                <w:sz w:val="20"/>
                <w:vertAlign w:val="subscript"/>
                <w:lang w:val="en-NZ"/>
              </w:rPr>
            </w:pPr>
            <w:r w:rsidRPr="003720AF">
              <w:rPr>
                <w:sz w:val="20"/>
                <w:lang w:val="en-NZ"/>
              </w:rPr>
              <w:t>ET</w:t>
            </w:r>
            <w:r w:rsidRPr="003720AF">
              <w:rPr>
                <w:sz w:val="20"/>
                <w:vertAlign w:val="subscript"/>
                <w:lang w:val="en-NZ"/>
              </w:rPr>
              <w:t>h</w:t>
            </w:r>
          </w:p>
        </w:tc>
        <w:tc>
          <w:tcPr>
            <w:tcW w:w="7928" w:type="dxa"/>
          </w:tcPr>
          <w:p w14:paraId="39723316" w14:textId="77777777" w:rsidR="004A49B0" w:rsidRPr="003720AF" w:rsidRDefault="004A49B0" w:rsidP="004A49B0">
            <w:pPr>
              <w:pStyle w:val="BodyText"/>
              <w:spacing w:after="0" w:line="240" w:lineRule="auto"/>
              <w:rPr>
                <w:sz w:val="20"/>
                <w:lang w:val="en-NZ"/>
              </w:rPr>
            </w:pPr>
            <w:r w:rsidRPr="003720AF">
              <w:rPr>
                <w:sz w:val="20"/>
                <w:lang w:val="en-NZ"/>
              </w:rPr>
              <w:t>Time spent on hard surface (hr/day)</w:t>
            </w:r>
          </w:p>
        </w:tc>
      </w:tr>
      <w:tr w:rsidR="004A49B0" w:rsidRPr="003720AF" w14:paraId="63B9F417" w14:textId="77777777" w:rsidTr="004A49B0">
        <w:tc>
          <w:tcPr>
            <w:tcW w:w="1710" w:type="dxa"/>
          </w:tcPr>
          <w:p w14:paraId="4BFEC2E1" w14:textId="77777777" w:rsidR="004A49B0" w:rsidRPr="003720AF" w:rsidRDefault="004A49B0" w:rsidP="004A49B0">
            <w:pPr>
              <w:pStyle w:val="BodyText"/>
              <w:spacing w:after="0" w:line="240" w:lineRule="auto"/>
              <w:rPr>
                <w:sz w:val="20"/>
                <w:vertAlign w:val="subscript"/>
                <w:lang w:val="en-NZ"/>
              </w:rPr>
            </w:pPr>
            <w:r w:rsidRPr="003720AF">
              <w:rPr>
                <w:sz w:val="20"/>
                <w:lang w:val="en-NZ"/>
              </w:rPr>
              <w:t>FTSS</w:t>
            </w:r>
            <w:r w:rsidRPr="003720AF">
              <w:rPr>
                <w:sz w:val="20"/>
                <w:vertAlign w:val="subscript"/>
                <w:lang w:val="en-NZ"/>
              </w:rPr>
              <w:t>h</w:t>
            </w:r>
          </w:p>
        </w:tc>
        <w:tc>
          <w:tcPr>
            <w:tcW w:w="7928" w:type="dxa"/>
          </w:tcPr>
          <w:p w14:paraId="07871193" w14:textId="77777777" w:rsidR="004A49B0" w:rsidRPr="003720AF" w:rsidRDefault="004A49B0" w:rsidP="004A49B0">
            <w:pPr>
              <w:pStyle w:val="BodyText"/>
              <w:spacing w:after="0" w:line="240" w:lineRule="auto"/>
              <w:rPr>
                <w:sz w:val="20"/>
                <w:lang w:val="en-NZ"/>
              </w:rPr>
            </w:pPr>
            <w:r w:rsidRPr="003720AF">
              <w:rPr>
                <w:sz w:val="20"/>
                <w:lang w:val="en-NZ"/>
              </w:rPr>
              <w:t>Fraction transferred from hard surface to skin (unitless)</w:t>
            </w:r>
          </w:p>
        </w:tc>
      </w:tr>
      <w:tr w:rsidR="004A49B0" w:rsidRPr="003720AF" w14:paraId="4A009C0C" w14:textId="77777777" w:rsidTr="004A49B0">
        <w:tc>
          <w:tcPr>
            <w:tcW w:w="1710" w:type="dxa"/>
          </w:tcPr>
          <w:p w14:paraId="6FD5FF54" w14:textId="77777777" w:rsidR="004A49B0" w:rsidRPr="003720AF" w:rsidRDefault="004A49B0" w:rsidP="004A49B0">
            <w:pPr>
              <w:pStyle w:val="BodyText"/>
              <w:spacing w:after="0" w:line="240" w:lineRule="auto"/>
              <w:rPr>
                <w:sz w:val="20"/>
                <w:lang w:val="en-NZ"/>
              </w:rPr>
            </w:pPr>
            <w:r w:rsidRPr="003720AF">
              <w:rPr>
                <w:sz w:val="20"/>
                <w:lang w:val="en-NZ"/>
              </w:rPr>
              <w:t>TC</w:t>
            </w:r>
          </w:p>
        </w:tc>
        <w:tc>
          <w:tcPr>
            <w:tcW w:w="7928" w:type="dxa"/>
          </w:tcPr>
          <w:p w14:paraId="7FB125B5" w14:textId="77777777" w:rsidR="004A49B0" w:rsidRPr="003720AF" w:rsidRDefault="004A49B0" w:rsidP="004A49B0">
            <w:pPr>
              <w:pStyle w:val="BodyText"/>
              <w:spacing w:after="0" w:line="240" w:lineRule="auto"/>
              <w:rPr>
                <w:sz w:val="20"/>
                <w:lang w:val="en-NZ"/>
              </w:rPr>
            </w:pPr>
            <w:r w:rsidRPr="003720AF">
              <w:rPr>
                <w:sz w:val="20"/>
                <w:lang w:val="en-NZ"/>
              </w:rPr>
              <w:t>Transfer coefficient (cm</w:t>
            </w:r>
            <w:r w:rsidRPr="003720AF">
              <w:rPr>
                <w:sz w:val="20"/>
                <w:vertAlign w:val="superscript"/>
                <w:lang w:val="en-NZ"/>
              </w:rPr>
              <w:t>2</w:t>
            </w:r>
            <w:r w:rsidRPr="003720AF">
              <w:rPr>
                <w:sz w:val="20"/>
                <w:lang w:val="en-NZ"/>
              </w:rPr>
              <w:t>/hr)</w:t>
            </w:r>
          </w:p>
        </w:tc>
      </w:tr>
    </w:tbl>
    <w:p w14:paraId="146F459D" w14:textId="77777777" w:rsidR="004A49B0" w:rsidRPr="003720AF" w:rsidRDefault="004A49B0" w:rsidP="004A49B0">
      <w:pPr>
        <w:pStyle w:val="BodyText"/>
      </w:pPr>
    </w:p>
    <w:p w14:paraId="0BCE55EE" w14:textId="77777777" w:rsidR="004A49B0" w:rsidRPr="003720AF" w:rsidRDefault="004A49B0" w:rsidP="004A49B0">
      <w:pPr>
        <w:pStyle w:val="BodyText"/>
      </w:pPr>
      <w:r w:rsidRPr="003720AF">
        <w:t>The equation for exposure via ingestion due to hand-to-mouth contact is:</w:t>
      </w:r>
    </w:p>
    <w:p w14:paraId="05C3404A" w14:textId="6CCEBB87" w:rsidR="004A49B0" w:rsidRPr="003720AF" w:rsidRDefault="004A49B0" w:rsidP="004A49B0">
      <w:pPr>
        <w:pStyle w:val="Equation"/>
        <w:rPr>
          <w:lang w:val="en-NZ"/>
        </w:rPr>
      </w:pPr>
      <w:r w:rsidRPr="003720AF">
        <w:rPr>
          <w:lang w:val="en-NZ"/>
        </w:rPr>
        <w:tab/>
      </w:r>
      <w:r w:rsidR="00D75F8F">
        <w:rPr>
          <w:noProof/>
          <w:position w:val="-32"/>
          <w:lang w:val="en-NZ" w:eastAsia="en-NZ"/>
        </w:rPr>
        <w:drawing>
          <wp:inline distT="0" distB="0" distL="0" distR="0" wp14:anchorId="51FD1F3B" wp14:editId="76A3F791">
            <wp:extent cx="5514975" cy="66929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5514975" cy="669290"/>
                    </a:xfrm>
                    <a:prstGeom prst="rect">
                      <a:avLst/>
                    </a:prstGeom>
                    <a:noFill/>
                    <a:ln>
                      <a:noFill/>
                    </a:ln>
                  </pic:spPr>
                </pic:pic>
              </a:graphicData>
            </a:graphic>
          </wp:inline>
        </w:drawing>
      </w:r>
      <w:r w:rsidRPr="003720AF">
        <w:rPr>
          <w:lang w:val="en-NZ"/>
        </w:rPr>
        <w:tab/>
      </w:r>
      <w:r w:rsidRPr="003720AF">
        <w:rPr>
          <w:lang w:val="en-NZ"/>
        </w:rPr>
        <w:fldChar w:fldCharType="begin"/>
      </w:r>
      <w:r w:rsidRPr="003720AF">
        <w:rPr>
          <w:lang w:val="en-NZ"/>
        </w:rPr>
        <w:instrText xml:space="preserve"> MACROBUTTON MTPlaceRef \* MERGEFORMAT </w:instrText>
      </w:r>
      <w:r w:rsidRPr="003720AF">
        <w:rPr>
          <w:lang w:val="en-NZ"/>
        </w:rPr>
        <w:fldChar w:fldCharType="begin"/>
      </w:r>
      <w:r w:rsidRPr="003720AF">
        <w:rPr>
          <w:lang w:val="en-NZ"/>
        </w:rPr>
        <w:instrText xml:space="preserve"> SEQ MTEqn \h \* MERGEFORMAT </w:instrText>
      </w:r>
      <w:r w:rsidRPr="003720AF">
        <w:rPr>
          <w:lang w:val="en-NZ"/>
        </w:rPr>
        <w:fldChar w:fldCharType="end"/>
      </w:r>
      <w:bookmarkStart w:id="69" w:name="ZEqnNum515990"/>
      <w:r w:rsidRPr="003720AF">
        <w:rPr>
          <w:lang w:val="en-NZ"/>
        </w:rPr>
        <w:instrText>{</w:instrText>
      </w:r>
      <w:r w:rsidR="00E66261" w:rsidRPr="003720AF">
        <w:rPr>
          <w:lang w:val="en-NZ"/>
        </w:rPr>
        <w:fldChar w:fldCharType="begin"/>
      </w:r>
      <w:r w:rsidR="00E66261" w:rsidRPr="003720AF">
        <w:rPr>
          <w:lang w:val="en-NZ"/>
        </w:rPr>
        <w:instrText xml:space="preserve"> SEQ MTEqn \c \* Arabic \* MERGEFORMAT </w:instrText>
      </w:r>
      <w:r w:rsidR="00E66261" w:rsidRPr="003720AF">
        <w:rPr>
          <w:lang w:val="en-NZ"/>
        </w:rPr>
        <w:fldChar w:fldCharType="separate"/>
      </w:r>
      <w:r w:rsidR="00F6014F">
        <w:rPr>
          <w:noProof/>
          <w:lang w:val="en-NZ"/>
        </w:rPr>
        <w:instrText>2</w:instrText>
      </w:r>
      <w:r w:rsidR="00E66261" w:rsidRPr="003720AF">
        <w:rPr>
          <w:noProof/>
          <w:lang w:val="en-NZ"/>
        </w:rPr>
        <w:fldChar w:fldCharType="end"/>
      </w:r>
      <w:r w:rsidRPr="003720AF">
        <w:rPr>
          <w:lang w:val="en-NZ"/>
        </w:rPr>
        <w:instrText>}</w:instrText>
      </w:r>
      <w:bookmarkEnd w:id="69"/>
      <w:r w:rsidRPr="003720AF">
        <w:rPr>
          <w:lang w:val="en-NZ"/>
        </w:rPr>
        <w:fldChar w:fldCharType="end"/>
      </w:r>
    </w:p>
    <w:p w14:paraId="2E860C88" w14:textId="16A02399" w:rsidR="004A49B0" w:rsidRPr="003720AF" w:rsidRDefault="004A49B0" w:rsidP="004A49B0">
      <w:pPr>
        <w:pStyle w:val="BodyText"/>
      </w:pPr>
      <w:r w:rsidRPr="003720AF">
        <w:t>where:</w:t>
      </w:r>
      <w:r w:rsidR="00D75F8F" w:rsidRPr="00D75F8F">
        <w:rPr>
          <w:noProof/>
          <w:position w:val="-32"/>
          <w:lang w:eastAsia="en-NZ"/>
        </w:rPr>
        <w:t xml:space="preserve"> </w:t>
      </w:r>
    </w:p>
    <w:tbl>
      <w:tblPr>
        <w:tblStyle w:val="Reporttable"/>
        <w:tblW w:w="0" w:type="auto"/>
        <w:tblLook w:val="0600" w:firstRow="0" w:lastRow="0" w:firstColumn="0" w:lastColumn="0" w:noHBand="1" w:noVBand="1"/>
      </w:tblPr>
      <w:tblGrid>
        <w:gridCol w:w="1710"/>
        <w:gridCol w:w="7928"/>
      </w:tblGrid>
      <w:tr w:rsidR="004A49B0" w:rsidRPr="003720AF" w14:paraId="305C6547" w14:textId="77777777" w:rsidTr="004A49B0">
        <w:tc>
          <w:tcPr>
            <w:tcW w:w="1710" w:type="dxa"/>
          </w:tcPr>
          <w:p w14:paraId="679B9957" w14:textId="77777777" w:rsidR="004A49B0" w:rsidRPr="003720AF" w:rsidRDefault="004A49B0" w:rsidP="004A49B0">
            <w:pPr>
              <w:pStyle w:val="BodyText"/>
              <w:spacing w:after="0" w:line="240" w:lineRule="auto"/>
              <w:rPr>
                <w:sz w:val="20"/>
                <w:vertAlign w:val="subscript"/>
                <w:lang w:val="en-NZ"/>
              </w:rPr>
            </w:pPr>
            <w:r w:rsidRPr="003720AF">
              <w:rPr>
                <w:sz w:val="20"/>
                <w:lang w:val="en-NZ"/>
              </w:rPr>
              <w:t>ABS</w:t>
            </w:r>
            <w:r w:rsidRPr="003720AF">
              <w:rPr>
                <w:sz w:val="20"/>
                <w:vertAlign w:val="subscript"/>
                <w:lang w:val="en-NZ"/>
              </w:rPr>
              <w:t>o</w:t>
            </w:r>
          </w:p>
        </w:tc>
        <w:tc>
          <w:tcPr>
            <w:tcW w:w="7928" w:type="dxa"/>
          </w:tcPr>
          <w:p w14:paraId="575699F0" w14:textId="77777777" w:rsidR="004A49B0" w:rsidRPr="003720AF" w:rsidRDefault="004A49B0" w:rsidP="004A49B0">
            <w:pPr>
              <w:pStyle w:val="BodyText"/>
              <w:spacing w:after="0" w:line="240" w:lineRule="auto"/>
              <w:rPr>
                <w:sz w:val="20"/>
                <w:lang w:val="en-NZ"/>
              </w:rPr>
            </w:pPr>
            <w:r w:rsidRPr="003720AF">
              <w:rPr>
                <w:sz w:val="20"/>
                <w:lang w:val="en-NZ"/>
              </w:rPr>
              <w:t>Oral absorption fraction (unitless)</w:t>
            </w:r>
          </w:p>
        </w:tc>
      </w:tr>
      <w:tr w:rsidR="004A49B0" w:rsidRPr="003720AF" w14:paraId="427A8FB6" w14:textId="77777777" w:rsidTr="004A49B0">
        <w:tc>
          <w:tcPr>
            <w:tcW w:w="1710" w:type="dxa"/>
          </w:tcPr>
          <w:p w14:paraId="63A62D82" w14:textId="77777777" w:rsidR="004A49B0" w:rsidRPr="003720AF" w:rsidRDefault="004A49B0" w:rsidP="004A49B0">
            <w:pPr>
              <w:pStyle w:val="BodyText"/>
              <w:spacing w:after="0" w:line="240" w:lineRule="auto"/>
              <w:rPr>
                <w:sz w:val="20"/>
                <w:lang w:val="en-NZ"/>
              </w:rPr>
            </w:pPr>
            <w:r w:rsidRPr="003720AF">
              <w:rPr>
                <w:sz w:val="20"/>
                <w:lang w:val="en-NZ"/>
              </w:rPr>
              <w:t>BW</w:t>
            </w:r>
          </w:p>
        </w:tc>
        <w:tc>
          <w:tcPr>
            <w:tcW w:w="7928" w:type="dxa"/>
          </w:tcPr>
          <w:p w14:paraId="792CB076" w14:textId="77777777" w:rsidR="004A49B0" w:rsidRPr="003720AF" w:rsidRDefault="004A49B0" w:rsidP="004A49B0">
            <w:pPr>
              <w:pStyle w:val="BodyText"/>
              <w:spacing w:after="0" w:line="240" w:lineRule="auto"/>
              <w:rPr>
                <w:sz w:val="20"/>
                <w:lang w:val="en-NZ"/>
              </w:rPr>
            </w:pPr>
            <w:r w:rsidRPr="003720AF">
              <w:rPr>
                <w:sz w:val="20"/>
                <w:lang w:val="en-NZ"/>
              </w:rPr>
              <w:t>Body weight (kg)</w:t>
            </w:r>
          </w:p>
        </w:tc>
      </w:tr>
      <w:tr w:rsidR="004A49B0" w:rsidRPr="003720AF" w14:paraId="1B1F0151" w14:textId="77777777" w:rsidTr="004A49B0">
        <w:tc>
          <w:tcPr>
            <w:tcW w:w="1710" w:type="dxa"/>
          </w:tcPr>
          <w:p w14:paraId="72E801DF" w14:textId="77777777" w:rsidR="004A49B0" w:rsidRPr="003720AF" w:rsidRDefault="004A49B0" w:rsidP="004A49B0">
            <w:pPr>
              <w:pStyle w:val="BodyText"/>
              <w:spacing w:after="0" w:line="240" w:lineRule="auto"/>
              <w:rPr>
                <w:sz w:val="20"/>
                <w:vertAlign w:val="subscript"/>
                <w:lang w:val="en-NZ"/>
              </w:rPr>
            </w:pPr>
            <w:r w:rsidRPr="003720AF">
              <w:rPr>
                <w:sz w:val="20"/>
                <w:lang w:val="en-NZ"/>
              </w:rPr>
              <w:t>DR</w:t>
            </w:r>
          </w:p>
        </w:tc>
        <w:tc>
          <w:tcPr>
            <w:tcW w:w="7928" w:type="dxa"/>
          </w:tcPr>
          <w:p w14:paraId="499CB029" w14:textId="77777777" w:rsidR="004A49B0" w:rsidRPr="003720AF" w:rsidRDefault="004A49B0" w:rsidP="004A49B0">
            <w:pPr>
              <w:pStyle w:val="BodyText"/>
              <w:spacing w:after="0" w:line="240" w:lineRule="auto"/>
              <w:rPr>
                <w:sz w:val="20"/>
                <w:lang w:val="en-NZ"/>
              </w:rPr>
            </w:pPr>
            <w:r w:rsidRPr="003720AF">
              <w:rPr>
                <w:sz w:val="20"/>
                <w:lang w:val="en-NZ"/>
              </w:rPr>
              <w:t>Deposited residue (µg/cm</w:t>
            </w:r>
            <w:r w:rsidRPr="003720AF">
              <w:rPr>
                <w:sz w:val="20"/>
                <w:vertAlign w:val="superscript"/>
                <w:lang w:val="en-NZ"/>
              </w:rPr>
              <w:t>2</w:t>
            </w:r>
            <w:r w:rsidRPr="003720AF">
              <w:rPr>
                <w:sz w:val="20"/>
                <w:lang w:val="en-NZ"/>
              </w:rPr>
              <w:t>)</w:t>
            </w:r>
          </w:p>
        </w:tc>
      </w:tr>
      <w:tr w:rsidR="00D75F8F" w:rsidRPr="003720AF" w14:paraId="6048A22C" w14:textId="77777777" w:rsidTr="004A49B0">
        <w:tc>
          <w:tcPr>
            <w:tcW w:w="1710" w:type="dxa"/>
          </w:tcPr>
          <w:p w14:paraId="6D0D39A1" w14:textId="405602AB" w:rsidR="00D75F8F" w:rsidRPr="003720AF" w:rsidRDefault="00D75F8F" w:rsidP="00D75F8F">
            <w:pPr>
              <w:pStyle w:val="BodyText"/>
              <w:spacing w:after="0" w:line="240" w:lineRule="auto"/>
              <w:rPr>
                <w:sz w:val="20"/>
              </w:rPr>
            </w:pPr>
            <w:r>
              <w:rPr>
                <w:sz w:val="20"/>
              </w:rPr>
              <w:t>ET</w:t>
            </w:r>
          </w:p>
        </w:tc>
        <w:tc>
          <w:tcPr>
            <w:tcW w:w="7928" w:type="dxa"/>
          </w:tcPr>
          <w:p w14:paraId="2F68BDDD" w14:textId="3EB13828" w:rsidR="00D75F8F" w:rsidRPr="003720AF" w:rsidRDefault="00D75F8F" w:rsidP="00D75F8F">
            <w:pPr>
              <w:pStyle w:val="BodyText"/>
              <w:spacing w:after="0" w:line="240" w:lineRule="auto"/>
              <w:rPr>
                <w:sz w:val="20"/>
              </w:rPr>
            </w:pPr>
            <w:r w:rsidRPr="003720AF">
              <w:rPr>
                <w:sz w:val="20"/>
                <w:lang w:val="en-NZ"/>
              </w:rPr>
              <w:t>Time spent on hard surface (hr)</w:t>
            </w:r>
          </w:p>
        </w:tc>
      </w:tr>
      <w:tr w:rsidR="00D75F8F" w:rsidRPr="003720AF" w14:paraId="4F2C778F" w14:textId="77777777" w:rsidTr="004A49B0">
        <w:tc>
          <w:tcPr>
            <w:tcW w:w="1710" w:type="dxa"/>
          </w:tcPr>
          <w:p w14:paraId="0F8253E6" w14:textId="77777777" w:rsidR="00D75F8F" w:rsidRPr="003720AF" w:rsidRDefault="00D75F8F" w:rsidP="00D75F8F">
            <w:pPr>
              <w:pStyle w:val="BodyText"/>
              <w:spacing w:after="0" w:line="240" w:lineRule="auto"/>
              <w:rPr>
                <w:sz w:val="20"/>
                <w:vertAlign w:val="subscript"/>
                <w:lang w:val="en-NZ"/>
              </w:rPr>
            </w:pPr>
            <w:r w:rsidRPr="003720AF">
              <w:rPr>
                <w:sz w:val="20"/>
                <w:lang w:val="en-NZ"/>
              </w:rPr>
              <w:t>ET</w:t>
            </w:r>
            <w:r w:rsidRPr="003720AF">
              <w:rPr>
                <w:sz w:val="20"/>
                <w:vertAlign w:val="subscript"/>
                <w:lang w:val="en-NZ"/>
              </w:rPr>
              <w:t>h</w:t>
            </w:r>
          </w:p>
        </w:tc>
        <w:tc>
          <w:tcPr>
            <w:tcW w:w="7928" w:type="dxa"/>
          </w:tcPr>
          <w:p w14:paraId="15D95F5F" w14:textId="77777777" w:rsidR="00D75F8F" w:rsidRPr="003720AF" w:rsidRDefault="00D75F8F" w:rsidP="00D75F8F">
            <w:pPr>
              <w:pStyle w:val="BodyText"/>
              <w:spacing w:after="0" w:line="240" w:lineRule="auto"/>
              <w:rPr>
                <w:sz w:val="20"/>
                <w:lang w:val="en-NZ"/>
              </w:rPr>
            </w:pPr>
            <w:r w:rsidRPr="003720AF">
              <w:rPr>
                <w:sz w:val="20"/>
                <w:lang w:val="en-NZ"/>
              </w:rPr>
              <w:t>Time spent on hard surface (hr/day)</w:t>
            </w:r>
          </w:p>
        </w:tc>
      </w:tr>
      <w:tr w:rsidR="00D75F8F" w:rsidRPr="003720AF" w14:paraId="07973F10" w14:textId="77777777" w:rsidTr="004A49B0">
        <w:tc>
          <w:tcPr>
            <w:tcW w:w="1710" w:type="dxa"/>
          </w:tcPr>
          <w:p w14:paraId="77F37DB1" w14:textId="77777777" w:rsidR="00D75F8F" w:rsidRPr="003720AF" w:rsidRDefault="00D75F8F" w:rsidP="00D75F8F">
            <w:pPr>
              <w:pStyle w:val="BodyText"/>
              <w:spacing w:after="0" w:line="240" w:lineRule="auto"/>
              <w:rPr>
                <w:sz w:val="20"/>
                <w:vertAlign w:val="subscript"/>
                <w:lang w:val="en-NZ"/>
              </w:rPr>
            </w:pPr>
            <w:r w:rsidRPr="003720AF">
              <w:rPr>
                <w:sz w:val="20"/>
                <w:lang w:val="en-NZ"/>
              </w:rPr>
              <w:t>FH</w:t>
            </w:r>
          </w:p>
        </w:tc>
        <w:tc>
          <w:tcPr>
            <w:tcW w:w="7928" w:type="dxa"/>
          </w:tcPr>
          <w:p w14:paraId="5329D9D9" w14:textId="77777777" w:rsidR="00D75F8F" w:rsidRPr="003720AF" w:rsidRDefault="00D75F8F" w:rsidP="00D75F8F">
            <w:pPr>
              <w:pStyle w:val="BodyText"/>
              <w:spacing w:after="0" w:line="240" w:lineRule="auto"/>
              <w:rPr>
                <w:sz w:val="20"/>
                <w:lang w:val="en-NZ"/>
              </w:rPr>
            </w:pPr>
            <w:r w:rsidRPr="003720AF">
              <w:rPr>
                <w:sz w:val="20"/>
                <w:lang w:val="en-NZ"/>
              </w:rPr>
              <w:t>Fraction on hands compared to entire body (unitless)</w:t>
            </w:r>
          </w:p>
        </w:tc>
      </w:tr>
      <w:tr w:rsidR="00D75F8F" w:rsidRPr="003720AF" w14:paraId="38933CC8" w14:textId="77777777" w:rsidTr="004A49B0">
        <w:tc>
          <w:tcPr>
            <w:tcW w:w="1710" w:type="dxa"/>
          </w:tcPr>
          <w:p w14:paraId="505B0B7F" w14:textId="77777777" w:rsidR="00D75F8F" w:rsidRPr="003720AF" w:rsidRDefault="00D75F8F" w:rsidP="00D75F8F">
            <w:pPr>
              <w:pStyle w:val="BodyText"/>
              <w:spacing w:after="0" w:line="240" w:lineRule="auto"/>
              <w:rPr>
                <w:sz w:val="20"/>
                <w:vertAlign w:val="subscript"/>
                <w:lang w:val="en-NZ"/>
              </w:rPr>
            </w:pPr>
            <w:r w:rsidRPr="003720AF">
              <w:rPr>
                <w:sz w:val="20"/>
                <w:lang w:val="en-NZ"/>
              </w:rPr>
              <w:t>F</w:t>
            </w:r>
            <w:r w:rsidRPr="003720AF">
              <w:rPr>
                <w:sz w:val="20"/>
                <w:vertAlign w:val="subscript"/>
                <w:lang w:val="en-NZ"/>
              </w:rPr>
              <w:t>m</w:t>
            </w:r>
          </w:p>
        </w:tc>
        <w:tc>
          <w:tcPr>
            <w:tcW w:w="7928" w:type="dxa"/>
          </w:tcPr>
          <w:p w14:paraId="4FD4FA4D" w14:textId="77777777" w:rsidR="00D75F8F" w:rsidRPr="003720AF" w:rsidRDefault="00D75F8F" w:rsidP="00D75F8F">
            <w:pPr>
              <w:pStyle w:val="BodyText"/>
              <w:spacing w:after="0" w:line="240" w:lineRule="auto"/>
              <w:rPr>
                <w:sz w:val="20"/>
                <w:lang w:val="en-NZ"/>
              </w:rPr>
            </w:pPr>
            <w:r w:rsidRPr="003720AF">
              <w:rPr>
                <w:sz w:val="20"/>
                <w:lang w:val="en-NZ"/>
              </w:rPr>
              <w:t>Fraction of hand surface area mouthed/event (unitless)</w:t>
            </w:r>
          </w:p>
        </w:tc>
      </w:tr>
      <w:tr w:rsidR="00D75F8F" w:rsidRPr="003720AF" w14:paraId="4040EB85" w14:textId="77777777" w:rsidTr="004A49B0">
        <w:tc>
          <w:tcPr>
            <w:tcW w:w="1710" w:type="dxa"/>
          </w:tcPr>
          <w:p w14:paraId="038F9236" w14:textId="77777777" w:rsidR="00D75F8F" w:rsidRPr="003720AF" w:rsidRDefault="00D75F8F" w:rsidP="00D75F8F">
            <w:pPr>
              <w:pStyle w:val="BodyText"/>
              <w:spacing w:after="0" w:line="240" w:lineRule="auto"/>
              <w:rPr>
                <w:sz w:val="20"/>
                <w:vertAlign w:val="subscript"/>
                <w:lang w:val="en-NZ"/>
              </w:rPr>
            </w:pPr>
            <w:r w:rsidRPr="003720AF">
              <w:rPr>
                <w:sz w:val="20"/>
                <w:lang w:val="en-NZ"/>
              </w:rPr>
              <w:t>Fr</w:t>
            </w:r>
            <w:r w:rsidRPr="003720AF">
              <w:rPr>
                <w:sz w:val="20"/>
                <w:vertAlign w:val="subscript"/>
                <w:lang w:val="en-NZ"/>
              </w:rPr>
              <w:t>h-m</w:t>
            </w:r>
          </w:p>
        </w:tc>
        <w:tc>
          <w:tcPr>
            <w:tcW w:w="7928" w:type="dxa"/>
          </w:tcPr>
          <w:p w14:paraId="35E8D505" w14:textId="77777777" w:rsidR="00D75F8F" w:rsidRPr="003720AF" w:rsidRDefault="00D75F8F" w:rsidP="00D75F8F">
            <w:pPr>
              <w:pStyle w:val="BodyText"/>
              <w:spacing w:after="0" w:line="240" w:lineRule="auto"/>
              <w:rPr>
                <w:sz w:val="20"/>
                <w:lang w:val="en-NZ"/>
              </w:rPr>
            </w:pPr>
            <w:r w:rsidRPr="003720AF">
              <w:rPr>
                <w:sz w:val="20"/>
                <w:lang w:val="en-NZ"/>
              </w:rPr>
              <w:t>Frequency of hand-to-mouth contacts (events/hr)</w:t>
            </w:r>
          </w:p>
        </w:tc>
      </w:tr>
      <w:tr w:rsidR="00D75F8F" w:rsidRPr="003720AF" w14:paraId="398617EC" w14:textId="77777777" w:rsidTr="004A49B0">
        <w:tc>
          <w:tcPr>
            <w:tcW w:w="1710" w:type="dxa"/>
          </w:tcPr>
          <w:p w14:paraId="15982AD4" w14:textId="77777777" w:rsidR="00D75F8F" w:rsidRPr="003720AF" w:rsidRDefault="00D75F8F" w:rsidP="00D75F8F">
            <w:pPr>
              <w:pStyle w:val="BodyText"/>
              <w:spacing w:after="0" w:line="240" w:lineRule="auto"/>
              <w:rPr>
                <w:sz w:val="20"/>
                <w:vertAlign w:val="subscript"/>
                <w:lang w:val="en-NZ"/>
              </w:rPr>
            </w:pPr>
            <w:r w:rsidRPr="003720AF">
              <w:rPr>
                <w:sz w:val="20"/>
                <w:lang w:val="en-NZ"/>
              </w:rPr>
              <w:t>FTSS</w:t>
            </w:r>
            <w:r w:rsidRPr="003720AF">
              <w:rPr>
                <w:sz w:val="20"/>
                <w:vertAlign w:val="subscript"/>
                <w:lang w:val="en-NZ"/>
              </w:rPr>
              <w:t>h</w:t>
            </w:r>
          </w:p>
        </w:tc>
        <w:tc>
          <w:tcPr>
            <w:tcW w:w="7928" w:type="dxa"/>
          </w:tcPr>
          <w:p w14:paraId="09AFD4DF" w14:textId="77777777" w:rsidR="00D75F8F" w:rsidRPr="003720AF" w:rsidRDefault="00D75F8F" w:rsidP="00D75F8F">
            <w:pPr>
              <w:pStyle w:val="BodyText"/>
              <w:spacing w:after="0" w:line="240" w:lineRule="auto"/>
              <w:rPr>
                <w:sz w:val="20"/>
                <w:lang w:val="en-NZ"/>
              </w:rPr>
            </w:pPr>
            <w:r w:rsidRPr="003720AF">
              <w:rPr>
                <w:sz w:val="20"/>
                <w:lang w:val="en-NZ"/>
              </w:rPr>
              <w:t>Fraction transferred from hard surface to skin (unitless)</w:t>
            </w:r>
          </w:p>
        </w:tc>
      </w:tr>
      <w:tr w:rsidR="00D75F8F" w:rsidRPr="003720AF" w14:paraId="38BC6374" w14:textId="77777777" w:rsidTr="004A49B0">
        <w:tc>
          <w:tcPr>
            <w:tcW w:w="1710" w:type="dxa"/>
          </w:tcPr>
          <w:p w14:paraId="68509951" w14:textId="77777777" w:rsidR="00D75F8F" w:rsidRPr="003720AF" w:rsidRDefault="00D75F8F" w:rsidP="00D75F8F">
            <w:pPr>
              <w:pStyle w:val="BodyText"/>
              <w:spacing w:after="0" w:line="240" w:lineRule="auto"/>
              <w:rPr>
                <w:sz w:val="20"/>
                <w:lang w:val="en-NZ"/>
              </w:rPr>
            </w:pPr>
            <w:r w:rsidRPr="003720AF">
              <w:rPr>
                <w:sz w:val="20"/>
                <w:lang w:val="en-NZ"/>
              </w:rPr>
              <w:t>NR</w:t>
            </w:r>
          </w:p>
        </w:tc>
        <w:tc>
          <w:tcPr>
            <w:tcW w:w="7928" w:type="dxa"/>
          </w:tcPr>
          <w:p w14:paraId="7716976F" w14:textId="77777777" w:rsidR="00D75F8F" w:rsidRPr="003720AF" w:rsidRDefault="00D75F8F" w:rsidP="00D75F8F">
            <w:pPr>
              <w:pStyle w:val="BodyText"/>
              <w:spacing w:after="0" w:line="240" w:lineRule="auto"/>
              <w:rPr>
                <w:sz w:val="20"/>
                <w:lang w:val="en-NZ"/>
              </w:rPr>
            </w:pPr>
            <w:r w:rsidRPr="003720AF">
              <w:rPr>
                <w:sz w:val="20"/>
                <w:lang w:val="en-NZ"/>
              </w:rPr>
              <w:t xml:space="preserve">Number of replenishments per hour </w:t>
            </w:r>
          </w:p>
        </w:tc>
      </w:tr>
      <w:tr w:rsidR="00D75F8F" w:rsidRPr="003720AF" w14:paraId="70BB8A90" w14:textId="77777777" w:rsidTr="004A49B0">
        <w:tc>
          <w:tcPr>
            <w:tcW w:w="1710" w:type="dxa"/>
          </w:tcPr>
          <w:p w14:paraId="2E4022CC" w14:textId="77777777" w:rsidR="00D75F8F" w:rsidRPr="003720AF" w:rsidRDefault="00D75F8F" w:rsidP="00D75F8F">
            <w:pPr>
              <w:pStyle w:val="BodyText"/>
              <w:spacing w:after="0" w:line="240" w:lineRule="auto"/>
              <w:rPr>
                <w:sz w:val="20"/>
                <w:vertAlign w:val="subscript"/>
                <w:lang w:val="en-NZ"/>
              </w:rPr>
            </w:pPr>
            <w:r w:rsidRPr="003720AF">
              <w:rPr>
                <w:sz w:val="20"/>
                <w:lang w:val="en-NZ"/>
              </w:rPr>
              <w:lastRenderedPageBreak/>
              <w:t>NR</w:t>
            </w:r>
            <w:r w:rsidRPr="003720AF">
              <w:rPr>
                <w:sz w:val="20"/>
                <w:vertAlign w:val="subscript"/>
                <w:lang w:val="en-NZ"/>
              </w:rPr>
              <w:t>h</w:t>
            </w:r>
          </w:p>
        </w:tc>
        <w:tc>
          <w:tcPr>
            <w:tcW w:w="7928" w:type="dxa"/>
          </w:tcPr>
          <w:p w14:paraId="6D83B4CA" w14:textId="77777777" w:rsidR="00D75F8F" w:rsidRPr="003720AF" w:rsidRDefault="00D75F8F" w:rsidP="00D75F8F">
            <w:pPr>
              <w:pStyle w:val="BodyText"/>
              <w:spacing w:after="0" w:line="240" w:lineRule="auto"/>
              <w:rPr>
                <w:sz w:val="20"/>
                <w:lang w:val="en-NZ"/>
              </w:rPr>
            </w:pPr>
            <w:r w:rsidRPr="003720AF">
              <w:rPr>
                <w:sz w:val="20"/>
                <w:lang w:val="en-NZ"/>
              </w:rPr>
              <w:t>Number of replenishments on hard surface per day (ET</w:t>
            </w:r>
            <w:r w:rsidRPr="003720AF">
              <w:rPr>
                <w:sz w:val="20"/>
                <w:vertAlign w:val="subscript"/>
                <w:lang w:val="en-NZ"/>
              </w:rPr>
              <w:t>h</w:t>
            </w:r>
            <w:r w:rsidRPr="003720AF">
              <w:rPr>
                <w:sz w:val="20"/>
                <w:lang w:val="en-NZ"/>
              </w:rPr>
              <w:t xml:space="preserve"> x NR)</w:t>
            </w:r>
          </w:p>
        </w:tc>
      </w:tr>
      <w:tr w:rsidR="00D75F8F" w:rsidRPr="003720AF" w14:paraId="0DD65159" w14:textId="77777777" w:rsidTr="004A49B0">
        <w:tc>
          <w:tcPr>
            <w:tcW w:w="1710" w:type="dxa"/>
          </w:tcPr>
          <w:p w14:paraId="65BFA6C7" w14:textId="77777777" w:rsidR="00D75F8F" w:rsidRPr="003720AF" w:rsidRDefault="00D75F8F" w:rsidP="00D75F8F">
            <w:pPr>
              <w:pStyle w:val="BodyText"/>
              <w:spacing w:after="0" w:line="240" w:lineRule="auto"/>
              <w:rPr>
                <w:sz w:val="20"/>
                <w:vertAlign w:val="subscript"/>
                <w:lang w:val="en-NZ"/>
              </w:rPr>
            </w:pPr>
            <w:r w:rsidRPr="003720AF">
              <w:rPr>
                <w:sz w:val="20"/>
                <w:lang w:val="en-NZ"/>
              </w:rPr>
              <w:t>SA</w:t>
            </w:r>
            <w:r w:rsidRPr="003720AF">
              <w:rPr>
                <w:sz w:val="20"/>
                <w:vertAlign w:val="subscript"/>
                <w:lang w:val="en-NZ"/>
              </w:rPr>
              <w:t>hand</w:t>
            </w:r>
          </w:p>
        </w:tc>
        <w:tc>
          <w:tcPr>
            <w:tcW w:w="7928" w:type="dxa"/>
          </w:tcPr>
          <w:p w14:paraId="046E12DD" w14:textId="77777777" w:rsidR="00D75F8F" w:rsidRPr="003720AF" w:rsidRDefault="00D75F8F" w:rsidP="00D75F8F">
            <w:pPr>
              <w:pStyle w:val="BodyText"/>
              <w:spacing w:after="0" w:line="240" w:lineRule="auto"/>
              <w:rPr>
                <w:sz w:val="20"/>
                <w:lang w:val="en-NZ"/>
              </w:rPr>
            </w:pPr>
            <w:r w:rsidRPr="003720AF">
              <w:rPr>
                <w:sz w:val="20"/>
                <w:lang w:val="en-NZ"/>
              </w:rPr>
              <w:t>Surface area of hand (cm</w:t>
            </w:r>
            <w:r w:rsidRPr="003720AF">
              <w:rPr>
                <w:sz w:val="20"/>
                <w:vertAlign w:val="superscript"/>
                <w:lang w:val="en-NZ"/>
              </w:rPr>
              <w:t>2</w:t>
            </w:r>
            <w:r w:rsidRPr="003720AF">
              <w:rPr>
                <w:sz w:val="20"/>
                <w:lang w:val="en-NZ"/>
              </w:rPr>
              <w:t>)</w:t>
            </w:r>
          </w:p>
        </w:tc>
      </w:tr>
      <w:tr w:rsidR="00D75F8F" w:rsidRPr="003720AF" w14:paraId="0E56D261" w14:textId="77777777" w:rsidTr="004A49B0">
        <w:tc>
          <w:tcPr>
            <w:tcW w:w="1710" w:type="dxa"/>
          </w:tcPr>
          <w:p w14:paraId="71FB8B7C" w14:textId="77777777" w:rsidR="00D75F8F" w:rsidRPr="003720AF" w:rsidRDefault="00D75F8F" w:rsidP="00D75F8F">
            <w:pPr>
              <w:pStyle w:val="BodyText"/>
              <w:spacing w:after="0" w:line="240" w:lineRule="auto"/>
              <w:rPr>
                <w:sz w:val="20"/>
                <w:lang w:val="en-NZ"/>
              </w:rPr>
            </w:pPr>
            <w:r w:rsidRPr="003720AF">
              <w:rPr>
                <w:sz w:val="20"/>
                <w:lang w:val="en-NZ"/>
              </w:rPr>
              <w:t>SE</w:t>
            </w:r>
          </w:p>
        </w:tc>
        <w:tc>
          <w:tcPr>
            <w:tcW w:w="7928" w:type="dxa"/>
          </w:tcPr>
          <w:p w14:paraId="5A23112D" w14:textId="77777777" w:rsidR="00D75F8F" w:rsidRPr="003720AF" w:rsidRDefault="00D75F8F" w:rsidP="00D75F8F">
            <w:pPr>
              <w:pStyle w:val="BodyText"/>
              <w:spacing w:after="0" w:line="240" w:lineRule="auto"/>
              <w:rPr>
                <w:sz w:val="20"/>
                <w:lang w:val="en-NZ"/>
              </w:rPr>
            </w:pPr>
            <w:r w:rsidRPr="003720AF">
              <w:rPr>
                <w:sz w:val="20"/>
                <w:lang w:val="en-NZ"/>
              </w:rPr>
              <w:t>Saliva extraction factor (unitless)</w:t>
            </w:r>
          </w:p>
        </w:tc>
      </w:tr>
      <w:tr w:rsidR="00D75F8F" w:rsidRPr="003720AF" w14:paraId="72F3B939" w14:textId="77777777" w:rsidTr="004A49B0">
        <w:tc>
          <w:tcPr>
            <w:tcW w:w="1710" w:type="dxa"/>
          </w:tcPr>
          <w:p w14:paraId="33D17D59" w14:textId="77777777" w:rsidR="00D75F8F" w:rsidRPr="003720AF" w:rsidRDefault="00D75F8F" w:rsidP="00D75F8F">
            <w:pPr>
              <w:pStyle w:val="BodyText"/>
              <w:spacing w:after="0" w:line="240" w:lineRule="auto"/>
              <w:rPr>
                <w:sz w:val="20"/>
                <w:lang w:val="en-NZ"/>
              </w:rPr>
            </w:pPr>
            <w:r w:rsidRPr="003720AF">
              <w:rPr>
                <w:sz w:val="20"/>
                <w:lang w:val="en-NZ"/>
              </w:rPr>
              <w:t>TC</w:t>
            </w:r>
          </w:p>
        </w:tc>
        <w:tc>
          <w:tcPr>
            <w:tcW w:w="7928" w:type="dxa"/>
          </w:tcPr>
          <w:p w14:paraId="06C29C52" w14:textId="77777777" w:rsidR="00D75F8F" w:rsidRPr="003720AF" w:rsidRDefault="00D75F8F" w:rsidP="00D75F8F">
            <w:pPr>
              <w:pStyle w:val="BodyText"/>
              <w:spacing w:after="0" w:line="240" w:lineRule="auto"/>
              <w:rPr>
                <w:sz w:val="20"/>
                <w:lang w:val="en-NZ"/>
              </w:rPr>
            </w:pPr>
            <w:r w:rsidRPr="003720AF">
              <w:rPr>
                <w:sz w:val="20"/>
                <w:lang w:val="en-NZ"/>
              </w:rPr>
              <w:t>Transfer coefficient (cm</w:t>
            </w:r>
            <w:r w:rsidRPr="003720AF">
              <w:rPr>
                <w:sz w:val="20"/>
                <w:vertAlign w:val="superscript"/>
                <w:lang w:val="en-NZ"/>
              </w:rPr>
              <w:t>2</w:t>
            </w:r>
            <w:r w:rsidRPr="003720AF">
              <w:rPr>
                <w:sz w:val="20"/>
                <w:lang w:val="en-NZ"/>
              </w:rPr>
              <w:t>/hr)</w:t>
            </w:r>
          </w:p>
        </w:tc>
      </w:tr>
    </w:tbl>
    <w:p w14:paraId="1C07DAF0" w14:textId="77777777" w:rsidR="005507EC" w:rsidRPr="003720AF" w:rsidRDefault="005507EC" w:rsidP="005507EC">
      <w:pPr>
        <w:pStyle w:val="AppendixHeading3"/>
        <w:numPr>
          <w:ilvl w:val="0"/>
          <w:numId w:val="0"/>
        </w:numPr>
        <w:rPr>
          <w:b/>
        </w:rPr>
      </w:pPr>
      <w:bookmarkStart w:id="70" w:name="_Toc463482645"/>
    </w:p>
    <w:p w14:paraId="0B15ABD5" w14:textId="77777777" w:rsidR="004A49B0" w:rsidRPr="003720AF" w:rsidRDefault="004A49B0" w:rsidP="00825551">
      <w:pPr>
        <w:pStyle w:val="AppendixHeading3"/>
        <w:rPr>
          <w:b/>
        </w:rPr>
      </w:pPr>
      <w:bookmarkStart w:id="71" w:name="_Toc463856055"/>
      <w:r w:rsidRPr="003720AF">
        <w:rPr>
          <w:b/>
        </w:rPr>
        <w:t>Exposure parameter values</w:t>
      </w:r>
      <w:bookmarkEnd w:id="70"/>
      <w:bookmarkEnd w:id="71"/>
    </w:p>
    <w:p w14:paraId="596DC20D" w14:textId="492864C7" w:rsidR="004A49B0" w:rsidRPr="003720AF" w:rsidRDefault="004A49B0" w:rsidP="00C225D4">
      <w:pPr>
        <w:pStyle w:val="BodyText"/>
        <w:spacing w:line="360" w:lineRule="auto"/>
      </w:pPr>
      <w:r w:rsidRPr="003720AF">
        <w:t>Suggested parameter values were drawn from the 2012 SOP (USEPA 2012), the New Zealand Ministry of Health (</w:t>
      </w:r>
      <w:r w:rsidR="00667116" w:rsidRPr="003720AF">
        <w:t>Cressey and Horn</w:t>
      </w:r>
      <w:r w:rsidRPr="003720AF">
        <w:t xml:space="preserve"> 2016), OEHHA (2009a), and the scientific literature. As discussed previously, both OEHHA and CDPHE assumed 100% absorption of ingested methamphetamine. Studies with human volunteers have indicated oral bioavailability (absorption fraction) for methamphetamine hydrochloride of around 67% (Cook </w:t>
      </w:r>
      <w:r w:rsidRPr="003720AF">
        <w:rPr>
          <w:lang w:bidi="en-US"/>
        </w:rPr>
        <w:t xml:space="preserve">et al </w:t>
      </w:r>
      <w:r w:rsidRPr="003720AF">
        <w:t>1993). However, given the low concentrations of compound expected on remediated residential surfaces and the small proportion of total dose contributed by the oral route, the assumption of 100% oral bioavailability is retained here</w:t>
      </w:r>
      <w:r w:rsidR="0061761E" w:rsidRPr="003720AF">
        <w:t xml:space="preserve"> (Table A2)</w:t>
      </w:r>
      <w:r w:rsidRPr="003720AF">
        <w:t>.</w:t>
      </w:r>
    </w:p>
    <w:p w14:paraId="1EF576B4" w14:textId="360F8536" w:rsidR="004A49B0" w:rsidRPr="003720AF" w:rsidRDefault="006C6B16" w:rsidP="006C6B16">
      <w:pPr>
        <w:pStyle w:val="Caption"/>
        <w:tabs>
          <w:tab w:val="left" w:pos="993"/>
        </w:tabs>
        <w:ind w:left="993" w:hanging="993"/>
      </w:pPr>
      <w:bookmarkStart w:id="72" w:name="_Toc463482650"/>
      <w:bookmarkStart w:id="73" w:name="_Toc463798599"/>
      <w:r w:rsidRPr="003720AF">
        <w:t>Table A</w:t>
      </w:r>
      <w:fldSimple w:instr=" SEQ Table_A \* ARABIC ">
        <w:r w:rsidR="00F6014F">
          <w:rPr>
            <w:noProof/>
          </w:rPr>
          <w:t>2</w:t>
        </w:r>
      </w:fldSimple>
      <w:r w:rsidR="00A52CC2" w:rsidRPr="003720AF">
        <w:t>:</w:t>
      </w:r>
      <w:r w:rsidR="00A52CC2" w:rsidRPr="003720AF">
        <w:tab/>
      </w:r>
      <w:r w:rsidR="004A49B0" w:rsidRPr="003720AF">
        <w:t>Exposure parameter values</w:t>
      </w:r>
      <w:bookmarkEnd w:id="72"/>
      <w:bookmarkEnd w:id="73"/>
    </w:p>
    <w:tbl>
      <w:tblPr>
        <w:tblStyle w:val="ListTable22"/>
        <w:tblW w:w="9613" w:type="dxa"/>
        <w:jc w:val="center"/>
        <w:tblLook w:val="0620" w:firstRow="1" w:lastRow="0" w:firstColumn="0" w:lastColumn="0" w:noHBand="1" w:noVBand="1"/>
      </w:tblPr>
      <w:tblGrid>
        <w:gridCol w:w="5195"/>
        <w:gridCol w:w="1317"/>
        <w:gridCol w:w="983"/>
        <w:gridCol w:w="2118"/>
      </w:tblGrid>
      <w:tr w:rsidR="004A49B0" w:rsidRPr="003720AF" w14:paraId="797AE8CD" w14:textId="77777777" w:rsidTr="00D75F8F">
        <w:trPr>
          <w:cnfStyle w:val="100000000000" w:firstRow="1" w:lastRow="0" w:firstColumn="0" w:lastColumn="0" w:oddVBand="0" w:evenVBand="0" w:oddHBand="0" w:evenHBand="0" w:firstRowFirstColumn="0" w:firstRowLastColumn="0" w:lastRowFirstColumn="0" w:lastRowLastColumn="0"/>
          <w:cantSplit/>
          <w:jc w:val="center"/>
        </w:trPr>
        <w:tc>
          <w:tcPr>
            <w:tcW w:w="0" w:type="auto"/>
            <w:noWrap/>
            <w:hideMark/>
          </w:tcPr>
          <w:p w14:paraId="49D7943B"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Parameter (units)</w:t>
            </w:r>
          </w:p>
        </w:tc>
        <w:tc>
          <w:tcPr>
            <w:tcW w:w="0" w:type="auto"/>
            <w:noWrap/>
            <w:hideMark/>
          </w:tcPr>
          <w:p w14:paraId="6E5E8827"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Abbreviation</w:t>
            </w:r>
          </w:p>
        </w:tc>
        <w:tc>
          <w:tcPr>
            <w:tcW w:w="0" w:type="auto"/>
            <w:noWrap/>
            <w:hideMark/>
          </w:tcPr>
          <w:p w14:paraId="3B9A2F83"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Value</w:t>
            </w:r>
          </w:p>
        </w:tc>
        <w:tc>
          <w:tcPr>
            <w:tcW w:w="0" w:type="auto"/>
            <w:noWrap/>
            <w:hideMark/>
          </w:tcPr>
          <w:p w14:paraId="251D8B6F"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Source</w:t>
            </w:r>
          </w:p>
        </w:tc>
      </w:tr>
      <w:tr w:rsidR="004A49B0" w:rsidRPr="003720AF" w14:paraId="28CAF114" w14:textId="77777777" w:rsidTr="00D75F8F">
        <w:trPr>
          <w:cantSplit/>
          <w:jc w:val="center"/>
        </w:trPr>
        <w:tc>
          <w:tcPr>
            <w:tcW w:w="0" w:type="auto"/>
            <w:noWrap/>
            <w:hideMark/>
          </w:tcPr>
          <w:p w14:paraId="7B420B9C"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Body weight (kg)</w:t>
            </w:r>
          </w:p>
        </w:tc>
        <w:tc>
          <w:tcPr>
            <w:tcW w:w="0" w:type="auto"/>
            <w:hideMark/>
          </w:tcPr>
          <w:p w14:paraId="2FC46BB7"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BW</w:t>
            </w:r>
          </w:p>
        </w:tc>
        <w:tc>
          <w:tcPr>
            <w:tcW w:w="0" w:type="auto"/>
            <w:hideMark/>
          </w:tcPr>
          <w:p w14:paraId="1D6511B1" w14:textId="77777777" w:rsidR="004A49B0" w:rsidRPr="003720AF" w:rsidRDefault="004A49B0" w:rsidP="00E3038F">
            <w:pPr>
              <w:spacing w:before="40" w:after="40"/>
              <w:jc w:val="center"/>
              <w:rPr>
                <w:rFonts w:eastAsia="Times New Roman" w:cs="Arial"/>
                <w:color w:val="000000"/>
                <w:sz w:val="18"/>
                <w:szCs w:val="18"/>
                <w:vertAlign w:val="superscript"/>
                <w:lang w:val="en-NZ"/>
              </w:rPr>
            </w:pPr>
            <w:r w:rsidRPr="003720AF">
              <w:rPr>
                <w:rFonts w:eastAsia="Times New Roman" w:cs="Arial"/>
                <w:color w:val="000000"/>
                <w:sz w:val="18"/>
                <w:szCs w:val="18"/>
                <w:lang w:val="en-NZ"/>
              </w:rPr>
              <w:t>11 (child)</w:t>
            </w:r>
            <w:r w:rsidRPr="003720AF">
              <w:rPr>
                <w:rFonts w:eastAsia="Times New Roman" w:cs="Arial"/>
                <w:color w:val="000000"/>
                <w:sz w:val="18"/>
                <w:szCs w:val="18"/>
                <w:vertAlign w:val="superscript"/>
                <w:lang w:val="en-NZ"/>
              </w:rPr>
              <w:t>a</w:t>
            </w:r>
            <w:r w:rsidRPr="003720AF">
              <w:rPr>
                <w:rFonts w:eastAsia="Times New Roman" w:cs="Arial"/>
                <w:color w:val="000000"/>
                <w:sz w:val="18"/>
                <w:szCs w:val="18"/>
                <w:lang w:val="en-NZ"/>
              </w:rPr>
              <w:br/>
              <w:t>69 (woman)</w:t>
            </w:r>
            <w:r w:rsidRPr="003720AF">
              <w:rPr>
                <w:rFonts w:eastAsia="Times New Roman" w:cs="Arial"/>
                <w:color w:val="000000"/>
                <w:sz w:val="18"/>
                <w:szCs w:val="18"/>
                <w:vertAlign w:val="superscript"/>
                <w:lang w:val="en-NZ"/>
              </w:rPr>
              <w:t>b</w:t>
            </w:r>
          </w:p>
        </w:tc>
        <w:tc>
          <w:tcPr>
            <w:tcW w:w="0" w:type="auto"/>
            <w:noWrap/>
            <w:hideMark/>
          </w:tcPr>
          <w:p w14:paraId="49646E58" w14:textId="07333A10" w:rsidR="004A49B0" w:rsidRPr="003720AF" w:rsidRDefault="00667116"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 xml:space="preserve">Cressey and Horn </w:t>
            </w:r>
            <w:r w:rsidR="00F12B7C" w:rsidRPr="003720AF">
              <w:rPr>
                <w:rFonts w:eastAsia="Times New Roman" w:cs="Arial"/>
                <w:color w:val="000000"/>
                <w:sz w:val="18"/>
                <w:szCs w:val="18"/>
                <w:lang w:val="en-NZ"/>
              </w:rPr>
              <w:t>2016</w:t>
            </w:r>
          </w:p>
          <w:p w14:paraId="2CEA04E8" w14:textId="3E653685" w:rsidR="004A49B0" w:rsidRPr="003720AF" w:rsidRDefault="00F12B7C"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USEPA 2012</w:t>
            </w:r>
          </w:p>
        </w:tc>
      </w:tr>
      <w:tr w:rsidR="004A49B0" w:rsidRPr="003720AF" w14:paraId="3A961DE9" w14:textId="77777777" w:rsidTr="00D75F8F">
        <w:trPr>
          <w:cantSplit/>
          <w:jc w:val="center"/>
        </w:trPr>
        <w:tc>
          <w:tcPr>
            <w:tcW w:w="0" w:type="auto"/>
            <w:noWrap/>
            <w:hideMark/>
          </w:tcPr>
          <w:p w14:paraId="0C8F59F8"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Dermal absorption fraction (unitless)</w:t>
            </w:r>
          </w:p>
        </w:tc>
        <w:tc>
          <w:tcPr>
            <w:tcW w:w="0" w:type="auto"/>
            <w:hideMark/>
          </w:tcPr>
          <w:p w14:paraId="727B406E"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ABS</w:t>
            </w:r>
            <w:r w:rsidRPr="003720AF">
              <w:rPr>
                <w:rFonts w:eastAsia="Times New Roman" w:cs="Arial"/>
                <w:color w:val="000000"/>
                <w:sz w:val="18"/>
                <w:szCs w:val="18"/>
                <w:vertAlign w:val="subscript"/>
                <w:lang w:val="en-NZ"/>
              </w:rPr>
              <w:t>d</w:t>
            </w:r>
          </w:p>
        </w:tc>
        <w:tc>
          <w:tcPr>
            <w:tcW w:w="0" w:type="auto"/>
            <w:noWrap/>
            <w:hideMark/>
          </w:tcPr>
          <w:p w14:paraId="7D63A4C8"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0.57</w:t>
            </w:r>
          </w:p>
        </w:tc>
        <w:tc>
          <w:tcPr>
            <w:tcW w:w="0" w:type="auto"/>
            <w:noWrap/>
            <w:hideMark/>
          </w:tcPr>
          <w:p w14:paraId="72B5915A" w14:textId="1C53C8ED" w:rsidR="004A49B0" w:rsidRPr="003720AF" w:rsidRDefault="00F12B7C"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OEHHA 2009a</w:t>
            </w:r>
          </w:p>
        </w:tc>
      </w:tr>
      <w:tr w:rsidR="004A49B0" w:rsidRPr="003720AF" w14:paraId="0830AD47" w14:textId="77777777" w:rsidTr="00D75F8F">
        <w:trPr>
          <w:cantSplit/>
          <w:jc w:val="center"/>
        </w:trPr>
        <w:tc>
          <w:tcPr>
            <w:tcW w:w="0" w:type="auto"/>
            <w:noWrap/>
          </w:tcPr>
          <w:p w14:paraId="2C0642FF"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Oral absorption fraction (unitless)</w:t>
            </w:r>
          </w:p>
        </w:tc>
        <w:tc>
          <w:tcPr>
            <w:tcW w:w="0" w:type="auto"/>
          </w:tcPr>
          <w:p w14:paraId="0744F1D4"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ABS</w:t>
            </w:r>
            <w:r w:rsidRPr="003720AF">
              <w:rPr>
                <w:rFonts w:eastAsia="Times New Roman" w:cs="Arial"/>
                <w:color w:val="000000"/>
                <w:sz w:val="18"/>
                <w:szCs w:val="18"/>
                <w:vertAlign w:val="subscript"/>
                <w:lang w:val="en-NZ"/>
              </w:rPr>
              <w:t>o</w:t>
            </w:r>
          </w:p>
        </w:tc>
        <w:tc>
          <w:tcPr>
            <w:tcW w:w="0" w:type="auto"/>
            <w:noWrap/>
          </w:tcPr>
          <w:p w14:paraId="7AFE0689"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1</w:t>
            </w:r>
          </w:p>
        </w:tc>
        <w:tc>
          <w:tcPr>
            <w:tcW w:w="0" w:type="auto"/>
            <w:noWrap/>
          </w:tcPr>
          <w:p w14:paraId="7E4DC2A2" w14:textId="5706A8AA" w:rsidR="004A49B0" w:rsidRPr="003720AF" w:rsidRDefault="00F12B7C" w:rsidP="00F12B7C">
            <w:pPr>
              <w:spacing w:before="40" w:after="40"/>
              <w:rPr>
                <w:rFonts w:eastAsia="Times New Roman" w:cs="Arial"/>
                <w:color w:val="000000"/>
                <w:sz w:val="18"/>
                <w:szCs w:val="18"/>
                <w:lang w:val="en-NZ"/>
              </w:rPr>
            </w:pPr>
            <w:r w:rsidRPr="003720AF">
              <w:rPr>
                <w:rFonts w:eastAsia="Times New Roman" w:cs="Arial"/>
                <w:color w:val="000000"/>
                <w:sz w:val="18"/>
                <w:szCs w:val="18"/>
                <w:lang w:val="en-NZ"/>
              </w:rPr>
              <w:t xml:space="preserve">OEHHA </w:t>
            </w:r>
            <w:r w:rsidR="004A49B0" w:rsidRPr="003720AF">
              <w:rPr>
                <w:rFonts w:eastAsia="Times New Roman" w:cs="Arial"/>
                <w:color w:val="000000"/>
                <w:sz w:val="18"/>
                <w:szCs w:val="18"/>
                <w:lang w:val="en-NZ"/>
              </w:rPr>
              <w:t>2009a</w:t>
            </w:r>
          </w:p>
        </w:tc>
      </w:tr>
      <w:tr w:rsidR="004A49B0" w:rsidRPr="003720AF" w14:paraId="62F4CF08" w14:textId="77777777" w:rsidTr="00D75F8F">
        <w:trPr>
          <w:cantSplit/>
          <w:jc w:val="center"/>
        </w:trPr>
        <w:tc>
          <w:tcPr>
            <w:tcW w:w="0" w:type="auto"/>
            <w:noWrap/>
            <w:hideMark/>
          </w:tcPr>
          <w:p w14:paraId="4E7429F9"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Fraction of hand surface area mouthed/event (unitless)</w:t>
            </w:r>
          </w:p>
        </w:tc>
        <w:tc>
          <w:tcPr>
            <w:tcW w:w="0" w:type="auto"/>
            <w:hideMark/>
          </w:tcPr>
          <w:p w14:paraId="597B239A"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F</w:t>
            </w:r>
            <w:r w:rsidRPr="003720AF">
              <w:rPr>
                <w:rFonts w:eastAsia="Times New Roman" w:cs="Arial"/>
                <w:color w:val="000000"/>
                <w:sz w:val="18"/>
                <w:szCs w:val="18"/>
                <w:vertAlign w:val="subscript"/>
                <w:lang w:val="en-NZ"/>
              </w:rPr>
              <w:t>m</w:t>
            </w:r>
          </w:p>
        </w:tc>
        <w:tc>
          <w:tcPr>
            <w:tcW w:w="0" w:type="auto"/>
            <w:noWrap/>
            <w:hideMark/>
          </w:tcPr>
          <w:p w14:paraId="6411A53B"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0.13</w:t>
            </w:r>
          </w:p>
        </w:tc>
        <w:tc>
          <w:tcPr>
            <w:tcW w:w="0" w:type="auto"/>
            <w:noWrap/>
            <w:hideMark/>
          </w:tcPr>
          <w:p w14:paraId="13FCC3EB" w14:textId="20CA2BC4" w:rsidR="004A49B0" w:rsidRPr="003720AF" w:rsidRDefault="00F12B7C" w:rsidP="00F12B7C">
            <w:pPr>
              <w:spacing w:before="40" w:after="40"/>
              <w:rPr>
                <w:rFonts w:eastAsia="Times New Roman" w:cs="Arial"/>
                <w:color w:val="000000"/>
                <w:sz w:val="18"/>
                <w:szCs w:val="18"/>
                <w:lang w:val="en-NZ"/>
              </w:rPr>
            </w:pPr>
            <w:r w:rsidRPr="003720AF">
              <w:rPr>
                <w:rFonts w:eastAsia="Times New Roman" w:cs="Arial"/>
                <w:color w:val="000000"/>
                <w:sz w:val="18"/>
                <w:szCs w:val="18"/>
                <w:lang w:val="en-NZ"/>
              </w:rPr>
              <w:t xml:space="preserve">USEPA </w:t>
            </w:r>
            <w:r w:rsidR="004A49B0" w:rsidRPr="003720AF">
              <w:rPr>
                <w:rFonts w:eastAsia="Times New Roman" w:cs="Arial"/>
                <w:color w:val="000000"/>
                <w:sz w:val="18"/>
                <w:szCs w:val="18"/>
                <w:lang w:val="en-NZ"/>
              </w:rPr>
              <w:t>2012</w:t>
            </w:r>
          </w:p>
        </w:tc>
      </w:tr>
      <w:tr w:rsidR="004A49B0" w:rsidRPr="003720AF" w14:paraId="591AC66E" w14:textId="77777777" w:rsidTr="00D75F8F">
        <w:trPr>
          <w:cantSplit/>
          <w:jc w:val="center"/>
        </w:trPr>
        <w:tc>
          <w:tcPr>
            <w:tcW w:w="0" w:type="auto"/>
            <w:noWrap/>
            <w:hideMark/>
          </w:tcPr>
          <w:p w14:paraId="64B75CBE"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Fraction on hands compared to entire body (unitless)</w:t>
            </w:r>
          </w:p>
        </w:tc>
        <w:tc>
          <w:tcPr>
            <w:tcW w:w="0" w:type="auto"/>
            <w:hideMark/>
          </w:tcPr>
          <w:p w14:paraId="696DC202"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FH</w:t>
            </w:r>
          </w:p>
        </w:tc>
        <w:tc>
          <w:tcPr>
            <w:tcW w:w="0" w:type="auto"/>
            <w:noWrap/>
            <w:hideMark/>
          </w:tcPr>
          <w:p w14:paraId="32B8B087"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0.15</w:t>
            </w:r>
          </w:p>
        </w:tc>
        <w:tc>
          <w:tcPr>
            <w:tcW w:w="0" w:type="auto"/>
            <w:noWrap/>
            <w:hideMark/>
          </w:tcPr>
          <w:p w14:paraId="7258F0CC" w14:textId="79CF9134" w:rsidR="004A49B0" w:rsidRPr="003720AF" w:rsidRDefault="00F12B7C" w:rsidP="00F12B7C">
            <w:pPr>
              <w:spacing w:before="40" w:after="40"/>
              <w:rPr>
                <w:rFonts w:eastAsia="Times New Roman" w:cs="Arial"/>
                <w:color w:val="000000"/>
                <w:sz w:val="18"/>
                <w:szCs w:val="18"/>
                <w:lang w:val="en-NZ"/>
              </w:rPr>
            </w:pPr>
            <w:r w:rsidRPr="003720AF">
              <w:rPr>
                <w:rFonts w:eastAsia="Times New Roman" w:cs="Arial"/>
                <w:color w:val="000000"/>
                <w:sz w:val="18"/>
                <w:szCs w:val="18"/>
                <w:lang w:val="en-NZ"/>
              </w:rPr>
              <w:t xml:space="preserve">USEPA </w:t>
            </w:r>
            <w:r w:rsidR="004A49B0" w:rsidRPr="003720AF">
              <w:rPr>
                <w:rFonts w:eastAsia="Times New Roman" w:cs="Arial"/>
                <w:color w:val="000000"/>
                <w:sz w:val="18"/>
                <w:szCs w:val="18"/>
                <w:lang w:val="en-NZ"/>
              </w:rPr>
              <w:t>2012</w:t>
            </w:r>
          </w:p>
        </w:tc>
      </w:tr>
      <w:tr w:rsidR="004A49B0" w:rsidRPr="003720AF" w14:paraId="5BFB7B97" w14:textId="77777777" w:rsidTr="00D75F8F">
        <w:trPr>
          <w:cantSplit/>
          <w:jc w:val="center"/>
        </w:trPr>
        <w:tc>
          <w:tcPr>
            <w:tcW w:w="0" w:type="auto"/>
            <w:noWrap/>
            <w:hideMark/>
          </w:tcPr>
          <w:p w14:paraId="733B61C5"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Fraction transferred from hard surface to skin (unitless)</w:t>
            </w:r>
          </w:p>
        </w:tc>
        <w:tc>
          <w:tcPr>
            <w:tcW w:w="0" w:type="auto"/>
            <w:hideMark/>
          </w:tcPr>
          <w:p w14:paraId="4822AD6A"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FTSS</w:t>
            </w:r>
            <w:r w:rsidRPr="003720AF">
              <w:rPr>
                <w:rFonts w:eastAsia="Times New Roman" w:cs="Arial"/>
                <w:color w:val="000000"/>
                <w:sz w:val="18"/>
                <w:szCs w:val="18"/>
                <w:vertAlign w:val="subscript"/>
                <w:lang w:val="en-NZ"/>
              </w:rPr>
              <w:t>h</w:t>
            </w:r>
          </w:p>
        </w:tc>
        <w:tc>
          <w:tcPr>
            <w:tcW w:w="0" w:type="auto"/>
            <w:noWrap/>
            <w:hideMark/>
          </w:tcPr>
          <w:p w14:paraId="7563963E"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0.07</w:t>
            </w:r>
          </w:p>
        </w:tc>
        <w:tc>
          <w:tcPr>
            <w:tcW w:w="0" w:type="auto"/>
            <w:noWrap/>
            <w:hideMark/>
          </w:tcPr>
          <w:p w14:paraId="0887C775" w14:textId="68A507A8" w:rsidR="004A49B0" w:rsidRPr="003720AF" w:rsidRDefault="00F12B7C"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OEHHA 2009a</w:t>
            </w:r>
          </w:p>
        </w:tc>
      </w:tr>
      <w:tr w:rsidR="004A49B0" w:rsidRPr="003720AF" w14:paraId="393A8599" w14:textId="77777777" w:rsidTr="00D75F8F">
        <w:trPr>
          <w:cantSplit/>
          <w:jc w:val="center"/>
        </w:trPr>
        <w:tc>
          <w:tcPr>
            <w:tcW w:w="0" w:type="auto"/>
            <w:noWrap/>
            <w:hideMark/>
          </w:tcPr>
          <w:p w14:paraId="59C13083"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Frequency of hand-to-mouth contacts (events/hr)</w:t>
            </w:r>
          </w:p>
        </w:tc>
        <w:tc>
          <w:tcPr>
            <w:tcW w:w="0" w:type="auto"/>
            <w:hideMark/>
          </w:tcPr>
          <w:p w14:paraId="636EF791"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Fr</w:t>
            </w:r>
            <w:r w:rsidRPr="003720AF">
              <w:rPr>
                <w:rFonts w:eastAsia="Times New Roman" w:cs="Arial"/>
                <w:color w:val="000000"/>
                <w:sz w:val="18"/>
                <w:szCs w:val="18"/>
                <w:vertAlign w:val="subscript"/>
                <w:lang w:val="en-NZ"/>
              </w:rPr>
              <w:t>h-m</w:t>
            </w:r>
          </w:p>
        </w:tc>
        <w:tc>
          <w:tcPr>
            <w:tcW w:w="0" w:type="auto"/>
            <w:noWrap/>
            <w:hideMark/>
          </w:tcPr>
          <w:p w14:paraId="331C57AF"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20</w:t>
            </w:r>
          </w:p>
        </w:tc>
        <w:tc>
          <w:tcPr>
            <w:tcW w:w="0" w:type="auto"/>
            <w:noWrap/>
            <w:hideMark/>
          </w:tcPr>
          <w:p w14:paraId="615C9E87" w14:textId="470B4CD9" w:rsidR="004A49B0" w:rsidRPr="003720AF" w:rsidRDefault="00F12B7C"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Cressey and Horn 2016</w:t>
            </w:r>
          </w:p>
        </w:tc>
      </w:tr>
      <w:tr w:rsidR="004A49B0" w:rsidRPr="003720AF" w14:paraId="23790FDB" w14:textId="77777777" w:rsidTr="00D75F8F">
        <w:trPr>
          <w:cantSplit/>
          <w:jc w:val="center"/>
        </w:trPr>
        <w:tc>
          <w:tcPr>
            <w:tcW w:w="0" w:type="auto"/>
            <w:noWrap/>
            <w:hideMark/>
          </w:tcPr>
          <w:p w14:paraId="15240F48"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Number of replenishments on hard surface per day (ET</w:t>
            </w:r>
            <w:r w:rsidRPr="003720AF">
              <w:rPr>
                <w:rFonts w:eastAsia="Times New Roman" w:cs="Arial"/>
                <w:color w:val="000000"/>
                <w:sz w:val="18"/>
                <w:szCs w:val="18"/>
                <w:vertAlign w:val="subscript"/>
                <w:lang w:val="en-NZ"/>
              </w:rPr>
              <w:t>h</w:t>
            </w:r>
            <w:r w:rsidRPr="003720AF">
              <w:rPr>
                <w:rFonts w:eastAsia="Times New Roman" w:cs="Arial"/>
                <w:color w:val="000000"/>
                <w:sz w:val="18"/>
                <w:szCs w:val="18"/>
                <w:lang w:val="en-NZ"/>
              </w:rPr>
              <w:t xml:space="preserve"> x NR)</w:t>
            </w:r>
          </w:p>
        </w:tc>
        <w:tc>
          <w:tcPr>
            <w:tcW w:w="0" w:type="auto"/>
            <w:hideMark/>
          </w:tcPr>
          <w:p w14:paraId="236B08B0"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NR</w:t>
            </w:r>
            <w:r w:rsidRPr="003720AF">
              <w:rPr>
                <w:rFonts w:eastAsia="Times New Roman" w:cs="Arial"/>
                <w:color w:val="000000"/>
                <w:sz w:val="18"/>
                <w:szCs w:val="18"/>
                <w:vertAlign w:val="subscript"/>
                <w:lang w:val="en-NZ"/>
              </w:rPr>
              <w:t>h</w:t>
            </w:r>
          </w:p>
        </w:tc>
        <w:tc>
          <w:tcPr>
            <w:tcW w:w="0" w:type="auto"/>
            <w:noWrap/>
            <w:hideMark/>
          </w:tcPr>
          <w:p w14:paraId="5C38FF02"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8</w:t>
            </w:r>
          </w:p>
        </w:tc>
        <w:tc>
          <w:tcPr>
            <w:tcW w:w="0" w:type="auto"/>
            <w:noWrap/>
            <w:hideMark/>
          </w:tcPr>
          <w:p w14:paraId="119BDCFA"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Calculated</w:t>
            </w:r>
          </w:p>
        </w:tc>
      </w:tr>
      <w:tr w:rsidR="004A49B0" w:rsidRPr="003720AF" w14:paraId="30695974" w14:textId="77777777" w:rsidTr="00D75F8F">
        <w:trPr>
          <w:cantSplit/>
          <w:jc w:val="center"/>
        </w:trPr>
        <w:tc>
          <w:tcPr>
            <w:tcW w:w="0" w:type="auto"/>
            <w:noWrap/>
            <w:hideMark/>
          </w:tcPr>
          <w:p w14:paraId="7661FE66"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 xml:space="preserve">Number of replenishments per hour </w:t>
            </w:r>
          </w:p>
        </w:tc>
        <w:tc>
          <w:tcPr>
            <w:tcW w:w="0" w:type="auto"/>
            <w:hideMark/>
          </w:tcPr>
          <w:p w14:paraId="286997F3"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NR</w:t>
            </w:r>
          </w:p>
        </w:tc>
        <w:tc>
          <w:tcPr>
            <w:tcW w:w="0" w:type="auto"/>
            <w:noWrap/>
            <w:hideMark/>
          </w:tcPr>
          <w:p w14:paraId="75F719B8"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4</w:t>
            </w:r>
          </w:p>
        </w:tc>
        <w:tc>
          <w:tcPr>
            <w:tcW w:w="0" w:type="auto"/>
            <w:noWrap/>
            <w:hideMark/>
          </w:tcPr>
          <w:p w14:paraId="23A29CE2" w14:textId="3CC69D54"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USE</w:t>
            </w:r>
            <w:r w:rsidR="00F12B7C" w:rsidRPr="003720AF">
              <w:rPr>
                <w:rFonts w:eastAsia="Times New Roman" w:cs="Arial"/>
                <w:color w:val="000000"/>
                <w:sz w:val="18"/>
                <w:szCs w:val="18"/>
                <w:lang w:val="en-NZ"/>
              </w:rPr>
              <w:t>PA 2012</w:t>
            </w:r>
          </w:p>
        </w:tc>
      </w:tr>
      <w:tr w:rsidR="004A49B0" w:rsidRPr="003720AF" w14:paraId="1B33E04B" w14:textId="77777777" w:rsidTr="00D75F8F">
        <w:trPr>
          <w:cantSplit/>
          <w:jc w:val="center"/>
        </w:trPr>
        <w:tc>
          <w:tcPr>
            <w:tcW w:w="0" w:type="auto"/>
            <w:noWrap/>
            <w:hideMark/>
          </w:tcPr>
          <w:p w14:paraId="54997854"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Saliva extraction factor (unitless)</w:t>
            </w:r>
          </w:p>
        </w:tc>
        <w:tc>
          <w:tcPr>
            <w:tcW w:w="0" w:type="auto"/>
            <w:hideMark/>
          </w:tcPr>
          <w:p w14:paraId="1EAA0968"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SE</w:t>
            </w:r>
          </w:p>
        </w:tc>
        <w:tc>
          <w:tcPr>
            <w:tcW w:w="0" w:type="auto"/>
            <w:noWrap/>
            <w:hideMark/>
          </w:tcPr>
          <w:p w14:paraId="7C379AEB"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0.48</w:t>
            </w:r>
          </w:p>
        </w:tc>
        <w:tc>
          <w:tcPr>
            <w:tcW w:w="0" w:type="auto"/>
            <w:noWrap/>
            <w:hideMark/>
          </w:tcPr>
          <w:p w14:paraId="7C3F15CA" w14:textId="13DC0C78" w:rsidR="004A49B0" w:rsidRPr="003720AF" w:rsidRDefault="004A49B0" w:rsidP="00F12B7C">
            <w:pPr>
              <w:spacing w:before="40" w:after="40"/>
              <w:rPr>
                <w:rFonts w:eastAsia="Times New Roman" w:cs="Arial"/>
                <w:color w:val="000000"/>
                <w:sz w:val="18"/>
                <w:szCs w:val="18"/>
                <w:lang w:val="en-NZ"/>
              </w:rPr>
            </w:pPr>
            <w:r w:rsidRPr="003720AF">
              <w:rPr>
                <w:rFonts w:eastAsia="Times New Roman" w:cs="Arial"/>
                <w:color w:val="000000"/>
                <w:sz w:val="18"/>
                <w:szCs w:val="18"/>
                <w:lang w:val="en-NZ"/>
              </w:rPr>
              <w:t xml:space="preserve">USEPA </w:t>
            </w:r>
            <w:r w:rsidR="00F12B7C" w:rsidRPr="003720AF">
              <w:rPr>
                <w:rFonts w:eastAsia="Times New Roman" w:cs="Arial"/>
                <w:color w:val="000000"/>
                <w:sz w:val="18"/>
                <w:szCs w:val="18"/>
                <w:lang w:val="en-NZ"/>
              </w:rPr>
              <w:t>2012</w:t>
            </w:r>
          </w:p>
        </w:tc>
      </w:tr>
      <w:tr w:rsidR="004A49B0" w:rsidRPr="003720AF" w14:paraId="3EC5791A" w14:textId="77777777" w:rsidTr="00D75F8F">
        <w:trPr>
          <w:cantSplit/>
          <w:jc w:val="center"/>
        </w:trPr>
        <w:tc>
          <w:tcPr>
            <w:tcW w:w="0" w:type="auto"/>
            <w:noWrap/>
            <w:hideMark/>
          </w:tcPr>
          <w:p w14:paraId="3030651B" w14:textId="77777777" w:rsidR="004A49B0" w:rsidRPr="003720AF" w:rsidRDefault="004A49B0"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Surface area of one hand (cm</w:t>
            </w:r>
            <w:r w:rsidRPr="003720AF">
              <w:rPr>
                <w:rFonts w:eastAsia="Times New Roman" w:cs="Arial"/>
                <w:color w:val="000000"/>
                <w:sz w:val="18"/>
                <w:szCs w:val="18"/>
                <w:vertAlign w:val="superscript"/>
                <w:lang w:val="en-NZ"/>
              </w:rPr>
              <w:t>2</w:t>
            </w:r>
            <w:r w:rsidRPr="003720AF">
              <w:rPr>
                <w:rFonts w:eastAsia="Times New Roman" w:cs="Arial"/>
                <w:color w:val="000000"/>
                <w:sz w:val="18"/>
                <w:szCs w:val="18"/>
                <w:lang w:val="en-NZ"/>
              </w:rPr>
              <w:t>)</w:t>
            </w:r>
          </w:p>
        </w:tc>
        <w:tc>
          <w:tcPr>
            <w:tcW w:w="0" w:type="auto"/>
            <w:hideMark/>
          </w:tcPr>
          <w:p w14:paraId="4BA377B4" w14:textId="77777777" w:rsidR="004A49B0" w:rsidRPr="003720AF" w:rsidRDefault="004A49B0" w:rsidP="00E303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SA</w:t>
            </w:r>
            <w:r w:rsidRPr="003720AF">
              <w:rPr>
                <w:rFonts w:eastAsia="Times New Roman" w:cs="Arial"/>
                <w:color w:val="000000"/>
                <w:sz w:val="18"/>
                <w:szCs w:val="18"/>
                <w:vertAlign w:val="subscript"/>
                <w:lang w:val="en-NZ"/>
              </w:rPr>
              <w:t>hand</w:t>
            </w:r>
          </w:p>
        </w:tc>
        <w:tc>
          <w:tcPr>
            <w:tcW w:w="0" w:type="auto"/>
            <w:noWrap/>
            <w:hideMark/>
          </w:tcPr>
          <w:p w14:paraId="59340563" w14:textId="77777777" w:rsidR="004A49B0" w:rsidRPr="003720AF" w:rsidRDefault="004A49B0" w:rsidP="00E303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150</w:t>
            </w:r>
          </w:p>
        </w:tc>
        <w:tc>
          <w:tcPr>
            <w:tcW w:w="0" w:type="auto"/>
            <w:noWrap/>
            <w:hideMark/>
          </w:tcPr>
          <w:p w14:paraId="3BBF8E5E" w14:textId="4A0593A9" w:rsidR="004A49B0" w:rsidRPr="003720AF" w:rsidRDefault="00F12B7C" w:rsidP="00E303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Cressey and Horn 2016</w:t>
            </w:r>
          </w:p>
        </w:tc>
      </w:tr>
      <w:tr w:rsidR="00D75F8F" w:rsidRPr="003720AF" w14:paraId="067D6B91" w14:textId="77777777" w:rsidTr="00D75F8F">
        <w:trPr>
          <w:cantSplit/>
          <w:jc w:val="center"/>
        </w:trPr>
        <w:tc>
          <w:tcPr>
            <w:tcW w:w="0" w:type="auto"/>
            <w:noWrap/>
          </w:tcPr>
          <w:p w14:paraId="79F02E47" w14:textId="5EC5C02C" w:rsidR="00D75F8F" w:rsidRPr="003720AF" w:rsidRDefault="00D75F8F" w:rsidP="00D75F8F">
            <w:pPr>
              <w:spacing w:before="40" w:after="40"/>
              <w:rPr>
                <w:rFonts w:eastAsia="Times New Roman" w:cs="Arial"/>
                <w:color w:val="000000"/>
                <w:sz w:val="18"/>
                <w:szCs w:val="18"/>
              </w:rPr>
            </w:pPr>
            <w:r>
              <w:rPr>
                <w:rFonts w:eastAsia="Times New Roman" w:cs="Arial"/>
                <w:color w:val="000000"/>
                <w:sz w:val="18"/>
                <w:szCs w:val="18"/>
                <w:lang w:val="en-NZ"/>
              </w:rPr>
              <w:t>Time spent on hard surface (hr</w:t>
            </w:r>
            <w:r w:rsidRPr="003720AF">
              <w:rPr>
                <w:rFonts w:eastAsia="Times New Roman" w:cs="Arial"/>
                <w:color w:val="000000"/>
                <w:sz w:val="18"/>
                <w:szCs w:val="18"/>
                <w:lang w:val="en-NZ"/>
              </w:rPr>
              <w:t>)</w:t>
            </w:r>
          </w:p>
        </w:tc>
        <w:tc>
          <w:tcPr>
            <w:tcW w:w="0" w:type="auto"/>
          </w:tcPr>
          <w:p w14:paraId="0E2C46D1" w14:textId="636A2F59" w:rsidR="00D75F8F" w:rsidRPr="003720AF" w:rsidRDefault="00D75F8F" w:rsidP="00D75F8F">
            <w:pPr>
              <w:spacing w:before="40" w:after="40"/>
              <w:jc w:val="both"/>
              <w:rPr>
                <w:rFonts w:eastAsia="Times New Roman" w:cs="Arial"/>
                <w:color w:val="000000"/>
                <w:sz w:val="18"/>
                <w:szCs w:val="18"/>
              </w:rPr>
            </w:pPr>
            <w:r w:rsidRPr="003720AF">
              <w:rPr>
                <w:rFonts w:eastAsia="Times New Roman" w:cs="Arial"/>
                <w:color w:val="000000"/>
                <w:sz w:val="18"/>
                <w:szCs w:val="18"/>
                <w:lang w:val="en-NZ"/>
              </w:rPr>
              <w:t>ET</w:t>
            </w:r>
          </w:p>
        </w:tc>
        <w:tc>
          <w:tcPr>
            <w:tcW w:w="0" w:type="auto"/>
            <w:noWrap/>
          </w:tcPr>
          <w:p w14:paraId="53A57E7D" w14:textId="7BA76197" w:rsidR="00D75F8F" w:rsidRPr="003720AF" w:rsidRDefault="00D75F8F" w:rsidP="00D75F8F">
            <w:pPr>
              <w:spacing w:before="40" w:after="40"/>
              <w:jc w:val="center"/>
              <w:rPr>
                <w:rFonts w:eastAsia="Times New Roman" w:cs="Arial"/>
                <w:color w:val="000000"/>
                <w:sz w:val="18"/>
                <w:szCs w:val="18"/>
              </w:rPr>
            </w:pPr>
            <w:r w:rsidRPr="003720AF">
              <w:rPr>
                <w:rFonts w:eastAsia="Times New Roman" w:cs="Arial"/>
                <w:color w:val="000000"/>
                <w:sz w:val="18"/>
                <w:szCs w:val="18"/>
                <w:lang w:val="en-NZ"/>
              </w:rPr>
              <w:t>2</w:t>
            </w:r>
          </w:p>
        </w:tc>
        <w:tc>
          <w:tcPr>
            <w:tcW w:w="0" w:type="auto"/>
            <w:noWrap/>
          </w:tcPr>
          <w:p w14:paraId="0EF274F4" w14:textId="5F57CC26" w:rsidR="00D75F8F" w:rsidRPr="003720AF" w:rsidRDefault="00D75F8F" w:rsidP="00D75F8F">
            <w:pPr>
              <w:spacing w:before="40" w:after="40"/>
              <w:rPr>
                <w:rFonts w:eastAsia="Times New Roman" w:cs="Arial"/>
                <w:color w:val="000000"/>
                <w:sz w:val="18"/>
                <w:szCs w:val="18"/>
              </w:rPr>
            </w:pPr>
            <w:r w:rsidRPr="003720AF">
              <w:rPr>
                <w:rFonts w:eastAsia="Times New Roman" w:cs="Arial"/>
                <w:color w:val="000000"/>
                <w:sz w:val="18"/>
                <w:szCs w:val="18"/>
                <w:lang w:val="en-NZ"/>
              </w:rPr>
              <w:t>USEPA 2012</w:t>
            </w:r>
          </w:p>
        </w:tc>
      </w:tr>
      <w:tr w:rsidR="00D75F8F" w:rsidRPr="003720AF" w14:paraId="32DFD865" w14:textId="77777777" w:rsidTr="00D75F8F">
        <w:trPr>
          <w:cantSplit/>
          <w:jc w:val="center"/>
        </w:trPr>
        <w:tc>
          <w:tcPr>
            <w:tcW w:w="0" w:type="auto"/>
            <w:noWrap/>
            <w:hideMark/>
          </w:tcPr>
          <w:p w14:paraId="38C3A2D4" w14:textId="77777777" w:rsidR="00D75F8F" w:rsidRPr="003720AF" w:rsidRDefault="00D75F8F" w:rsidP="00D75F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Time spent on hard surface (hr/day)</w:t>
            </w:r>
          </w:p>
        </w:tc>
        <w:tc>
          <w:tcPr>
            <w:tcW w:w="0" w:type="auto"/>
            <w:hideMark/>
          </w:tcPr>
          <w:p w14:paraId="444A6453" w14:textId="77777777" w:rsidR="00D75F8F" w:rsidRPr="003720AF" w:rsidRDefault="00D75F8F" w:rsidP="00D75F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ET</w:t>
            </w:r>
            <w:r w:rsidRPr="003720AF">
              <w:rPr>
                <w:rFonts w:eastAsia="Times New Roman" w:cs="Arial"/>
                <w:color w:val="000000"/>
                <w:sz w:val="18"/>
                <w:szCs w:val="18"/>
                <w:vertAlign w:val="subscript"/>
                <w:lang w:val="en-NZ"/>
              </w:rPr>
              <w:t>h</w:t>
            </w:r>
          </w:p>
        </w:tc>
        <w:tc>
          <w:tcPr>
            <w:tcW w:w="0" w:type="auto"/>
            <w:noWrap/>
            <w:hideMark/>
          </w:tcPr>
          <w:p w14:paraId="74F79EAA" w14:textId="77777777" w:rsidR="00D75F8F" w:rsidRPr="003720AF" w:rsidRDefault="00D75F8F" w:rsidP="00D75F8F">
            <w:pPr>
              <w:spacing w:before="40" w:after="40"/>
              <w:jc w:val="center"/>
              <w:rPr>
                <w:rFonts w:eastAsia="Times New Roman" w:cs="Arial"/>
                <w:color w:val="000000"/>
                <w:sz w:val="18"/>
                <w:szCs w:val="18"/>
                <w:lang w:val="en-NZ"/>
              </w:rPr>
            </w:pPr>
            <w:r w:rsidRPr="003720AF">
              <w:rPr>
                <w:rFonts w:eastAsia="Times New Roman" w:cs="Arial"/>
                <w:color w:val="000000"/>
                <w:sz w:val="18"/>
                <w:szCs w:val="18"/>
                <w:lang w:val="en-NZ"/>
              </w:rPr>
              <w:t>2</w:t>
            </w:r>
          </w:p>
        </w:tc>
        <w:tc>
          <w:tcPr>
            <w:tcW w:w="0" w:type="auto"/>
            <w:noWrap/>
            <w:hideMark/>
          </w:tcPr>
          <w:p w14:paraId="5A8EC9C8" w14:textId="2BF02EA0" w:rsidR="00D75F8F" w:rsidRPr="003720AF" w:rsidRDefault="00D75F8F" w:rsidP="00D75F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USEPA 2012</w:t>
            </w:r>
          </w:p>
        </w:tc>
      </w:tr>
      <w:tr w:rsidR="00D75F8F" w:rsidRPr="003720AF" w14:paraId="74F4DC87" w14:textId="77777777" w:rsidTr="00D75F8F">
        <w:trPr>
          <w:cantSplit/>
          <w:jc w:val="center"/>
        </w:trPr>
        <w:tc>
          <w:tcPr>
            <w:tcW w:w="0" w:type="auto"/>
            <w:noWrap/>
            <w:hideMark/>
          </w:tcPr>
          <w:p w14:paraId="507D7342" w14:textId="77777777" w:rsidR="00D75F8F" w:rsidRPr="003720AF" w:rsidRDefault="00D75F8F" w:rsidP="00D75F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Transfer coefficient (cm</w:t>
            </w:r>
            <w:r w:rsidRPr="003720AF">
              <w:rPr>
                <w:rFonts w:eastAsia="Times New Roman" w:cs="Arial"/>
                <w:color w:val="000000"/>
                <w:sz w:val="18"/>
                <w:szCs w:val="18"/>
                <w:vertAlign w:val="superscript"/>
                <w:lang w:val="en-NZ"/>
              </w:rPr>
              <w:t>2</w:t>
            </w:r>
            <w:r w:rsidRPr="003720AF">
              <w:rPr>
                <w:rFonts w:eastAsia="Times New Roman" w:cs="Arial"/>
                <w:color w:val="000000"/>
                <w:sz w:val="18"/>
                <w:szCs w:val="18"/>
                <w:lang w:val="en-NZ"/>
              </w:rPr>
              <w:t>/hr)</w:t>
            </w:r>
          </w:p>
        </w:tc>
        <w:tc>
          <w:tcPr>
            <w:tcW w:w="0" w:type="auto"/>
            <w:hideMark/>
          </w:tcPr>
          <w:p w14:paraId="77BB7946" w14:textId="77777777" w:rsidR="00D75F8F" w:rsidRPr="003720AF" w:rsidRDefault="00D75F8F" w:rsidP="00D75F8F">
            <w:pPr>
              <w:spacing w:before="40" w:after="40"/>
              <w:jc w:val="both"/>
              <w:rPr>
                <w:rFonts w:eastAsia="Times New Roman" w:cs="Arial"/>
                <w:color w:val="000000"/>
                <w:sz w:val="18"/>
                <w:szCs w:val="18"/>
                <w:lang w:val="en-NZ"/>
              </w:rPr>
            </w:pPr>
            <w:r w:rsidRPr="003720AF">
              <w:rPr>
                <w:rFonts w:eastAsia="Times New Roman" w:cs="Arial"/>
                <w:color w:val="000000"/>
                <w:sz w:val="18"/>
                <w:szCs w:val="18"/>
                <w:lang w:val="en-NZ"/>
              </w:rPr>
              <w:t>TC</w:t>
            </w:r>
          </w:p>
        </w:tc>
        <w:tc>
          <w:tcPr>
            <w:tcW w:w="0" w:type="auto"/>
            <w:hideMark/>
          </w:tcPr>
          <w:p w14:paraId="6E286B83" w14:textId="77777777" w:rsidR="00D75F8F" w:rsidRPr="003720AF" w:rsidRDefault="00D75F8F" w:rsidP="00D75F8F">
            <w:pPr>
              <w:spacing w:before="40" w:after="40"/>
              <w:jc w:val="center"/>
              <w:rPr>
                <w:rFonts w:eastAsia="Times New Roman" w:cs="Arial"/>
                <w:color w:val="000000"/>
                <w:sz w:val="18"/>
                <w:szCs w:val="18"/>
                <w:vertAlign w:val="superscript"/>
                <w:lang w:val="en-NZ"/>
              </w:rPr>
            </w:pPr>
            <w:r w:rsidRPr="003720AF">
              <w:rPr>
                <w:rFonts w:eastAsia="Times New Roman" w:cs="Arial"/>
                <w:color w:val="000000"/>
                <w:sz w:val="18"/>
                <w:szCs w:val="18"/>
                <w:lang w:val="en-NZ"/>
              </w:rPr>
              <w:t>1,800 (child)</w:t>
            </w:r>
            <w:r w:rsidRPr="003720AF">
              <w:rPr>
                <w:rFonts w:eastAsia="Times New Roman" w:cs="Arial"/>
                <w:color w:val="000000"/>
                <w:sz w:val="18"/>
                <w:szCs w:val="18"/>
                <w:lang w:val="en-NZ"/>
              </w:rPr>
              <w:br/>
              <w:t>6,800 (woman)</w:t>
            </w:r>
          </w:p>
        </w:tc>
        <w:tc>
          <w:tcPr>
            <w:tcW w:w="0" w:type="auto"/>
            <w:noWrap/>
            <w:hideMark/>
          </w:tcPr>
          <w:p w14:paraId="1FB16ED0" w14:textId="19E10436" w:rsidR="00D75F8F" w:rsidRPr="003720AF" w:rsidRDefault="00D75F8F" w:rsidP="00D75F8F">
            <w:pPr>
              <w:spacing w:before="40" w:after="40"/>
              <w:rPr>
                <w:rFonts w:eastAsia="Times New Roman" w:cs="Arial"/>
                <w:color w:val="000000"/>
                <w:sz w:val="18"/>
                <w:szCs w:val="18"/>
                <w:lang w:val="en-NZ"/>
              </w:rPr>
            </w:pPr>
            <w:r w:rsidRPr="003720AF">
              <w:rPr>
                <w:rFonts w:eastAsia="Times New Roman" w:cs="Arial"/>
                <w:color w:val="000000"/>
                <w:sz w:val="18"/>
                <w:szCs w:val="18"/>
                <w:lang w:val="en-NZ"/>
              </w:rPr>
              <w:t>USEPA 2012</w:t>
            </w:r>
          </w:p>
        </w:tc>
      </w:tr>
      <w:tr w:rsidR="00D75F8F" w:rsidRPr="003720AF" w14:paraId="3E7848E4" w14:textId="77777777" w:rsidTr="00D75F8F">
        <w:trPr>
          <w:cantSplit/>
          <w:jc w:val="center"/>
        </w:trPr>
        <w:tc>
          <w:tcPr>
            <w:tcW w:w="0" w:type="auto"/>
            <w:gridSpan w:val="4"/>
            <w:noWrap/>
          </w:tcPr>
          <w:p w14:paraId="70BD255F" w14:textId="1D97195D" w:rsidR="00D75F8F" w:rsidRPr="003720AF" w:rsidRDefault="00D75F8F" w:rsidP="00D75F8F">
            <w:pPr>
              <w:spacing w:before="40" w:after="40"/>
              <w:rPr>
                <w:rFonts w:eastAsia="Times New Roman" w:cs="Arial"/>
                <w:color w:val="000000"/>
                <w:sz w:val="18"/>
                <w:szCs w:val="18"/>
                <w:lang w:val="en-NZ"/>
              </w:rPr>
            </w:pPr>
            <w:r w:rsidRPr="003720AF">
              <w:rPr>
                <w:rFonts w:eastAsia="Times New Roman" w:cs="Arial"/>
                <w:color w:val="000000"/>
                <w:sz w:val="18"/>
                <w:szCs w:val="18"/>
                <w:vertAlign w:val="superscript"/>
                <w:lang w:val="en-NZ"/>
              </w:rPr>
              <w:t>a</w:t>
            </w:r>
            <w:r w:rsidRPr="003720AF">
              <w:rPr>
                <w:rFonts w:eastAsia="Times New Roman" w:cs="Arial"/>
                <w:color w:val="000000"/>
                <w:sz w:val="18"/>
                <w:szCs w:val="18"/>
                <w:lang w:val="en-NZ"/>
              </w:rPr>
              <w:t>Child age: 1 to ≤ 2 years</w:t>
            </w:r>
          </w:p>
          <w:p w14:paraId="234F90F2" w14:textId="48B4C779" w:rsidR="00D75F8F" w:rsidRPr="003720AF" w:rsidRDefault="00D75F8F" w:rsidP="00D75F8F">
            <w:pPr>
              <w:spacing w:before="40" w:after="40"/>
              <w:rPr>
                <w:rFonts w:eastAsia="Times New Roman" w:cs="Arial"/>
                <w:color w:val="000000"/>
                <w:sz w:val="18"/>
                <w:szCs w:val="18"/>
                <w:lang w:val="en-NZ"/>
              </w:rPr>
            </w:pPr>
            <w:r w:rsidRPr="003720AF">
              <w:rPr>
                <w:rFonts w:eastAsia="Times New Roman" w:cs="Arial"/>
                <w:color w:val="000000"/>
                <w:sz w:val="18"/>
                <w:szCs w:val="18"/>
                <w:vertAlign w:val="superscript"/>
                <w:lang w:val="en-NZ"/>
              </w:rPr>
              <w:t>b</w:t>
            </w:r>
            <w:r w:rsidRPr="003720AF">
              <w:rPr>
                <w:rFonts w:eastAsia="Times New Roman" w:cs="Arial"/>
                <w:color w:val="000000"/>
                <w:sz w:val="18"/>
                <w:szCs w:val="18"/>
                <w:lang w:val="en-NZ"/>
              </w:rPr>
              <w:t xml:space="preserve"> Woman age: 13 to ≤ 49 years</w:t>
            </w:r>
          </w:p>
        </w:tc>
      </w:tr>
    </w:tbl>
    <w:p w14:paraId="2791166A" w14:textId="77777777" w:rsidR="004A49B0" w:rsidRPr="003720AF" w:rsidRDefault="004A49B0" w:rsidP="004A49B0">
      <w:pPr>
        <w:pStyle w:val="BodyText"/>
        <w:rPr>
          <w:szCs w:val="24"/>
        </w:rPr>
      </w:pPr>
    </w:p>
    <w:p w14:paraId="0415B435" w14:textId="2DE3811D" w:rsidR="004A49B0" w:rsidRPr="003720AF" w:rsidRDefault="004A49B0" w:rsidP="00C225D4">
      <w:pPr>
        <w:pStyle w:val="BodyText"/>
        <w:spacing w:line="360" w:lineRule="auto"/>
        <w:jc w:val="left"/>
        <w:rPr>
          <w:szCs w:val="24"/>
        </w:rPr>
      </w:pPr>
      <w:r w:rsidRPr="003720AF">
        <w:t>Residue-to-skin transfer efficiency is dependent on the properties of the residue, the material with which it is associated, and the receptors’ skin. USEPA (2012) uses a generic default value of 0.08 for fraction transferred from hard surfaces to skin</w:t>
      </w:r>
      <w:r w:rsidRPr="003720AF">
        <w:rPr>
          <w:szCs w:val="24"/>
        </w:rPr>
        <w:t xml:space="preserve"> (FTSS</w:t>
      </w:r>
      <w:r w:rsidRPr="003720AF">
        <w:rPr>
          <w:szCs w:val="24"/>
          <w:vertAlign w:val="subscript"/>
        </w:rPr>
        <w:t>h</w:t>
      </w:r>
      <w:r w:rsidRPr="003720AF">
        <w:rPr>
          <w:szCs w:val="24"/>
        </w:rPr>
        <w:t xml:space="preserve">). The similar </w:t>
      </w:r>
      <w:r w:rsidRPr="003720AF">
        <w:rPr>
          <w:szCs w:val="24"/>
        </w:rPr>
        <w:lastRenderedPageBreak/>
        <w:t xml:space="preserve">value (0.07) chosen by OEHHA (2009a) for methamphetamine (based on limited available data with other chemicals) is considered more appropriate for use here. Van Dyke </w:t>
      </w:r>
      <w:r w:rsidRPr="003720AF">
        <w:rPr>
          <w:szCs w:val="24"/>
          <w:lang w:bidi="en-US"/>
        </w:rPr>
        <w:t xml:space="preserve">et al </w:t>
      </w:r>
      <w:r w:rsidRPr="003720AF">
        <w:rPr>
          <w:szCs w:val="24"/>
        </w:rPr>
        <w:t xml:space="preserve">(2014) compared uptake of methamphetamine from drywall and linoleum by dry cotton gloves and gloves moistened with simulated saliva. Dry gloves picked up a geometric mean of 12%, while wet gloves picked up geometric means of 19% (drywall) to 27% (linoleum). These values are two to four times higher than OEHHA’s recommendation. However, because cotton gloves overestimate dermal transfer by 2.5- to 5-fold (Davis </w:t>
      </w:r>
      <w:r w:rsidRPr="003720AF">
        <w:rPr>
          <w:szCs w:val="24"/>
          <w:lang w:bidi="en-US"/>
        </w:rPr>
        <w:t xml:space="preserve">et al </w:t>
      </w:r>
      <w:r w:rsidRPr="003720AF">
        <w:rPr>
          <w:szCs w:val="24"/>
        </w:rPr>
        <w:t xml:space="preserve">1983; Fenske </w:t>
      </w:r>
      <w:r w:rsidRPr="003720AF">
        <w:rPr>
          <w:szCs w:val="24"/>
          <w:lang w:bidi="en-US"/>
        </w:rPr>
        <w:t xml:space="preserve">et al </w:t>
      </w:r>
      <w:r w:rsidRPr="003720AF">
        <w:rPr>
          <w:szCs w:val="24"/>
        </w:rPr>
        <w:t>1999), this work supports the appropriate conservatism of a value of 0.07 for this parameter.</w:t>
      </w:r>
    </w:p>
    <w:p w14:paraId="4FAF049C" w14:textId="7C2C46DE" w:rsidR="004A49B0" w:rsidRPr="003720AF" w:rsidRDefault="004A49B0" w:rsidP="00C225D4">
      <w:pPr>
        <w:pStyle w:val="BodyText"/>
        <w:spacing w:line="360" w:lineRule="auto"/>
        <w:jc w:val="left"/>
        <w:rPr>
          <w:szCs w:val="24"/>
        </w:rPr>
      </w:pPr>
      <w:r w:rsidRPr="003720AF">
        <w:t>The output of these equations was compared with previous results by assuming a deposited residue concentration of 0.1 µg/100 cm</w:t>
      </w:r>
      <w:r w:rsidRPr="003720AF">
        <w:rPr>
          <w:vertAlign w:val="superscript"/>
        </w:rPr>
        <w:t>2</w:t>
      </w:r>
      <w:r w:rsidRPr="003720AF">
        <w:t>. The total absorbed dose for children is 1.3E-05 mg/kg-d (dermal) + 1.7E-06 mg/kg-d (oral) = 1.5E-05 mg/kg</w:t>
      </w:r>
      <w:r w:rsidRPr="003720AF">
        <w:noBreakHyphen/>
        <w:t>d – slightly lower than the 95</w:t>
      </w:r>
      <w:r w:rsidRPr="003720AF">
        <w:rPr>
          <w:vertAlign w:val="superscript"/>
        </w:rPr>
        <w:t>th</w:t>
      </w:r>
      <w:r w:rsidRPr="003720AF">
        <w:t xml:space="preserve"> percentile calculated by OEHHA using the SHEDS model (which included carpet exposure), and almost three times lower than the total dose calculated by Hammon and Griffin (2007) using the 2001 SOP (</w:t>
      </w:r>
      <w:r w:rsidRPr="003720AF">
        <w:fldChar w:fldCharType="begin"/>
      </w:r>
      <w:r w:rsidRPr="003720AF">
        <w:instrText xml:space="preserve"> REF _Ref463481795 \h </w:instrText>
      </w:r>
      <w:r w:rsidR="00C225D4" w:rsidRPr="003720AF">
        <w:instrText xml:space="preserve"> \* MERGEFORMAT </w:instrText>
      </w:r>
      <w:r w:rsidRPr="003720AF">
        <w:fldChar w:fldCharType="separate"/>
      </w:r>
      <w:r w:rsidR="00F6014F" w:rsidRPr="003720AF">
        <w:t>F</w:t>
      </w:r>
      <w:r w:rsidR="00F6014F" w:rsidRPr="00F6014F">
        <w:t>igure</w:t>
      </w:r>
      <w:r w:rsidR="00F6014F" w:rsidRPr="003720AF">
        <w:rPr>
          <w:szCs w:val="24"/>
        </w:rPr>
        <w:t xml:space="preserve"> A</w:t>
      </w:r>
      <w:r w:rsidR="00F6014F">
        <w:rPr>
          <w:szCs w:val="24"/>
        </w:rPr>
        <w:t>1</w:t>
      </w:r>
      <w:r w:rsidRPr="003720AF">
        <w:fldChar w:fldCharType="end"/>
      </w:r>
      <w:r w:rsidRPr="003720AF">
        <w:rPr>
          <w:szCs w:val="24"/>
        </w:rPr>
        <w:t>). For women, the absorbed dose is 8E-06 mg/kg</w:t>
      </w:r>
      <w:r w:rsidRPr="003720AF">
        <w:rPr>
          <w:szCs w:val="24"/>
        </w:rPr>
        <w:noBreakHyphen/>
        <w:t xml:space="preserve">d (dermal route only, as adult hand-to-mouth activity is considered negligible [USEPA 2012]). As shown in </w:t>
      </w:r>
      <w:r w:rsidRPr="003720AF">
        <w:rPr>
          <w:szCs w:val="24"/>
        </w:rPr>
        <w:fldChar w:fldCharType="begin"/>
      </w:r>
      <w:r w:rsidRPr="003720AF">
        <w:rPr>
          <w:szCs w:val="24"/>
        </w:rPr>
        <w:instrText xml:space="preserve"> REF _Ref463481783 \h </w:instrText>
      </w:r>
      <w:r w:rsidR="00C225D4" w:rsidRPr="003720AF">
        <w:rPr>
          <w:szCs w:val="24"/>
        </w:rPr>
        <w:instrText xml:space="preserve"> \* MERGEFORMAT </w:instrText>
      </w:r>
      <w:r w:rsidRPr="003720AF">
        <w:rPr>
          <w:szCs w:val="24"/>
        </w:rPr>
      </w:r>
      <w:r w:rsidRPr="003720AF">
        <w:rPr>
          <w:szCs w:val="24"/>
        </w:rPr>
        <w:fldChar w:fldCharType="separate"/>
      </w:r>
      <w:r w:rsidR="00F6014F" w:rsidRPr="003720AF">
        <w:t>Figure A</w:t>
      </w:r>
      <w:r w:rsidR="00F6014F">
        <w:t>2</w:t>
      </w:r>
      <w:r w:rsidRPr="003720AF">
        <w:rPr>
          <w:szCs w:val="24"/>
        </w:rPr>
        <w:fldChar w:fldCharType="end"/>
      </w:r>
      <w:r w:rsidRPr="003720AF">
        <w:rPr>
          <w:szCs w:val="24"/>
        </w:rPr>
        <w:t>, this dose is slightly higher than that calculated by CDPHE, probably due to the higher dermal absorption fraction assumed.</w:t>
      </w:r>
    </w:p>
    <w:p w14:paraId="0850A6B9" w14:textId="77777777" w:rsidR="004A49B0" w:rsidRPr="003720AF" w:rsidRDefault="004A49B0" w:rsidP="004A49B0">
      <w:pPr>
        <w:pStyle w:val="BodyText"/>
        <w:rPr>
          <w:szCs w:val="24"/>
        </w:rPr>
      </w:pPr>
    </w:p>
    <w:p w14:paraId="1918B6B7" w14:textId="77777777" w:rsidR="004A49B0" w:rsidRPr="003720AF" w:rsidRDefault="004A49B0" w:rsidP="004A49B0">
      <w:pPr>
        <w:pStyle w:val="BodyText"/>
        <w:rPr>
          <w:szCs w:val="24"/>
        </w:rPr>
        <w:sectPr w:rsidR="004A49B0" w:rsidRPr="003720AF" w:rsidSect="00AF4872">
          <w:endnotePr>
            <w:numFmt w:val="decimal"/>
          </w:endnotePr>
          <w:pgSz w:w="12240" w:h="15840" w:code="1"/>
          <w:pgMar w:top="1296" w:right="1296" w:bottom="1296" w:left="1296" w:header="432" w:footer="432" w:gutter="0"/>
          <w:cols w:space="720"/>
          <w:noEndnote/>
          <w:docGrid w:linePitch="326"/>
        </w:sectPr>
      </w:pPr>
    </w:p>
    <w:p w14:paraId="64264419" w14:textId="77777777" w:rsidR="004A49B0" w:rsidRPr="003720AF" w:rsidRDefault="004A49B0" w:rsidP="004A49B0">
      <w:pPr>
        <w:pStyle w:val="Caption"/>
      </w:pPr>
      <w:bookmarkStart w:id="74" w:name="_Ref461316749"/>
      <w:r w:rsidRPr="003720AF">
        <w:rPr>
          <w:noProof/>
          <w:lang w:eastAsia="en-NZ"/>
        </w:rPr>
        <w:lastRenderedPageBreak/>
        <w:drawing>
          <wp:inline distT="0" distB="0" distL="0" distR="0" wp14:anchorId="00D54E7D" wp14:editId="1230B83A">
            <wp:extent cx="6309360" cy="457708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ild fig.pn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6309360" cy="4577080"/>
                    </a:xfrm>
                    <a:prstGeom prst="rect">
                      <a:avLst/>
                    </a:prstGeom>
                  </pic:spPr>
                </pic:pic>
              </a:graphicData>
            </a:graphic>
          </wp:inline>
        </w:drawing>
      </w:r>
    </w:p>
    <w:p w14:paraId="2B0F6713" w14:textId="15B64A39" w:rsidR="004A49B0" w:rsidRPr="003720AF" w:rsidRDefault="004A49B0" w:rsidP="00851449">
      <w:pPr>
        <w:pStyle w:val="Caption"/>
        <w:tabs>
          <w:tab w:val="left" w:pos="1134"/>
        </w:tabs>
        <w:ind w:left="1134" w:hanging="1134"/>
        <w:rPr>
          <w:szCs w:val="24"/>
        </w:rPr>
      </w:pPr>
      <w:bookmarkStart w:id="75" w:name="_Ref463481795"/>
      <w:bookmarkStart w:id="76" w:name="_Toc463482652"/>
      <w:bookmarkStart w:id="77" w:name="_Toc463798732"/>
      <w:bookmarkStart w:id="78" w:name="_Toc463798767"/>
      <w:r w:rsidRPr="003720AF">
        <w:t>F</w:t>
      </w:r>
      <w:r w:rsidRPr="003720AF">
        <w:rPr>
          <w:szCs w:val="24"/>
        </w:rPr>
        <w:t xml:space="preserve">igure </w:t>
      </w:r>
      <w:r w:rsidR="0061761E" w:rsidRPr="003720AF">
        <w:rPr>
          <w:szCs w:val="24"/>
        </w:rPr>
        <w:t>A</w:t>
      </w:r>
      <w:r w:rsidRPr="003720AF">
        <w:rPr>
          <w:szCs w:val="24"/>
        </w:rPr>
        <w:fldChar w:fldCharType="begin"/>
      </w:r>
      <w:r w:rsidRPr="003720AF">
        <w:rPr>
          <w:szCs w:val="24"/>
        </w:rPr>
        <w:instrText xml:space="preserve"> SEQ Figure \* ARABIC </w:instrText>
      </w:r>
      <w:r w:rsidRPr="003720AF">
        <w:rPr>
          <w:szCs w:val="24"/>
        </w:rPr>
        <w:fldChar w:fldCharType="separate"/>
      </w:r>
      <w:r w:rsidR="00F6014F">
        <w:rPr>
          <w:noProof/>
          <w:szCs w:val="24"/>
        </w:rPr>
        <w:t>1</w:t>
      </w:r>
      <w:r w:rsidRPr="003720AF">
        <w:rPr>
          <w:szCs w:val="24"/>
        </w:rPr>
        <w:fldChar w:fldCharType="end"/>
      </w:r>
      <w:bookmarkEnd w:id="74"/>
      <w:bookmarkEnd w:id="75"/>
      <w:r w:rsidR="00851449" w:rsidRPr="003720AF">
        <w:rPr>
          <w:szCs w:val="24"/>
        </w:rPr>
        <w:t>.</w:t>
      </w:r>
      <w:r w:rsidR="00851449" w:rsidRPr="003720AF">
        <w:rPr>
          <w:szCs w:val="24"/>
        </w:rPr>
        <w:tab/>
      </w:r>
      <w:r w:rsidRPr="003720AF">
        <w:rPr>
          <w:szCs w:val="24"/>
        </w:rPr>
        <w:t xml:space="preserve">Comparison of methamphetamine doses calculated for 1 </w:t>
      </w:r>
      <w:r w:rsidR="00E3038F" w:rsidRPr="003720AF">
        <w:rPr>
          <w:szCs w:val="24"/>
        </w:rPr>
        <w:t xml:space="preserve">to </w:t>
      </w:r>
      <w:r w:rsidRPr="003720AF">
        <w:rPr>
          <w:szCs w:val="24"/>
        </w:rPr>
        <w:t>≤ 2-year old children assuming deposited residue = 0.1 µg/100 cm</w:t>
      </w:r>
      <w:r w:rsidRPr="003720AF">
        <w:rPr>
          <w:szCs w:val="24"/>
          <w:vertAlign w:val="superscript"/>
        </w:rPr>
        <w:t>2</w:t>
      </w:r>
      <w:bookmarkEnd w:id="76"/>
      <w:bookmarkEnd w:id="77"/>
      <w:bookmarkEnd w:id="78"/>
      <w:r w:rsidRPr="003720AF">
        <w:rPr>
          <w:szCs w:val="24"/>
        </w:rPr>
        <w:t xml:space="preserve">  </w:t>
      </w:r>
    </w:p>
    <w:p w14:paraId="08F1FE46" w14:textId="77777777" w:rsidR="004A49B0" w:rsidRPr="003720AF" w:rsidRDefault="004A49B0" w:rsidP="004A49B0">
      <w:pPr>
        <w:rPr>
          <w:rFonts w:ascii="Calibri" w:eastAsia="Times New Roman" w:hAnsi="Calibri" w:cs="Times New Roman"/>
          <w:b/>
          <w:bCs/>
          <w:sz w:val="24"/>
          <w:szCs w:val="18"/>
        </w:rPr>
      </w:pPr>
      <w:bookmarkStart w:id="79" w:name="_Ref461316756"/>
      <w:r w:rsidRPr="003720AF">
        <w:br w:type="page"/>
      </w:r>
    </w:p>
    <w:p w14:paraId="46B48A03" w14:textId="77777777" w:rsidR="004A49B0" w:rsidRPr="003720AF" w:rsidRDefault="004A49B0" w:rsidP="004A49B0">
      <w:pPr>
        <w:pStyle w:val="Caption"/>
      </w:pPr>
      <w:r w:rsidRPr="003720AF">
        <w:rPr>
          <w:noProof/>
          <w:lang w:eastAsia="en-NZ"/>
        </w:rPr>
        <w:lastRenderedPageBreak/>
        <w:drawing>
          <wp:inline distT="0" distB="0" distL="0" distR="0" wp14:anchorId="72183FFE" wp14:editId="275BDE16">
            <wp:extent cx="6309360" cy="457708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dult fig.png"/>
                    <pic:cNvPicPr/>
                  </pic:nvPicPr>
                  <pic:blipFill>
                    <a:blip r:embed="rId58" cstate="print">
                      <a:extLst>
                        <a:ext uri="{28A0092B-C50C-407E-A947-70E740481C1C}">
                          <a14:useLocalDpi xmlns:a14="http://schemas.microsoft.com/office/drawing/2010/main" val="0"/>
                        </a:ext>
                      </a:extLst>
                    </a:blip>
                    <a:stretch>
                      <a:fillRect/>
                    </a:stretch>
                  </pic:blipFill>
                  <pic:spPr>
                    <a:xfrm>
                      <a:off x="0" y="0"/>
                      <a:ext cx="6309360" cy="4577080"/>
                    </a:xfrm>
                    <a:prstGeom prst="rect">
                      <a:avLst/>
                    </a:prstGeom>
                  </pic:spPr>
                </pic:pic>
              </a:graphicData>
            </a:graphic>
          </wp:inline>
        </w:drawing>
      </w:r>
    </w:p>
    <w:p w14:paraId="2C8AAB27" w14:textId="69A8D093" w:rsidR="004A49B0" w:rsidRPr="003720AF" w:rsidRDefault="004A49B0" w:rsidP="00AC284D">
      <w:pPr>
        <w:pStyle w:val="Caption"/>
        <w:tabs>
          <w:tab w:val="left" w:pos="1134"/>
        </w:tabs>
        <w:ind w:left="1134" w:hanging="1134"/>
        <w:rPr>
          <w:b/>
        </w:rPr>
      </w:pPr>
      <w:bookmarkStart w:id="80" w:name="_Ref463481783"/>
      <w:bookmarkStart w:id="81" w:name="_Toc463482653"/>
      <w:bookmarkStart w:id="82" w:name="_Toc463798733"/>
      <w:bookmarkStart w:id="83" w:name="_Toc463798768"/>
      <w:r w:rsidRPr="003720AF">
        <w:t xml:space="preserve">Figure </w:t>
      </w:r>
      <w:r w:rsidR="0061761E" w:rsidRPr="003720AF">
        <w:t>A</w:t>
      </w:r>
      <w:fldSimple w:instr=" SEQ Figure \* ARABIC ">
        <w:r w:rsidR="00F6014F">
          <w:rPr>
            <w:noProof/>
          </w:rPr>
          <w:t>2</w:t>
        </w:r>
      </w:fldSimple>
      <w:bookmarkEnd w:id="79"/>
      <w:bookmarkEnd w:id="80"/>
      <w:r w:rsidR="00851449" w:rsidRPr="003720AF">
        <w:t>.</w:t>
      </w:r>
      <w:r w:rsidR="00851449" w:rsidRPr="003720AF">
        <w:tab/>
      </w:r>
      <w:r w:rsidRPr="003720AF">
        <w:rPr>
          <w:szCs w:val="24"/>
        </w:rPr>
        <w:t>Comparison of methamphetamine doses calculated for women a</w:t>
      </w:r>
      <w:r w:rsidR="00851449" w:rsidRPr="003720AF">
        <w:rPr>
          <w:szCs w:val="24"/>
        </w:rPr>
        <w:t>ssuming deposited residue = 0.1 </w:t>
      </w:r>
      <w:r w:rsidRPr="003720AF">
        <w:rPr>
          <w:szCs w:val="24"/>
        </w:rPr>
        <w:t>µg/</w:t>
      </w:r>
      <w:r w:rsidR="00851449" w:rsidRPr="003720AF">
        <w:rPr>
          <w:szCs w:val="24"/>
        </w:rPr>
        <w:t>100 </w:t>
      </w:r>
      <w:r w:rsidRPr="003720AF">
        <w:rPr>
          <w:szCs w:val="24"/>
        </w:rPr>
        <w:t>cm</w:t>
      </w:r>
      <w:r w:rsidRPr="003720AF">
        <w:rPr>
          <w:szCs w:val="24"/>
          <w:vertAlign w:val="superscript"/>
        </w:rPr>
        <w:t>2</w:t>
      </w:r>
      <w:bookmarkEnd w:id="81"/>
      <w:bookmarkEnd w:id="82"/>
      <w:bookmarkEnd w:id="83"/>
      <w:r w:rsidR="00A07432">
        <w:rPr>
          <w:szCs w:val="24"/>
        </w:rPr>
        <w:t>.</w:t>
      </w:r>
      <w:r w:rsidRPr="003720AF">
        <w:rPr>
          <w:szCs w:val="24"/>
        </w:rPr>
        <w:t xml:space="preserve"> </w:t>
      </w:r>
      <w:bookmarkStart w:id="84" w:name="_Toc463482646"/>
      <w:r w:rsidRPr="003720AF">
        <w:rPr>
          <w:b/>
        </w:rPr>
        <w:t>Calculation of risk-based methamphetamine surface cleanup levels</w:t>
      </w:r>
      <w:bookmarkEnd w:id="84"/>
    </w:p>
    <w:p w14:paraId="512CF6D0" w14:textId="77777777" w:rsidR="00AC284D" w:rsidRPr="003720AF" w:rsidRDefault="00AC284D" w:rsidP="00C225D4">
      <w:pPr>
        <w:pStyle w:val="BodyText"/>
        <w:spacing w:line="360" w:lineRule="auto"/>
        <w:jc w:val="left"/>
      </w:pPr>
    </w:p>
    <w:p w14:paraId="5ED4B1D6" w14:textId="43FFA687" w:rsidR="004A49B0" w:rsidRPr="003720AF" w:rsidRDefault="004A49B0" w:rsidP="00C225D4">
      <w:pPr>
        <w:pStyle w:val="BodyText"/>
        <w:spacing w:line="360" w:lineRule="auto"/>
        <w:jc w:val="left"/>
      </w:pPr>
      <w:r w:rsidRPr="003720AF">
        <w:t xml:space="preserve">As mentioned previously, the oral bioavailability of methamphetamine hydrochloride has been reported to be around 67% (Cook </w:t>
      </w:r>
      <w:r w:rsidRPr="003720AF">
        <w:rPr>
          <w:lang w:bidi="en-US"/>
        </w:rPr>
        <w:t xml:space="preserve">et al </w:t>
      </w:r>
      <w:r w:rsidRPr="003720AF">
        <w:t>1993). It is not considered appropriate to adjust the RfD for methamphetamine developed by OEHHA (OEHHA 2009b) and used in this analysis (0.0003 mg/kg-d) with this factor, because it does not apply to the sustained release form of the drug (Desoxyn Gradumet) administered in the critical study (Chapman 1961). For purposes of this analysis, the administered RfD is assumed to be an absorbed RfD.</w:t>
      </w:r>
    </w:p>
    <w:p w14:paraId="20B74133" w14:textId="77777777" w:rsidR="004A49B0" w:rsidRPr="003720AF" w:rsidRDefault="004A49B0" w:rsidP="004A49B0">
      <w:pPr>
        <w:pStyle w:val="BodyText"/>
      </w:pPr>
      <w:r w:rsidRPr="003720AF">
        <w:t xml:space="preserve">Setting dose equal to the RfD, surface cleanup levels can be calculated by rearranging equations </w:t>
      </w:r>
      <w:r w:rsidRPr="003720AF">
        <w:fldChar w:fldCharType="begin"/>
      </w:r>
      <w:r w:rsidRPr="003720AF">
        <w:instrText xml:space="preserve"> GOTOBUTTON ZEqnNum240937  \* MERGEFORMAT </w:instrText>
      </w:r>
      <w:fldSimple w:instr=" REF ZEqnNum240937 \* Charformat \! \* MERGEFORMAT ">
        <w:r w:rsidR="00F6014F" w:rsidRPr="003720AF">
          <w:instrText>{</w:instrText>
        </w:r>
        <w:r w:rsidR="00F6014F">
          <w:instrText>1</w:instrText>
        </w:r>
        <w:r w:rsidR="00F6014F" w:rsidRPr="003720AF">
          <w:instrText>}</w:instrText>
        </w:r>
      </w:fldSimple>
      <w:r w:rsidRPr="003720AF">
        <w:fldChar w:fldCharType="end"/>
      </w:r>
      <w:r w:rsidRPr="003720AF">
        <w:t xml:space="preserve"> and </w:t>
      </w:r>
      <w:r w:rsidRPr="003720AF">
        <w:fldChar w:fldCharType="begin"/>
      </w:r>
      <w:r w:rsidRPr="003720AF">
        <w:instrText xml:space="preserve"> GOTOBUTTON ZEqnNum515990  \* MERGEFORMAT </w:instrText>
      </w:r>
      <w:fldSimple w:instr=" REF ZEqnNum515990 \* Charformat \! \* MERGEFORMAT ">
        <w:r w:rsidR="00F6014F" w:rsidRPr="003720AF">
          <w:instrText>{</w:instrText>
        </w:r>
        <w:r w:rsidR="00F6014F">
          <w:instrText>2</w:instrText>
        </w:r>
        <w:r w:rsidR="00F6014F" w:rsidRPr="003720AF">
          <w:instrText>}</w:instrText>
        </w:r>
      </w:fldSimple>
      <w:r w:rsidRPr="003720AF">
        <w:fldChar w:fldCharType="end"/>
      </w:r>
      <w:r w:rsidRPr="003720AF">
        <w:t xml:space="preserve"> to solve for DR. For the dermal route,</w:t>
      </w:r>
    </w:p>
    <w:p w14:paraId="314D0EEE" w14:textId="77777777" w:rsidR="004A49B0" w:rsidRPr="003720AF" w:rsidRDefault="004A49B0" w:rsidP="004A49B0">
      <w:pPr>
        <w:pStyle w:val="Equation"/>
        <w:rPr>
          <w:lang w:val="en-NZ"/>
        </w:rPr>
      </w:pPr>
      <w:r w:rsidRPr="003720AF">
        <w:rPr>
          <w:lang w:val="en-NZ"/>
        </w:rPr>
        <w:tab/>
      </w:r>
      <w:r w:rsidRPr="003720AF">
        <w:rPr>
          <w:position w:val="-58"/>
          <w:lang w:val="en-NZ"/>
        </w:rPr>
        <w:object w:dxaOrig="4980" w:dyaOrig="980" w14:anchorId="116B5DD2">
          <v:shape id="_x0000_i1026" type="#_x0000_t75" style="width:248.25pt;height:49.45pt" o:ole="">
            <v:imagedata r:id="rId59" o:title=""/>
          </v:shape>
          <o:OLEObject Type="Embed" ProgID="Equation.DSMT4" ShapeID="_x0000_i1026" DrawAspect="Content" ObjectID="_1551178470" r:id="rId60"/>
        </w:object>
      </w:r>
      <w:r w:rsidRPr="003720AF">
        <w:rPr>
          <w:lang w:val="en-NZ"/>
        </w:rPr>
        <w:t xml:space="preserve"> </w:t>
      </w:r>
      <w:r w:rsidRPr="003720AF">
        <w:rPr>
          <w:lang w:val="en-NZ"/>
        </w:rPr>
        <w:tab/>
      </w:r>
      <w:r w:rsidRPr="003720AF">
        <w:rPr>
          <w:lang w:val="en-NZ"/>
        </w:rPr>
        <w:fldChar w:fldCharType="begin"/>
      </w:r>
      <w:r w:rsidRPr="003720AF">
        <w:rPr>
          <w:lang w:val="en-NZ"/>
        </w:rPr>
        <w:instrText xml:space="preserve"> MACROBUTTON MTPlaceRef \* MERGEFORMAT </w:instrText>
      </w:r>
      <w:r w:rsidRPr="003720AF">
        <w:rPr>
          <w:lang w:val="en-NZ"/>
        </w:rPr>
        <w:fldChar w:fldCharType="begin"/>
      </w:r>
      <w:r w:rsidRPr="003720AF">
        <w:rPr>
          <w:lang w:val="en-NZ"/>
        </w:rPr>
        <w:instrText xml:space="preserve"> SEQ MTEqn \h \* MERGEFORMAT </w:instrText>
      </w:r>
      <w:r w:rsidRPr="003720AF">
        <w:rPr>
          <w:lang w:val="en-NZ"/>
        </w:rPr>
        <w:fldChar w:fldCharType="end"/>
      </w:r>
      <w:r w:rsidRPr="003720AF">
        <w:rPr>
          <w:lang w:val="en-NZ"/>
        </w:rPr>
        <w:instrText>{</w:instrText>
      </w:r>
      <w:r w:rsidR="00E66261" w:rsidRPr="003720AF">
        <w:rPr>
          <w:lang w:val="en-NZ"/>
        </w:rPr>
        <w:fldChar w:fldCharType="begin"/>
      </w:r>
      <w:r w:rsidR="00E66261" w:rsidRPr="003720AF">
        <w:rPr>
          <w:lang w:val="en-NZ"/>
        </w:rPr>
        <w:instrText xml:space="preserve"> SEQ MTEqn \c \* Arabic \* MERGEFORMAT </w:instrText>
      </w:r>
      <w:r w:rsidR="00E66261" w:rsidRPr="003720AF">
        <w:rPr>
          <w:lang w:val="en-NZ"/>
        </w:rPr>
        <w:fldChar w:fldCharType="separate"/>
      </w:r>
      <w:r w:rsidR="00F6014F">
        <w:rPr>
          <w:noProof/>
          <w:lang w:val="en-NZ"/>
        </w:rPr>
        <w:instrText>3</w:instrText>
      </w:r>
      <w:r w:rsidR="00E66261" w:rsidRPr="003720AF">
        <w:rPr>
          <w:noProof/>
          <w:lang w:val="en-NZ"/>
        </w:rPr>
        <w:fldChar w:fldCharType="end"/>
      </w:r>
      <w:r w:rsidRPr="003720AF">
        <w:rPr>
          <w:lang w:val="en-NZ"/>
        </w:rPr>
        <w:instrText>}</w:instrText>
      </w:r>
      <w:r w:rsidRPr="003720AF">
        <w:rPr>
          <w:lang w:val="en-NZ"/>
        </w:rPr>
        <w:fldChar w:fldCharType="end"/>
      </w:r>
    </w:p>
    <w:p w14:paraId="74428C49" w14:textId="77777777" w:rsidR="004A49B0" w:rsidRPr="003720AF" w:rsidRDefault="004A49B0" w:rsidP="004A49B0">
      <w:pPr>
        <w:pStyle w:val="BodyText"/>
      </w:pPr>
      <w:r w:rsidRPr="003720AF">
        <w:lastRenderedPageBreak/>
        <w:t>For ingestion,</w:t>
      </w:r>
    </w:p>
    <w:p w14:paraId="380CC5D4" w14:textId="4EF94F9A" w:rsidR="004A49B0" w:rsidRPr="003720AF" w:rsidRDefault="004A49B0" w:rsidP="004A49B0">
      <w:pPr>
        <w:pStyle w:val="Equation"/>
        <w:rPr>
          <w:lang w:val="en-NZ"/>
        </w:rPr>
      </w:pPr>
      <w:r w:rsidRPr="003720AF">
        <w:rPr>
          <w:lang w:val="en-NZ"/>
        </w:rPr>
        <w:tab/>
      </w:r>
      <w:r w:rsidR="00D75F8F">
        <w:rPr>
          <w:noProof/>
          <w:position w:val="-58"/>
          <w:lang w:val="en-NZ" w:eastAsia="en-NZ"/>
        </w:rPr>
        <w:drawing>
          <wp:inline distT="0" distB="0" distL="0" distR="0" wp14:anchorId="4D6F9F49" wp14:editId="4E3E9347">
            <wp:extent cx="5046980" cy="61214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5046980" cy="612140"/>
                    </a:xfrm>
                    <a:prstGeom prst="rect">
                      <a:avLst/>
                    </a:prstGeom>
                    <a:noFill/>
                    <a:ln>
                      <a:noFill/>
                    </a:ln>
                  </pic:spPr>
                </pic:pic>
              </a:graphicData>
            </a:graphic>
          </wp:inline>
        </w:drawing>
      </w:r>
      <w:r w:rsidRPr="003720AF">
        <w:rPr>
          <w:lang w:val="en-NZ"/>
        </w:rPr>
        <w:tab/>
      </w:r>
      <w:r w:rsidRPr="003720AF">
        <w:rPr>
          <w:lang w:val="en-NZ"/>
        </w:rPr>
        <w:fldChar w:fldCharType="begin"/>
      </w:r>
      <w:r w:rsidRPr="003720AF">
        <w:rPr>
          <w:lang w:val="en-NZ"/>
        </w:rPr>
        <w:instrText xml:space="preserve"> MACROBUTTON MTPlaceRef \* MERGEFORMAT </w:instrText>
      </w:r>
      <w:r w:rsidRPr="003720AF">
        <w:rPr>
          <w:lang w:val="en-NZ"/>
        </w:rPr>
        <w:fldChar w:fldCharType="begin"/>
      </w:r>
      <w:r w:rsidRPr="003720AF">
        <w:rPr>
          <w:lang w:val="en-NZ"/>
        </w:rPr>
        <w:instrText xml:space="preserve"> SEQ MTEqn \h \* MERGEFORMAT </w:instrText>
      </w:r>
      <w:r w:rsidRPr="003720AF">
        <w:rPr>
          <w:lang w:val="en-NZ"/>
        </w:rPr>
        <w:fldChar w:fldCharType="end"/>
      </w:r>
      <w:r w:rsidRPr="003720AF">
        <w:rPr>
          <w:lang w:val="en-NZ"/>
        </w:rPr>
        <w:instrText>{</w:instrText>
      </w:r>
      <w:r w:rsidR="00E66261" w:rsidRPr="003720AF">
        <w:rPr>
          <w:lang w:val="en-NZ"/>
        </w:rPr>
        <w:fldChar w:fldCharType="begin"/>
      </w:r>
      <w:r w:rsidR="00E66261" w:rsidRPr="003720AF">
        <w:rPr>
          <w:lang w:val="en-NZ"/>
        </w:rPr>
        <w:instrText xml:space="preserve"> SEQ MTEqn \c \* Arabic \* MERGEFORMAT </w:instrText>
      </w:r>
      <w:r w:rsidR="00E66261" w:rsidRPr="003720AF">
        <w:rPr>
          <w:lang w:val="en-NZ"/>
        </w:rPr>
        <w:fldChar w:fldCharType="separate"/>
      </w:r>
      <w:r w:rsidR="00F6014F">
        <w:rPr>
          <w:noProof/>
          <w:lang w:val="en-NZ"/>
        </w:rPr>
        <w:instrText>4</w:instrText>
      </w:r>
      <w:r w:rsidR="00E66261" w:rsidRPr="003720AF">
        <w:rPr>
          <w:noProof/>
          <w:lang w:val="en-NZ"/>
        </w:rPr>
        <w:fldChar w:fldCharType="end"/>
      </w:r>
      <w:r w:rsidRPr="003720AF">
        <w:rPr>
          <w:lang w:val="en-NZ"/>
        </w:rPr>
        <w:instrText>}</w:instrText>
      </w:r>
      <w:r w:rsidRPr="003720AF">
        <w:rPr>
          <w:lang w:val="en-NZ"/>
        </w:rPr>
        <w:fldChar w:fldCharType="end"/>
      </w:r>
    </w:p>
    <w:p w14:paraId="5D0E32DA" w14:textId="77777777" w:rsidR="004A49B0" w:rsidRPr="003720AF" w:rsidRDefault="004A49B0" w:rsidP="004A49B0">
      <w:pPr>
        <w:pStyle w:val="BodyText"/>
      </w:pPr>
      <w:r w:rsidRPr="003720AF">
        <w:t>To calculate a cleanup level accounting for both exposure routes simultaneously,</w:t>
      </w:r>
    </w:p>
    <w:p w14:paraId="04C1B110" w14:textId="77777777" w:rsidR="004A49B0" w:rsidRPr="003720AF" w:rsidRDefault="004A49B0" w:rsidP="004A49B0">
      <w:pPr>
        <w:pStyle w:val="Equation"/>
        <w:rPr>
          <w:lang w:val="en-NZ"/>
        </w:rPr>
      </w:pPr>
      <w:r w:rsidRPr="003720AF">
        <w:rPr>
          <w:lang w:val="en-NZ"/>
        </w:rPr>
        <w:tab/>
      </w:r>
      <w:r w:rsidRPr="003720AF">
        <w:rPr>
          <w:position w:val="-60"/>
          <w:lang w:val="en-NZ"/>
        </w:rPr>
        <w:object w:dxaOrig="4239" w:dyaOrig="999" w14:anchorId="5D75AA66">
          <v:shape id="_x0000_i1027" type="#_x0000_t75" style="width:212.25pt;height:50.5pt" o:ole="">
            <v:imagedata r:id="rId62" o:title=""/>
          </v:shape>
          <o:OLEObject Type="Embed" ProgID="Equation.DSMT4" ShapeID="_x0000_i1027" DrawAspect="Content" ObjectID="_1551178471" r:id="rId63"/>
        </w:object>
      </w:r>
      <w:r w:rsidRPr="003720AF">
        <w:rPr>
          <w:lang w:val="en-NZ"/>
        </w:rPr>
        <w:t xml:space="preserve"> </w:t>
      </w:r>
      <w:r w:rsidRPr="003720AF">
        <w:rPr>
          <w:lang w:val="en-NZ"/>
        </w:rPr>
        <w:tab/>
      </w:r>
      <w:r w:rsidRPr="003720AF">
        <w:rPr>
          <w:lang w:val="en-NZ"/>
        </w:rPr>
        <w:fldChar w:fldCharType="begin"/>
      </w:r>
      <w:r w:rsidRPr="003720AF">
        <w:rPr>
          <w:lang w:val="en-NZ"/>
        </w:rPr>
        <w:instrText xml:space="preserve"> MACROBUTTON MTPlaceRef \* MERGEFORMAT </w:instrText>
      </w:r>
      <w:r w:rsidRPr="003720AF">
        <w:rPr>
          <w:lang w:val="en-NZ"/>
        </w:rPr>
        <w:fldChar w:fldCharType="begin"/>
      </w:r>
      <w:r w:rsidRPr="003720AF">
        <w:rPr>
          <w:lang w:val="en-NZ"/>
        </w:rPr>
        <w:instrText xml:space="preserve"> SEQ MTEqn \h \* MERGEFORMAT </w:instrText>
      </w:r>
      <w:r w:rsidRPr="003720AF">
        <w:rPr>
          <w:lang w:val="en-NZ"/>
        </w:rPr>
        <w:fldChar w:fldCharType="end"/>
      </w:r>
      <w:r w:rsidRPr="003720AF">
        <w:rPr>
          <w:lang w:val="en-NZ"/>
        </w:rPr>
        <w:instrText>{</w:instrText>
      </w:r>
      <w:r w:rsidR="00E66261" w:rsidRPr="003720AF">
        <w:rPr>
          <w:lang w:val="en-NZ"/>
        </w:rPr>
        <w:fldChar w:fldCharType="begin"/>
      </w:r>
      <w:r w:rsidR="00E66261" w:rsidRPr="003720AF">
        <w:rPr>
          <w:lang w:val="en-NZ"/>
        </w:rPr>
        <w:instrText xml:space="preserve"> SEQ MTEqn \c \* Arabic \* MERGEFORMAT </w:instrText>
      </w:r>
      <w:r w:rsidR="00E66261" w:rsidRPr="003720AF">
        <w:rPr>
          <w:lang w:val="en-NZ"/>
        </w:rPr>
        <w:fldChar w:fldCharType="separate"/>
      </w:r>
      <w:r w:rsidR="00F6014F">
        <w:rPr>
          <w:noProof/>
          <w:lang w:val="en-NZ"/>
        </w:rPr>
        <w:instrText>5</w:instrText>
      </w:r>
      <w:r w:rsidR="00E66261" w:rsidRPr="003720AF">
        <w:rPr>
          <w:noProof/>
          <w:lang w:val="en-NZ"/>
        </w:rPr>
        <w:fldChar w:fldCharType="end"/>
      </w:r>
      <w:r w:rsidRPr="003720AF">
        <w:rPr>
          <w:lang w:val="en-NZ"/>
        </w:rPr>
        <w:instrText>}</w:instrText>
      </w:r>
      <w:r w:rsidRPr="003720AF">
        <w:rPr>
          <w:lang w:val="en-NZ"/>
        </w:rPr>
        <w:fldChar w:fldCharType="end"/>
      </w:r>
    </w:p>
    <w:p w14:paraId="15B25A74" w14:textId="77777777" w:rsidR="004A49B0" w:rsidRPr="003720AF" w:rsidRDefault="004A49B0" w:rsidP="00C225D4">
      <w:pPr>
        <w:pStyle w:val="BodyText"/>
        <w:spacing w:line="360" w:lineRule="auto"/>
        <w:jc w:val="left"/>
        <w:rPr>
          <w:szCs w:val="24"/>
        </w:rPr>
      </w:pPr>
    </w:p>
    <w:p w14:paraId="7644CAFC" w14:textId="39D75E95" w:rsidR="004A49B0" w:rsidRPr="003720AF" w:rsidRDefault="004A49B0" w:rsidP="00C225D4">
      <w:pPr>
        <w:pStyle w:val="BodyText"/>
        <w:spacing w:line="360" w:lineRule="auto"/>
        <w:jc w:val="left"/>
        <w:rPr>
          <w:szCs w:val="24"/>
        </w:rPr>
      </w:pPr>
      <w:r w:rsidRPr="003720AF">
        <w:rPr>
          <w:szCs w:val="24"/>
        </w:rPr>
        <w:t xml:space="preserve">Cleanup levels for children and women calculated according to these equations with the OEHHA RfD are presented in </w:t>
      </w:r>
      <w:r w:rsidR="0061761E" w:rsidRPr="003720AF">
        <w:rPr>
          <w:szCs w:val="24"/>
        </w:rPr>
        <w:t>Table A3</w:t>
      </w:r>
      <w:r w:rsidRPr="003720AF">
        <w:rPr>
          <w:szCs w:val="24"/>
        </w:rPr>
        <w:t xml:space="preserve"> in units of µg/100 cm</w:t>
      </w:r>
      <w:r w:rsidRPr="003720AF">
        <w:rPr>
          <w:szCs w:val="24"/>
          <w:vertAlign w:val="superscript"/>
        </w:rPr>
        <w:t>2</w:t>
      </w:r>
      <w:r w:rsidRPr="003720AF">
        <w:rPr>
          <w:szCs w:val="24"/>
        </w:rPr>
        <w:t>. The cleanup level for children, 2 µg/100 cm</w:t>
      </w:r>
      <w:r w:rsidRPr="003720AF">
        <w:rPr>
          <w:szCs w:val="24"/>
          <w:vertAlign w:val="superscript"/>
        </w:rPr>
        <w:t>2</w:t>
      </w:r>
      <w:r w:rsidRPr="003720AF">
        <w:rPr>
          <w:szCs w:val="24"/>
        </w:rPr>
        <w:t xml:space="preserve">, is marginally greater than the current OEHHA cleanup standard. </w:t>
      </w:r>
    </w:p>
    <w:p w14:paraId="482C2440" w14:textId="64AA022F" w:rsidR="004A49B0" w:rsidRPr="003720AF" w:rsidRDefault="006C6B16" w:rsidP="006C6B16">
      <w:pPr>
        <w:pStyle w:val="Caption"/>
        <w:tabs>
          <w:tab w:val="left" w:pos="993"/>
        </w:tabs>
        <w:ind w:left="993" w:hanging="993"/>
      </w:pPr>
      <w:bookmarkStart w:id="85" w:name="_Toc463482651"/>
      <w:bookmarkStart w:id="86" w:name="_Toc463798600"/>
      <w:r w:rsidRPr="003720AF">
        <w:t>Table A</w:t>
      </w:r>
      <w:fldSimple w:instr=" SEQ Table_A \* ARABIC ">
        <w:r w:rsidR="00F6014F">
          <w:rPr>
            <w:noProof/>
          </w:rPr>
          <w:t>3</w:t>
        </w:r>
      </w:fldSimple>
      <w:r w:rsidR="00B8533A" w:rsidRPr="003720AF">
        <w:t>:</w:t>
      </w:r>
      <w:r w:rsidR="003707AD" w:rsidRPr="003720AF">
        <w:tab/>
      </w:r>
      <w:r w:rsidR="004A49B0" w:rsidRPr="003720AF">
        <w:t>Calculated cleanup levels for deposited methamphetamine residues based on OEHHA RfD (0.0003 mg/kg-d)</w:t>
      </w:r>
      <w:bookmarkEnd w:id="85"/>
      <w:bookmarkEnd w:id="86"/>
    </w:p>
    <w:tbl>
      <w:tblPr>
        <w:tblStyle w:val="ListTable22"/>
        <w:tblW w:w="7200" w:type="dxa"/>
        <w:jc w:val="center"/>
        <w:tblLayout w:type="fixed"/>
        <w:tblLook w:val="0620" w:firstRow="1" w:lastRow="0" w:firstColumn="0" w:lastColumn="0" w:noHBand="1" w:noVBand="1"/>
      </w:tblPr>
      <w:tblGrid>
        <w:gridCol w:w="2400"/>
        <w:gridCol w:w="2400"/>
        <w:gridCol w:w="2400"/>
      </w:tblGrid>
      <w:tr w:rsidR="003707AD" w:rsidRPr="003720AF" w14:paraId="664ADD45" w14:textId="77777777" w:rsidTr="009269EB">
        <w:trPr>
          <w:cnfStyle w:val="100000000000" w:firstRow="1" w:lastRow="0" w:firstColumn="0" w:lastColumn="0" w:oddVBand="0" w:evenVBand="0" w:oddHBand="0" w:evenHBand="0" w:firstRowFirstColumn="0" w:firstRowLastColumn="0" w:lastRowFirstColumn="0" w:lastRowLastColumn="0"/>
          <w:cantSplit/>
          <w:jc w:val="center"/>
        </w:trPr>
        <w:tc>
          <w:tcPr>
            <w:tcW w:w="2400" w:type="dxa"/>
            <w:noWrap/>
            <w:vAlign w:val="center"/>
          </w:tcPr>
          <w:p w14:paraId="60778B15" w14:textId="77777777" w:rsidR="003707AD" w:rsidRPr="003720AF" w:rsidRDefault="003707AD" w:rsidP="003707AD">
            <w:pPr>
              <w:spacing w:before="40" w:after="40"/>
              <w:jc w:val="center"/>
              <w:rPr>
                <w:rFonts w:eastAsia="Times New Roman" w:cs="Arial"/>
                <w:lang w:val="en-NZ"/>
              </w:rPr>
            </w:pPr>
            <w:r w:rsidRPr="003720AF">
              <w:rPr>
                <w:rFonts w:eastAsia="Times New Roman" w:cs="Arial"/>
                <w:lang w:val="en-NZ"/>
              </w:rPr>
              <w:t>Exposure route</w:t>
            </w:r>
          </w:p>
        </w:tc>
        <w:tc>
          <w:tcPr>
            <w:tcW w:w="4800" w:type="dxa"/>
            <w:gridSpan w:val="2"/>
            <w:noWrap/>
            <w:vAlign w:val="center"/>
            <w:hideMark/>
          </w:tcPr>
          <w:p w14:paraId="06181E30" w14:textId="56E3B081" w:rsidR="003707AD" w:rsidRPr="003720AF" w:rsidRDefault="003707AD" w:rsidP="00293904">
            <w:pPr>
              <w:spacing w:before="40" w:after="40"/>
              <w:jc w:val="center"/>
              <w:rPr>
                <w:rFonts w:eastAsia="Times New Roman" w:cs="Arial"/>
                <w:lang w:val="en-NZ"/>
              </w:rPr>
            </w:pPr>
            <w:r w:rsidRPr="003720AF">
              <w:rPr>
                <w:rFonts w:eastAsia="Times New Roman" w:cs="Arial"/>
                <w:lang w:val="en-NZ"/>
              </w:rPr>
              <w:t>Cleanup level (</w:t>
            </w:r>
            <w:r w:rsidRPr="003720AF">
              <w:rPr>
                <w:lang w:val="en-NZ"/>
              </w:rPr>
              <w:t>µg/100 cm</w:t>
            </w:r>
            <w:r w:rsidRPr="003720AF">
              <w:rPr>
                <w:vertAlign w:val="superscript"/>
                <w:lang w:val="en-NZ"/>
              </w:rPr>
              <w:t>2</w:t>
            </w:r>
            <w:r w:rsidRPr="003720AF">
              <w:rPr>
                <w:lang w:val="en-NZ"/>
              </w:rPr>
              <w:t>)</w:t>
            </w:r>
          </w:p>
        </w:tc>
      </w:tr>
      <w:tr w:rsidR="003707AD" w:rsidRPr="003720AF" w14:paraId="6B18CA01" w14:textId="77777777" w:rsidTr="004A49B0">
        <w:trPr>
          <w:cantSplit/>
          <w:jc w:val="center"/>
        </w:trPr>
        <w:tc>
          <w:tcPr>
            <w:tcW w:w="2400" w:type="dxa"/>
            <w:noWrap/>
            <w:vAlign w:val="center"/>
          </w:tcPr>
          <w:p w14:paraId="216896F2" w14:textId="77777777" w:rsidR="003707AD" w:rsidRPr="003720AF" w:rsidRDefault="003707AD" w:rsidP="003707AD">
            <w:pPr>
              <w:spacing w:before="40" w:after="40"/>
              <w:jc w:val="center"/>
              <w:rPr>
                <w:rFonts w:eastAsia="Times New Roman" w:cs="Arial"/>
                <w:lang w:val="en-NZ"/>
              </w:rPr>
            </w:pPr>
          </w:p>
        </w:tc>
        <w:tc>
          <w:tcPr>
            <w:tcW w:w="2400" w:type="dxa"/>
            <w:noWrap/>
            <w:vAlign w:val="center"/>
          </w:tcPr>
          <w:p w14:paraId="44738619" w14:textId="310A83C5" w:rsidR="003707AD" w:rsidRPr="003720AF" w:rsidRDefault="003707AD" w:rsidP="003707AD">
            <w:pPr>
              <w:spacing w:before="40" w:after="40"/>
              <w:jc w:val="center"/>
              <w:rPr>
                <w:rFonts w:eastAsia="Times New Roman" w:cs="Arial"/>
                <w:b/>
                <w:lang w:val="en-NZ"/>
              </w:rPr>
            </w:pPr>
            <w:r w:rsidRPr="003720AF">
              <w:rPr>
                <w:rFonts w:eastAsia="Times New Roman" w:cs="Arial"/>
                <w:b/>
                <w:lang w:val="en-NZ"/>
              </w:rPr>
              <w:t>Child</w:t>
            </w:r>
          </w:p>
        </w:tc>
        <w:tc>
          <w:tcPr>
            <w:tcW w:w="2400" w:type="dxa"/>
            <w:noWrap/>
            <w:vAlign w:val="center"/>
          </w:tcPr>
          <w:p w14:paraId="1EEC522A" w14:textId="7B6DFCB2" w:rsidR="003707AD" w:rsidRPr="003720AF" w:rsidRDefault="003707AD" w:rsidP="003707AD">
            <w:pPr>
              <w:spacing w:before="40" w:after="40"/>
              <w:jc w:val="center"/>
              <w:rPr>
                <w:rFonts w:eastAsia="Times New Roman" w:cs="Arial"/>
                <w:b/>
                <w:lang w:val="en-NZ"/>
              </w:rPr>
            </w:pPr>
            <w:r w:rsidRPr="003720AF">
              <w:rPr>
                <w:rFonts w:eastAsia="Times New Roman" w:cs="Arial"/>
                <w:b/>
                <w:lang w:val="en-NZ"/>
              </w:rPr>
              <w:t>Woman</w:t>
            </w:r>
          </w:p>
        </w:tc>
      </w:tr>
      <w:tr w:rsidR="004A49B0" w:rsidRPr="003720AF" w14:paraId="55363B24" w14:textId="77777777" w:rsidTr="004A49B0">
        <w:trPr>
          <w:cantSplit/>
          <w:jc w:val="center"/>
        </w:trPr>
        <w:tc>
          <w:tcPr>
            <w:tcW w:w="2400" w:type="dxa"/>
            <w:noWrap/>
            <w:hideMark/>
          </w:tcPr>
          <w:p w14:paraId="611784FE" w14:textId="77777777" w:rsidR="004A49B0" w:rsidRPr="003720AF" w:rsidRDefault="004A49B0" w:rsidP="003707AD">
            <w:pPr>
              <w:spacing w:before="40" w:after="40"/>
              <w:rPr>
                <w:rFonts w:eastAsia="Times New Roman" w:cs="Arial"/>
                <w:lang w:val="en-NZ"/>
              </w:rPr>
            </w:pPr>
            <w:r w:rsidRPr="003720AF">
              <w:rPr>
                <w:rFonts w:eastAsia="Times New Roman" w:cs="Arial"/>
                <w:lang w:val="en-NZ"/>
              </w:rPr>
              <w:t>Dermal</w:t>
            </w:r>
          </w:p>
        </w:tc>
        <w:tc>
          <w:tcPr>
            <w:tcW w:w="2400" w:type="dxa"/>
            <w:noWrap/>
            <w:hideMark/>
          </w:tcPr>
          <w:p w14:paraId="5E55F7D0" w14:textId="77777777" w:rsidR="004A49B0" w:rsidRPr="003720AF" w:rsidRDefault="004A49B0" w:rsidP="003707AD">
            <w:pPr>
              <w:spacing w:before="40" w:after="40"/>
              <w:jc w:val="center"/>
              <w:rPr>
                <w:rFonts w:eastAsia="Times New Roman" w:cs="Arial"/>
                <w:lang w:val="en-NZ"/>
              </w:rPr>
            </w:pPr>
            <w:r w:rsidRPr="003720AF">
              <w:rPr>
                <w:rFonts w:eastAsia="Times New Roman" w:cs="Arial"/>
                <w:lang w:val="en-NZ"/>
              </w:rPr>
              <w:t>2.3</w:t>
            </w:r>
          </w:p>
        </w:tc>
        <w:tc>
          <w:tcPr>
            <w:tcW w:w="2400" w:type="dxa"/>
            <w:noWrap/>
            <w:hideMark/>
          </w:tcPr>
          <w:p w14:paraId="2310C3DA" w14:textId="77777777" w:rsidR="004A49B0" w:rsidRPr="003720AF" w:rsidRDefault="004A49B0" w:rsidP="003707AD">
            <w:pPr>
              <w:spacing w:before="40" w:after="40"/>
              <w:jc w:val="center"/>
              <w:rPr>
                <w:rFonts w:eastAsia="Times New Roman" w:cs="Arial"/>
                <w:lang w:val="en-NZ"/>
              </w:rPr>
            </w:pPr>
            <w:r w:rsidRPr="003720AF">
              <w:rPr>
                <w:rFonts w:eastAsia="Times New Roman" w:cs="Arial"/>
                <w:lang w:val="en-NZ"/>
              </w:rPr>
              <w:t>3.8</w:t>
            </w:r>
          </w:p>
        </w:tc>
      </w:tr>
      <w:tr w:rsidR="004A49B0" w:rsidRPr="003720AF" w14:paraId="108BBE0F" w14:textId="77777777" w:rsidTr="004A49B0">
        <w:trPr>
          <w:cantSplit/>
          <w:jc w:val="center"/>
        </w:trPr>
        <w:tc>
          <w:tcPr>
            <w:tcW w:w="2400" w:type="dxa"/>
            <w:noWrap/>
            <w:hideMark/>
          </w:tcPr>
          <w:p w14:paraId="1C87AFB8" w14:textId="77777777" w:rsidR="004A49B0" w:rsidRPr="003720AF" w:rsidRDefault="004A49B0" w:rsidP="003707AD">
            <w:pPr>
              <w:spacing w:before="40" w:after="40"/>
              <w:rPr>
                <w:rFonts w:eastAsia="Times New Roman" w:cs="Arial"/>
                <w:lang w:val="en-NZ"/>
              </w:rPr>
            </w:pPr>
            <w:r w:rsidRPr="003720AF">
              <w:rPr>
                <w:rFonts w:eastAsia="Times New Roman" w:cs="Arial"/>
                <w:lang w:val="en-NZ"/>
              </w:rPr>
              <w:t>Oral</w:t>
            </w:r>
          </w:p>
        </w:tc>
        <w:tc>
          <w:tcPr>
            <w:tcW w:w="2400" w:type="dxa"/>
            <w:noWrap/>
            <w:hideMark/>
          </w:tcPr>
          <w:p w14:paraId="1C6CDEF1" w14:textId="77777777" w:rsidR="004A49B0" w:rsidRPr="003720AF" w:rsidRDefault="004A49B0" w:rsidP="003707AD">
            <w:pPr>
              <w:spacing w:before="40" w:after="40"/>
              <w:jc w:val="center"/>
              <w:rPr>
                <w:rFonts w:eastAsia="Times New Roman" w:cs="Arial"/>
                <w:lang w:val="en-NZ"/>
              </w:rPr>
            </w:pPr>
            <w:r w:rsidRPr="003720AF">
              <w:rPr>
                <w:rFonts w:eastAsia="Times New Roman" w:cs="Arial"/>
                <w:lang w:val="en-NZ"/>
              </w:rPr>
              <w:t>17.5</w:t>
            </w:r>
          </w:p>
        </w:tc>
        <w:tc>
          <w:tcPr>
            <w:tcW w:w="2400" w:type="dxa"/>
            <w:noWrap/>
            <w:hideMark/>
          </w:tcPr>
          <w:p w14:paraId="17B186C4" w14:textId="77777777" w:rsidR="004A49B0" w:rsidRPr="003720AF" w:rsidRDefault="004A49B0" w:rsidP="003707AD">
            <w:pPr>
              <w:spacing w:before="40" w:after="40"/>
              <w:jc w:val="center"/>
              <w:rPr>
                <w:rFonts w:eastAsia="Times New Roman" w:cs="Arial"/>
                <w:lang w:val="en-NZ"/>
              </w:rPr>
            </w:pPr>
            <w:r w:rsidRPr="003720AF">
              <w:rPr>
                <w:rFonts w:eastAsia="Times New Roman" w:cs="Arial"/>
                <w:lang w:val="en-NZ"/>
              </w:rPr>
              <w:t>--</w:t>
            </w:r>
          </w:p>
        </w:tc>
      </w:tr>
      <w:tr w:rsidR="004A49B0" w:rsidRPr="003720AF" w14:paraId="31B52CD7" w14:textId="77777777" w:rsidTr="004A49B0">
        <w:trPr>
          <w:cantSplit/>
          <w:jc w:val="center"/>
        </w:trPr>
        <w:tc>
          <w:tcPr>
            <w:tcW w:w="2400" w:type="dxa"/>
            <w:noWrap/>
            <w:hideMark/>
          </w:tcPr>
          <w:p w14:paraId="5C070968" w14:textId="77777777" w:rsidR="004A49B0" w:rsidRPr="003720AF" w:rsidRDefault="004A49B0" w:rsidP="003707AD">
            <w:pPr>
              <w:spacing w:before="40" w:after="40"/>
              <w:rPr>
                <w:rFonts w:eastAsia="Times New Roman" w:cs="Arial"/>
                <w:lang w:val="en-NZ"/>
              </w:rPr>
            </w:pPr>
            <w:r w:rsidRPr="003720AF">
              <w:rPr>
                <w:rFonts w:eastAsia="Times New Roman" w:cs="Arial"/>
                <w:lang w:val="en-NZ"/>
              </w:rPr>
              <w:t>Both</w:t>
            </w:r>
          </w:p>
        </w:tc>
        <w:tc>
          <w:tcPr>
            <w:tcW w:w="2400" w:type="dxa"/>
            <w:noWrap/>
            <w:hideMark/>
          </w:tcPr>
          <w:p w14:paraId="1500D152" w14:textId="77777777" w:rsidR="004A49B0" w:rsidRPr="003720AF" w:rsidRDefault="004A49B0" w:rsidP="003707AD">
            <w:pPr>
              <w:spacing w:before="40" w:after="40"/>
              <w:jc w:val="center"/>
              <w:rPr>
                <w:rFonts w:eastAsia="Times New Roman" w:cs="Arial"/>
                <w:lang w:val="en-NZ"/>
              </w:rPr>
            </w:pPr>
            <w:r w:rsidRPr="003720AF">
              <w:rPr>
                <w:rFonts w:eastAsia="Times New Roman" w:cs="Arial"/>
                <w:lang w:val="en-NZ"/>
              </w:rPr>
              <w:t>2</w:t>
            </w:r>
          </w:p>
        </w:tc>
        <w:tc>
          <w:tcPr>
            <w:tcW w:w="2400" w:type="dxa"/>
            <w:noWrap/>
            <w:hideMark/>
          </w:tcPr>
          <w:p w14:paraId="5B6AF7E7" w14:textId="77777777" w:rsidR="004A49B0" w:rsidRPr="003720AF" w:rsidRDefault="004A49B0" w:rsidP="003707AD">
            <w:pPr>
              <w:spacing w:before="40" w:after="40"/>
              <w:jc w:val="center"/>
              <w:rPr>
                <w:rFonts w:eastAsia="Times New Roman" w:cs="Arial"/>
                <w:lang w:val="en-NZ"/>
              </w:rPr>
            </w:pPr>
            <w:r w:rsidRPr="003720AF">
              <w:rPr>
                <w:rFonts w:eastAsia="Times New Roman" w:cs="Arial"/>
                <w:lang w:val="en-NZ"/>
              </w:rPr>
              <w:t>3.8</w:t>
            </w:r>
          </w:p>
        </w:tc>
      </w:tr>
      <w:tr w:rsidR="004A49B0" w:rsidRPr="003720AF" w14:paraId="4495F3D5" w14:textId="77777777" w:rsidTr="004A49B0">
        <w:trPr>
          <w:cantSplit/>
          <w:jc w:val="center"/>
        </w:trPr>
        <w:tc>
          <w:tcPr>
            <w:tcW w:w="7200" w:type="dxa"/>
            <w:gridSpan w:val="3"/>
            <w:noWrap/>
          </w:tcPr>
          <w:p w14:paraId="0E85F85E" w14:textId="77777777" w:rsidR="004A49B0" w:rsidRPr="003720AF" w:rsidRDefault="004A49B0" w:rsidP="003707AD">
            <w:pPr>
              <w:spacing w:before="40" w:after="40"/>
              <w:rPr>
                <w:rFonts w:eastAsia="Times New Roman" w:cs="Arial"/>
                <w:lang w:val="en-NZ"/>
              </w:rPr>
            </w:pPr>
            <w:r w:rsidRPr="003720AF">
              <w:rPr>
                <w:rFonts w:eastAsia="Times New Roman" w:cs="Arial"/>
                <w:lang w:val="en-NZ"/>
              </w:rPr>
              <w:t>-</w:t>
            </w:r>
            <w:r w:rsidRPr="003720AF">
              <w:rPr>
                <w:rFonts w:cs="Arial"/>
                <w:lang w:val="en-NZ"/>
              </w:rPr>
              <w:t>- = not calculated</w:t>
            </w:r>
          </w:p>
        </w:tc>
      </w:tr>
    </w:tbl>
    <w:p w14:paraId="47B8095F" w14:textId="77777777" w:rsidR="004A49B0" w:rsidRPr="003720AF" w:rsidRDefault="004A49B0" w:rsidP="004A49B0">
      <w:pPr>
        <w:pStyle w:val="BodyText"/>
        <w:rPr>
          <w:szCs w:val="24"/>
        </w:rPr>
      </w:pPr>
    </w:p>
    <w:p w14:paraId="5DAFC4FF" w14:textId="77777777" w:rsidR="004A49B0" w:rsidRPr="003720AF" w:rsidRDefault="004A49B0" w:rsidP="00825551">
      <w:pPr>
        <w:pStyle w:val="AppendixHeading2"/>
        <w:ind w:left="709" w:hanging="709"/>
        <w:rPr>
          <w:b/>
        </w:rPr>
      </w:pPr>
      <w:bookmarkStart w:id="87" w:name="_Toc463482647"/>
      <w:bookmarkStart w:id="88" w:name="_Toc463856056"/>
      <w:r w:rsidRPr="003720AF">
        <w:rPr>
          <w:b/>
        </w:rPr>
        <w:t>Conclusion</w:t>
      </w:r>
      <w:bookmarkEnd w:id="87"/>
      <w:bookmarkEnd w:id="88"/>
    </w:p>
    <w:p w14:paraId="3B255110" w14:textId="77777777" w:rsidR="004A49B0" w:rsidRPr="003720AF" w:rsidRDefault="004A49B0" w:rsidP="00C225D4">
      <w:pPr>
        <w:pStyle w:val="BodyText"/>
        <w:spacing w:line="360" w:lineRule="auto"/>
        <w:jc w:val="left"/>
      </w:pPr>
      <w:r w:rsidRPr="003720AF">
        <w:t xml:space="preserve">The SHEDS-Multimedia model is clearly a powerful tool for complete characterization of exposure distributions (dependent upon quality of inputs). However, it is neither readily accessible nor easy to manipulate. Indeed, it was not possible to run the current version of the SHEDS model within the timeframe of this project. </w:t>
      </w:r>
    </w:p>
    <w:p w14:paraId="21A3B845" w14:textId="795E591B" w:rsidR="004A49B0" w:rsidRPr="003720AF" w:rsidRDefault="004A49B0" w:rsidP="00C225D4">
      <w:pPr>
        <w:pStyle w:val="BodyText"/>
        <w:spacing w:line="360" w:lineRule="auto"/>
        <w:jc w:val="left"/>
      </w:pPr>
      <w:r w:rsidRPr="003720AF">
        <w:t>Use of current SOP equations with appropriate parameter values provides conservative but reasonable exposure levels, and can be readily modified by users to reflect different exposure conditions, assumptions, and parameter values. The fact that application of the simple methamphetamine exposure model described in this document results in exposure estimates similar to upper-bound (95</w:t>
      </w:r>
      <w:r w:rsidRPr="003720AF">
        <w:rPr>
          <w:vertAlign w:val="superscript"/>
        </w:rPr>
        <w:t>th</w:t>
      </w:r>
      <w:r w:rsidRPr="003720AF">
        <w:t xml:space="preserve"> percentile) estimates derived using SHEDS demonstrates its conservatism and appropriateness for the purpose. A study of New Zealand (Auckland area) residences used as clandestine laboratories showed little change in surface methamphetamine concentrations before and after remediation. The fact that </w:t>
      </w:r>
      <w:r w:rsidRPr="003720AF">
        <w:lastRenderedPageBreak/>
        <w:t xml:space="preserve">most concentrations remained above the current New Zealand standard of 0.5 </w:t>
      </w:r>
      <w:r w:rsidRPr="003720AF">
        <w:rPr>
          <w:szCs w:val="24"/>
        </w:rPr>
        <w:t>µg/100 cm</w:t>
      </w:r>
      <w:r w:rsidRPr="003720AF">
        <w:rPr>
          <w:szCs w:val="24"/>
          <w:vertAlign w:val="superscript"/>
        </w:rPr>
        <w:t>2</w:t>
      </w:r>
      <w:r w:rsidRPr="003720AF">
        <w:t xml:space="preserve"> (McKenzie 2014) indicates the practical difficulty of achieving such a low level. The revised cleanup standard calculated in this document, 2 </w:t>
      </w:r>
      <w:r w:rsidRPr="003720AF">
        <w:rPr>
          <w:szCs w:val="24"/>
        </w:rPr>
        <w:t>µg/100 cm</w:t>
      </w:r>
      <w:r w:rsidRPr="003720AF">
        <w:rPr>
          <w:szCs w:val="24"/>
          <w:vertAlign w:val="superscript"/>
        </w:rPr>
        <w:t>2</w:t>
      </w:r>
      <w:r w:rsidRPr="003720AF">
        <w:rPr>
          <w:szCs w:val="24"/>
        </w:rPr>
        <w:t>,</w:t>
      </w:r>
      <w:r w:rsidRPr="003720AF">
        <w:t xml:space="preserve"> is around twice the median level of methamphetamine measured in the houses post-remediation (McKenzie 2014), suggesting that while health-protective, it may be more practicabl</w:t>
      </w:r>
      <w:r w:rsidR="001D79E0" w:rsidRPr="003720AF">
        <w:t>e. Both standards are compared with</w:t>
      </w:r>
      <w:r w:rsidRPr="003720AF">
        <w:t xml:space="preserve"> the range of post-remediation concentrations in </w:t>
      </w:r>
      <w:r w:rsidRPr="003720AF">
        <w:fldChar w:fldCharType="begin"/>
      </w:r>
      <w:r w:rsidRPr="003720AF">
        <w:instrText xml:space="preserve"> REF _Ref463481632 \h </w:instrText>
      </w:r>
      <w:r w:rsidR="00C225D4" w:rsidRPr="003720AF">
        <w:instrText xml:space="preserve"> \* MERGEFORMAT </w:instrText>
      </w:r>
      <w:r w:rsidRPr="003720AF">
        <w:fldChar w:fldCharType="separate"/>
      </w:r>
      <w:r w:rsidR="00F6014F" w:rsidRPr="003720AF">
        <w:t>Figure A</w:t>
      </w:r>
      <w:r w:rsidR="00F6014F">
        <w:t>3</w:t>
      </w:r>
      <w:r w:rsidRPr="003720AF">
        <w:fldChar w:fldCharType="end"/>
      </w:r>
      <w:r w:rsidRPr="003720AF">
        <w:t xml:space="preserve">. </w:t>
      </w:r>
    </w:p>
    <w:p w14:paraId="20E0E04C" w14:textId="77777777" w:rsidR="004A49B0" w:rsidRPr="003720AF" w:rsidRDefault="004A49B0" w:rsidP="004A49B0">
      <w:pPr>
        <w:pStyle w:val="BodyText"/>
        <w:sectPr w:rsidR="004A49B0" w:rsidRPr="003720AF" w:rsidSect="004A49B0">
          <w:endnotePr>
            <w:numFmt w:val="decimal"/>
          </w:endnotePr>
          <w:pgSz w:w="12240" w:h="15840" w:code="1"/>
          <w:pgMar w:top="1296" w:right="1296" w:bottom="1296" w:left="1296" w:header="432" w:footer="432" w:gutter="0"/>
          <w:cols w:space="720"/>
          <w:noEndnote/>
          <w:docGrid w:linePitch="326"/>
        </w:sectPr>
      </w:pPr>
    </w:p>
    <w:p w14:paraId="6E09840C" w14:textId="200120F6" w:rsidR="004A49B0" w:rsidRPr="003720AF" w:rsidRDefault="004A49B0" w:rsidP="001D79E0">
      <w:pPr>
        <w:pStyle w:val="Caption"/>
        <w:tabs>
          <w:tab w:val="left" w:pos="1134"/>
        </w:tabs>
        <w:ind w:left="1134" w:hanging="1134"/>
      </w:pPr>
      <w:bookmarkStart w:id="89" w:name="_Ref463481632"/>
      <w:bookmarkStart w:id="90" w:name="_Toc463482654"/>
      <w:bookmarkStart w:id="91" w:name="_Toc463798734"/>
      <w:bookmarkStart w:id="92" w:name="_Toc463798769"/>
      <w:r w:rsidRPr="003720AF">
        <w:lastRenderedPageBreak/>
        <w:t>Figure A</w:t>
      </w:r>
      <w:fldSimple w:instr=" SEQ Figure \* ARABIC ">
        <w:r w:rsidR="00F6014F">
          <w:rPr>
            <w:noProof/>
          </w:rPr>
          <w:t>3</w:t>
        </w:r>
      </w:fldSimple>
      <w:bookmarkEnd w:id="89"/>
      <w:r w:rsidRPr="003720AF">
        <w:rPr>
          <w:noProof/>
          <w:lang w:eastAsia="en-NZ"/>
        </w:rPr>
        <w:drawing>
          <wp:anchor distT="0" distB="0" distL="114300" distR="114300" simplePos="0" relativeHeight="251659264" behindDoc="0" locked="0" layoutInCell="1" allowOverlap="1" wp14:anchorId="0A63B5F5" wp14:editId="2E4821D1">
            <wp:simplePos x="826936" y="826936"/>
            <wp:positionH relativeFrom="margin">
              <wp:align>center</wp:align>
            </wp:positionH>
            <wp:positionV relativeFrom="margin">
              <wp:align>top</wp:align>
            </wp:positionV>
            <wp:extent cx="8587268" cy="5303520"/>
            <wp:effectExtent l="0" t="0" r="444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cstate="print">
                      <a:extLst>
                        <a:ext uri="{28A0092B-C50C-407E-A947-70E740481C1C}">
                          <a14:useLocalDpi xmlns:a14="http://schemas.microsoft.com/office/drawing/2010/main" val="0"/>
                        </a:ext>
                      </a:extLst>
                    </a:blip>
                    <a:stretch>
                      <a:fillRect/>
                    </a:stretch>
                  </pic:blipFill>
                  <pic:spPr>
                    <a:xfrm>
                      <a:off x="0" y="0"/>
                      <a:ext cx="8587268" cy="5303520"/>
                    </a:xfrm>
                    <a:prstGeom prst="rect">
                      <a:avLst/>
                    </a:prstGeom>
                  </pic:spPr>
                </pic:pic>
              </a:graphicData>
            </a:graphic>
          </wp:anchor>
        </w:drawing>
      </w:r>
      <w:r w:rsidR="001D79E0" w:rsidRPr="003720AF">
        <w:t>.</w:t>
      </w:r>
      <w:r w:rsidR="001D79E0" w:rsidRPr="003720AF">
        <w:tab/>
      </w:r>
      <w:r w:rsidRPr="003720AF">
        <w:t>Comparison of surface wipe concentrations in remediated clandestine methamphetamine laboratories with the New Zealand cleanup standard and the cleanup level calculated in this document (base figure from McKenzie 2014)</w:t>
      </w:r>
      <w:bookmarkEnd w:id="90"/>
      <w:bookmarkEnd w:id="91"/>
      <w:bookmarkEnd w:id="92"/>
    </w:p>
    <w:p w14:paraId="7E1BA24A" w14:textId="77777777" w:rsidR="004A49B0" w:rsidRPr="003720AF" w:rsidRDefault="004A49B0" w:rsidP="004A49B0">
      <w:pPr>
        <w:tabs>
          <w:tab w:val="left" w:pos="1828"/>
        </w:tabs>
        <w:sectPr w:rsidR="004A49B0" w:rsidRPr="003720AF" w:rsidSect="004A49B0">
          <w:endnotePr>
            <w:numFmt w:val="decimal"/>
          </w:endnotePr>
          <w:pgSz w:w="15840" w:h="12240" w:orient="landscape" w:code="1"/>
          <w:pgMar w:top="1296" w:right="1296" w:bottom="1296" w:left="1296" w:header="432" w:footer="432" w:gutter="0"/>
          <w:cols w:space="720"/>
          <w:noEndnote/>
          <w:docGrid w:linePitch="326"/>
        </w:sectPr>
      </w:pPr>
      <w:r w:rsidRPr="003720AF">
        <w:tab/>
      </w:r>
    </w:p>
    <w:p w14:paraId="052DDA50" w14:textId="2D609145" w:rsidR="004A49B0" w:rsidRPr="003720AF" w:rsidRDefault="00EA2E0D" w:rsidP="00825551">
      <w:pPr>
        <w:pStyle w:val="AppendixHeading2"/>
        <w:numPr>
          <w:ilvl w:val="0"/>
          <w:numId w:val="0"/>
        </w:numPr>
        <w:rPr>
          <w:b/>
        </w:rPr>
      </w:pPr>
      <w:bookmarkStart w:id="93" w:name="_Toc463482648"/>
      <w:bookmarkStart w:id="94" w:name="_Toc463856057"/>
      <w:r w:rsidRPr="003720AF">
        <w:rPr>
          <w:b/>
        </w:rPr>
        <w:lastRenderedPageBreak/>
        <w:t xml:space="preserve">Appendix </w:t>
      </w:r>
      <w:r w:rsidR="004A49B0" w:rsidRPr="003720AF">
        <w:rPr>
          <w:b/>
        </w:rPr>
        <w:t>References</w:t>
      </w:r>
      <w:bookmarkEnd w:id="93"/>
      <w:bookmarkEnd w:id="94"/>
    </w:p>
    <w:p w14:paraId="4B1CD20E" w14:textId="2EA2991C" w:rsidR="004A49B0" w:rsidRPr="003720AF" w:rsidRDefault="007D68D9" w:rsidP="00667116">
      <w:pPr>
        <w:pStyle w:val="Ref"/>
        <w:ind w:left="0" w:firstLine="0"/>
        <w:rPr>
          <w:rFonts w:ascii="Arial" w:hAnsi="Arial" w:cs="Arial"/>
          <w:sz w:val="22"/>
          <w:lang w:val="en-NZ"/>
        </w:rPr>
      </w:pPr>
      <w:r w:rsidRPr="003720AF">
        <w:rPr>
          <w:rFonts w:ascii="Arial" w:hAnsi="Arial" w:cs="Arial"/>
          <w:sz w:val="22"/>
          <w:lang w:val="en-NZ"/>
        </w:rPr>
        <w:t>Chapman</w:t>
      </w:r>
      <w:r w:rsidR="004A49B0" w:rsidRPr="003720AF">
        <w:rPr>
          <w:rFonts w:ascii="Arial" w:hAnsi="Arial" w:cs="Arial"/>
          <w:sz w:val="22"/>
          <w:lang w:val="en-NZ"/>
        </w:rPr>
        <w:t xml:space="preserve"> J</w:t>
      </w:r>
      <w:r w:rsidRPr="003720AF">
        <w:rPr>
          <w:rFonts w:ascii="Arial" w:hAnsi="Arial" w:cs="Arial"/>
          <w:sz w:val="22"/>
          <w:lang w:val="en-NZ"/>
        </w:rPr>
        <w:t xml:space="preserve"> </w:t>
      </w:r>
      <w:r w:rsidR="004A49B0" w:rsidRPr="003720AF">
        <w:rPr>
          <w:rFonts w:ascii="Arial" w:hAnsi="Arial" w:cs="Arial"/>
          <w:sz w:val="22"/>
          <w:lang w:val="en-NZ"/>
        </w:rPr>
        <w:t xml:space="preserve">D. </w:t>
      </w:r>
      <w:r w:rsidRPr="003720AF">
        <w:rPr>
          <w:rFonts w:ascii="Arial" w:hAnsi="Arial" w:cs="Arial"/>
          <w:sz w:val="22"/>
          <w:lang w:val="en-NZ"/>
        </w:rPr>
        <w:t>1961</w:t>
      </w:r>
      <w:r w:rsidR="004A49B0" w:rsidRPr="003720AF">
        <w:rPr>
          <w:rFonts w:ascii="Arial" w:hAnsi="Arial" w:cs="Arial"/>
          <w:sz w:val="22"/>
          <w:lang w:val="en-NZ"/>
        </w:rPr>
        <w:t xml:space="preserve">. Control of weight gain in pregnancy, utilizing methamphetamine. </w:t>
      </w:r>
      <w:r w:rsidR="004A49B0" w:rsidRPr="003720AF">
        <w:rPr>
          <w:rFonts w:ascii="Arial" w:hAnsi="Arial" w:cs="Arial"/>
          <w:i/>
          <w:sz w:val="22"/>
          <w:lang w:val="en-NZ"/>
        </w:rPr>
        <w:t>J</w:t>
      </w:r>
      <w:r w:rsidRPr="003720AF">
        <w:rPr>
          <w:rFonts w:ascii="Arial" w:hAnsi="Arial" w:cs="Arial"/>
          <w:i/>
          <w:sz w:val="22"/>
          <w:lang w:val="en-NZ"/>
        </w:rPr>
        <w:t>ournal of the</w:t>
      </w:r>
      <w:r w:rsidR="004A49B0" w:rsidRPr="003720AF">
        <w:rPr>
          <w:rFonts w:ascii="Arial" w:hAnsi="Arial" w:cs="Arial"/>
          <w:i/>
          <w:sz w:val="22"/>
          <w:lang w:val="en-NZ"/>
        </w:rPr>
        <w:t xml:space="preserve"> Am</w:t>
      </w:r>
      <w:r w:rsidRPr="003720AF">
        <w:rPr>
          <w:rFonts w:ascii="Arial" w:hAnsi="Arial" w:cs="Arial"/>
          <w:i/>
          <w:sz w:val="22"/>
          <w:lang w:val="en-NZ"/>
        </w:rPr>
        <w:t>erican</w:t>
      </w:r>
      <w:r w:rsidR="004A49B0" w:rsidRPr="003720AF">
        <w:rPr>
          <w:rFonts w:ascii="Arial" w:hAnsi="Arial" w:cs="Arial"/>
          <w:i/>
          <w:sz w:val="22"/>
          <w:lang w:val="en-NZ"/>
        </w:rPr>
        <w:t xml:space="preserve"> Osteopath</w:t>
      </w:r>
      <w:r w:rsidRPr="003720AF">
        <w:rPr>
          <w:rFonts w:ascii="Arial" w:hAnsi="Arial" w:cs="Arial"/>
          <w:i/>
          <w:sz w:val="22"/>
          <w:lang w:val="en-NZ"/>
        </w:rPr>
        <w:t>ic</w:t>
      </w:r>
      <w:r w:rsidR="004A49B0" w:rsidRPr="003720AF">
        <w:rPr>
          <w:rFonts w:ascii="Arial" w:hAnsi="Arial" w:cs="Arial"/>
          <w:i/>
          <w:sz w:val="22"/>
          <w:lang w:val="en-NZ"/>
        </w:rPr>
        <w:t xml:space="preserve"> Assoc</w:t>
      </w:r>
      <w:r w:rsidRPr="003720AF">
        <w:rPr>
          <w:rFonts w:ascii="Arial" w:hAnsi="Arial" w:cs="Arial"/>
          <w:i/>
          <w:sz w:val="22"/>
          <w:lang w:val="en-NZ"/>
        </w:rPr>
        <w:t>iation.</w:t>
      </w:r>
      <w:r w:rsidR="004A49B0" w:rsidRPr="003720AF">
        <w:rPr>
          <w:rFonts w:ascii="Arial" w:hAnsi="Arial" w:cs="Arial"/>
          <w:sz w:val="22"/>
          <w:lang w:val="en-NZ"/>
        </w:rPr>
        <w:t xml:space="preserve"> </w:t>
      </w:r>
      <w:r w:rsidRPr="003720AF">
        <w:rPr>
          <w:rFonts w:ascii="Arial" w:hAnsi="Arial" w:cs="Arial"/>
          <w:sz w:val="22"/>
          <w:lang w:val="en-NZ"/>
        </w:rPr>
        <w:t>60</w:t>
      </w:r>
      <w:r w:rsidRPr="003720AF">
        <w:rPr>
          <w:rFonts w:ascii="Arial" w:hAnsi="Arial" w:cs="Arial"/>
          <w:b/>
          <w:sz w:val="22"/>
          <w:lang w:val="en-NZ"/>
        </w:rPr>
        <w:t xml:space="preserve">: </w:t>
      </w:r>
      <w:r w:rsidRPr="003720AF">
        <w:rPr>
          <w:rFonts w:ascii="Arial" w:hAnsi="Arial" w:cs="Arial"/>
          <w:sz w:val="22"/>
          <w:lang w:val="en-NZ"/>
        </w:rPr>
        <w:t>993–</w:t>
      </w:r>
      <w:r w:rsidR="004A49B0" w:rsidRPr="003720AF">
        <w:rPr>
          <w:rFonts w:ascii="Arial" w:hAnsi="Arial" w:cs="Arial"/>
          <w:sz w:val="22"/>
          <w:lang w:val="en-NZ"/>
        </w:rPr>
        <w:t>997.</w:t>
      </w:r>
    </w:p>
    <w:p w14:paraId="2BB33642" w14:textId="34DD884C" w:rsidR="004A49B0" w:rsidRPr="003720AF" w:rsidRDefault="004A49B0" w:rsidP="00667116">
      <w:pPr>
        <w:pStyle w:val="Ref"/>
        <w:ind w:left="0" w:firstLine="0"/>
        <w:rPr>
          <w:rFonts w:ascii="Arial" w:hAnsi="Arial" w:cs="Arial"/>
          <w:sz w:val="22"/>
          <w:lang w:val="en-NZ"/>
        </w:rPr>
      </w:pPr>
      <w:r w:rsidRPr="003720AF">
        <w:rPr>
          <w:rFonts w:ascii="Arial" w:hAnsi="Arial" w:cs="Arial"/>
          <w:sz w:val="22"/>
          <w:lang w:val="en-NZ"/>
        </w:rPr>
        <w:t>Cohen Hubal E</w:t>
      </w:r>
      <w:r w:rsidR="007D68D9" w:rsidRPr="003720AF">
        <w:rPr>
          <w:rFonts w:ascii="Arial" w:hAnsi="Arial" w:cs="Arial"/>
          <w:sz w:val="22"/>
          <w:lang w:val="en-NZ"/>
        </w:rPr>
        <w:t xml:space="preserve"> A</w:t>
      </w:r>
      <w:r w:rsidR="009251B7" w:rsidRPr="003720AF">
        <w:rPr>
          <w:rFonts w:ascii="Arial" w:hAnsi="Arial" w:cs="Arial"/>
          <w:sz w:val="22"/>
          <w:lang w:val="en-NZ"/>
        </w:rPr>
        <w:t>, Egeghy P P, Leovic K W, et al.</w:t>
      </w:r>
      <w:r w:rsidRPr="003720AF">
        <w:rPr>
          <w:rFonts w:ascii="Arial" w:hAnsi="Arial" w:cs="Arial"/>
          <w:sz w:val="22"/>
          <w:lang w:val="en-NZ"/>
        </w:rPr>
        <w:t xml:space="preserve"> </w:t>
      </w:r>
      <w:r w:rsidR="009251B7" w:rsidRPr="003720AF">
        <w:rPr>
          <w:rFonts w:ascii="Arial" w:hAnsi="Arial" w:cs="Arial"/>
          <w:sz w:val="22"/>
          <w:lang w:val="en-NZ"/>
        </w:rPr>
        <w:t>2006</w:t>
      </w:r>
      <w:r w:rsidRPr="003720AF">
        <w:rPr>
          <w:rFonts w:ascii="Arial" w:hAnsi="Arial" w:cs="Arial"/>
          <w:sz w:val="22"/>
          <w:lang w:val="en-NZ"/>
        </w:rPr>
        <w:t xml:space="preserve">. Measuring potential dermal transfer of a pesticide to children in a child care center. </w:t>
      </w:r>
      <w:r w:rsidRPr="003720AF">
        <w:rPr>
          <w:rFonts w:ascii="Arial" w:hAnsi="Arial" w:cs="Arial"/>
          <w:i/>
          <w:sz w:val="22"/>
          <w:lang w:val="en-NZ"/>
        </w:rPr>
        <w:t>Environ</w:t>
      </w:r>
      <w:r w:rsidR="009251B7" w:rsidRPr="003720AF">
        <w:rPr>
          <w:rFonts w:ascii="Arial" w:hAnsi="Arial" w:cs="Arial"/>
          <w:i/>
          <w:sz w:val="22"/>
          <w:lang w:val="en-NZ"/>
        </w:rPr>
        <w:t>mental</w:t>
      </w:r>
      <w:r w:rsidRPr="003720AF">
        <w:rPr>
          <w:rFonts w:ascii="Arial" w:hAnsi="Arial" w:cs="Arial"/>
          <w:i/>
          <w:sz w:val="22"/>
          <w:lang w:val="en-NZ"/>
        </w:rPr>
        <w:t xml:space="preserve"> Health Perspect</w:t>
      </w:r>
      <w:r w:rsidR="009251B7" w:rsidRPr="003720AF">
        <w:rPr>
          <w:rFonts w:ascii="Arial" w:hAnsi="Arial" w:cs="Arial"/>
          <w:i/>
          <w:sz w:val="22"/>
          <w:lang w:val="en-NZ"/>
        </w:rPr>
        <w:t>ives</w:t>
      </w:r>
      <w:r w:rsidRPr="003720AF">
        <w:rPr>
          <w:rFonts w:ascii="Arial" w:hAnsi="Arial" w:cs="Arial"/>
          <w:sz w:val="22"/>
          <w:lang w:val="en-NZ"/>
        </w:rPr>
        <w:t xml:space="preserve"> 114:</w:t>
      </w:r>
      <w:r w:rsidR="009251B7" w:rsidRPr="003720AF">
        <w:rPr>
          <w:rFonts w:ascii="Arial" w:hAnsi="Arial" w:cs="Arial"/>
          <w:b/>
          <w:sz w:val="22"/>
          <w:lang w:val="en-NZ"/>
        </w:rPr>
        <w:t xml:space="preserve"> </w:t>
      </w:r>
      <w:r w:rsidR="009251B7" w:rsidRPr="003720AF">
        <w:rPr>
          <w:rFonts w:ascii="Arial" w:hAnsi="Arial" w:cs="Arial"/>
          <w:sz w:val="22"/>
          <w:lang w:val="en-NZ"/>
        </w:rPr>
        <w:t>264–</w:t>
      </w:r>
      <w:r w:rsidRPr="003720AF">
        <w:rPr>
          <w:rFonts w:ascii="Arial" w:hAnsi="Arial" w:cs="Arial"/>
          <w:sz w:val="22"/>
          <w:lang w:val="en-NZ"/>
        </w:rPr>
        <w:t>69.</w:t>
      </w:r>
    </w:p>
    <w:p w14:paraId="4D02ADA2" w14:textId="16AD7D6D" w:rsidR="007D68D9" w:rsidRPr="003720AF" w:rsidRDefault="007D68D9" w:rsidP="00667116">
      <w:pPr>
        <w:pStyle w:val="Ref"/>
        <w:ind w:left="0" w:firstLine="0"/>
        <w:rPr>
          <w:rFonts w:ascii="Arial" w:hAnsi="Arial" w:cs="Arial"/>
          <w:sz w:val="22"/>
          <w:lang w:val="en-NZ"/>
        </w:rPr>
      </w:pPr>
      <w:r w:rsidRPr="003720AF">
        <w:rPr>
          <w:rFonts w:ascii="Arial" w:hAnsi="Arial" w:cs="Arial"/>
          <w:sz w:val="22"/>
          <w:lang w:val="en-NZ"/>
        </w:rPr>
        <w:t xml:space="preserve">Cook C, Jeffcoat A, Hill J, et al. 1993. </w:t>
      </w:r>
      <w:r w:rsidRPr="003720AF">
        <w:rPr>
          <w:rFonts w:ascii="Arial" w:hAnsi="Arial" w:cs="Arial"/>
          <w:bCs/>
          <w:sz w:val="22"/>
          <w:lang w:val="en-NZ"/>
        </w:rPr>
        <w:t xml:space="preserve">Pharmacokinetics of methamphetamine self-administered to human subjects by smoking S-(+)-methamphetamine hydrochloride. </w:t>
      </w:r>
      <w:r w:rsidRPr="003720AF">
        <w:rPr>
          <w:rFonts w:ascii="Arial" w:hAnsi="Arial" w:cs="Arial"/>
          <w:i/>
          <w:sz w:val="22"/>
          <w:lang w:val="en-NZ"/>
        </w:rPr>
        <w:t>Drug Metabolism and Disposition</w:t>
      </w:r>
      <w:r w:rsidRPr="003720AF">
        <w:rPr>
          <w:rFonts w:ascii="Arial" w:hAnsi="Arial" w:cs="Arial"/>
          <w:sz w:val="22"/>
          <w:lang w:val="en-NZ"/>
        </w:rPr>
        <w:t>. 21(4):</w:t>
      </w:r>
      <w:r w:rsidR="009919D8" w:rsidRPr="003720AF">
        <w:rPr>
          <w:rFonts w:ascii="Arial" w:hAnsi="Arial" w:cs="Arial"/>
          <w:sz w:val="22"/>
          <w:lang w:val="en-NZ"/>
        </w:rPr>
        <w:t xml:space="preserve"> </w:t>
      </w:r>
      <w:r w:rsidRPr="003720AF">
        <w:rPr>
          <w:rFonts w:ascii="Arial" w:hAnsi="Arial" w:cs="Arial"/>
          <w:sz w:val="22"/>
          <w:lang w:val="en-NZ"/>
        </w:rPr>
        <w:t>717–23.</w:t>
      </w:r>
    </w:p>
    <w:p w14:paraId="43F155FC" w14:textId="77777777" w:rsidR="00667116" w:rsidRPr="003720AF" w:rsidRDefault="00667116" w:rsidP="00667116">
      <w:pPr>
        <w:widowControl w:val="0"/>
        <w:autoSpaceDE w:val="0"/>
        <w:autoSpaceDN w:val="0"/>
        <w:adjustRightInd w:val="0"/>
        <w:rPr>
          <w:rFonts w:cs="TimesNewRomanPS"/>
        </w:rPr>
      </w:pPr>
      <w:r w:rsidRPr="003720AF">
        <w:rPr>
          <w:rFonts w:cs="TimesNewRomanPS"/>
        </w:rPr>
        <w:t xml:space="preserve">Cressey P, Horn B. 2016. </w:t>
      </w:r>
      <w:r w:rsidRPr="003720AF">
        <w:rPr>
          <w:rFonts w:cs="TimesNewRomanPS"/>
          <w:i/>
        </w:rPr>
        <w:t>New Zealand Exposure Factors Handbook: Recommended Values</w:t>
      </w:r>
      <w:r w:rsidRPr="003720AF">
        <w:rPr>
          <w:rFonts w:cs="TimesNewRomanPS"/>
        </w:rPr>
        <w:t>. Report to the Ministry of Health, Client Report No. FW16002 Christchurch: Institute of Environmental Science and Research.</w:t>
      </w:r>
    </w:p>
    <w:p w14:paraId="15354D48" w14:textId="79CAEEDD" w:rsidR="004A49B0" w:rsidRPr="003720AF" w:rsidRDefault="009919D8" w:rsidP="00667116">
      <w:pPr>
        <w:pStyle w:val="Ref"/>
        <w:ind w:left="0" w:firstLine="0"/>
        <w:rPr>
          <w:rFonts w:ascii="Arial" w:hAnsi="Arial" w:cs="Arial"/>
          <w:sz w:val="22"/>
          <w:lang w:val="en-NZ"/>
        </w:rPr>
      </w:pPr>
      <w:r w:rsidRPr="003720AF">
        <w:rPr>
          <w:rFonts w:ascii="Arial" w:hAnsi="Arial" w:cs="Arial"/>
          <w:sz w:val="22"/>
          <w:lang w:val="en-NZ"/>
        </w:rPr>
        <w:t>Davis</w:t>
      </w:r>
      <w:r w:rsidR="004A49B0" w:rsidRPr="003720AF">
        <w:rPr>
          <w:rFonts w:ascii="Arial" w:hAnsi="Arial" w:cs="Arial"/>
          <w:sz w:val="22"/>
          <w:lang w:val="en-NZ"/>
        </w:rPr>
        <w:t xml:space="preserve"> J</w:t>
      </w:r>
      <w:r w:rsidRPr="003720AF">
        <w:rPr>
          <w:rFonts w:ascii="Arial" w:hAnsi="Arial" w:cs="Arial"/>
          <w:sz w:val="22"/>
          <w:lang w:val="en-NZ"/>
        </w:rPr>
        <w:t xml:space="preserve"> </w:t>
      </w:r>
      <w:r w:rsidR="004A49B0" w:rsidRPr="003720AF">
        <w:rPr>
          <w:rFonts w:ascii="Arial" w:hAnsi="Arial" w:cs="Arial"/>
          <w:sz w:val="22"/>
          <w:lang w:val="en-NZ"/>
        </w:rPr>
        <w:t>E, Stevens</w:t>
      </w:r>
      <w:r w:rsidRPr="003720AF">
        <w:rPr>
          <w:rFonts w:ascii="Arial" w:hAnsi="Arial" w:cs="Arial"/>
          <w:sz w:val="22"/>
          <w:lang w:val="en-NZ"/>
        </w:rPr>
        <w:t xml:space="preserve"> E R,</w:t>
      </w:r>
      <w:r w:rsidR="004A49B0" w:rsidRPr="003720AF">
        <w:rPr>
          <w:rFonts w:ascii="Arial" w:hAnsi="Arial" w:cs="Arial"/>
          <w:sz w:val="22"/>
          <w:lang w:val="en-NZ"/>
        </w:rPr>
        <w:t xml:space="preserve"> Staiff D</w:t>
      </w:r>
      <w:r w:rsidRPr="003720AF">
        <w:rPr>
          <w:rFonts w:ascii="Arial" w:hAnsi="Arial" w:cs="Arial"/>
          <w:sz w:val="22"/>
          <w:lang w:val="en-NZ"/>
        </w:rPr>
        <w:t xml:space="preserve"> </w:t>
      </w:r>
      <w:r w:rsidR="004A49B0" w:rsidRPr="003720AF">
        <w:rPr>
          <w:rFonts w:ascii="Arial" w:hAnsi="Arial" w:cs="Arial"/>
          <w:sz w:val="22"/>
          <w:lang w:val="en-NZ"/>
        </w:rPr>
        <w:t xml:space="preserve">C. 1983. Potential exposure of apple thinners to azinphosmethyl and comparison of two methods for assessment of hand exposure. </w:t>
      </w:r>
      <w:r w:rsidR="004A49B0" w:rsidRPr="003720AF">
        <w:rPr>
          <w:rFonts w:ascii="Arial" w:hAnsi="Arial" w:cs="Arial"/>
          <w:i/>
          <w:sz w:val="22"/>
          <w:lang w:val="en-NZ"/>
        </w:rPr>
        <w:t>Bull</w:t>
      </w:r>
      <w:r w:rsidRPr="003720AF">
        <w:rPr>
          <w:rFonts w:ascii="Arial" w:hAnsi="Arial" w:cs="Arial"/>
          <w:i/>
          <w:sz w:val="22"/>
          <w:lang w:val="en-NZ"/>
        </w:rPr>
        <w:t xml:space="preserve">etin of </w:t>
      </w:r>
      <w:r w:rsidR="004A49B0" w:rsidRPr="003720AF">
        <w:rPr>
          <w:rFonts w:ascii="Arial" w:hAnsi="Arial" w:cs="Arial"/>
          <w:i/>
          <w:sz w:val="22"/>
          <w:lang w:val="en-NZ"/>
        </w:rPr>
        <w:t>Environ</w:t>
      </w:r>
      <w:r w:rsidRPr="003720AF">
        <w:rPr>
          <w:rFonts w:ascii="Arial" w:hAnsi="Arial" w:cs="Arial"/>
          <w:i/>
          <w:sz w:val="22"/>
          <w:lang w:val="en-NZ"/>
        </w:rPr>
        <w:t>mental</w:t>
      </w:r>
      <w:r w:rsidR="004A49B0" w:rsidRPr="003720AF">
        <w:rPr>
          <w:rFonts w:ascii="Arial" w:hAnsi="Arial" w:cs="Arial"/>
          <w:i/>
          <w:sz w:val="22"/>
          <w:lang w:val="en-NZ"/>
        </w:rPr>
        <w:t xml:space="preserve"> Contam</w:t>
      </w:r>
      <w:r w:rsidR="00177804" w:rsidRPr="003720AF">
        <w:rPr>
          <w:rFonts w:ascii="Arial" w:hAnsi="Arial" w:cs="Arial"/>
          <w:i/>
          <w:sz w:val="22"/>
          <w:lang w:val="en-NZ"/>
        </w:rPr>
        <w:t xml:space="preserve">inant </w:t>
      </w:r>
      <w:r w:rsidRPr="003720AF">
        <w:rPr>
          <w:rFonts w:ascii="Arial" w:hAnsi="Arial" w:cs="Arial"/>
          <w:i/>
          <w:sz w:val="22"/>
          <w:lang w:val="en-NZ"/>
        </w:rPr>
        <w:t>and</w:t>
      </w:r>
      <w:r w:rsidR="004A49B0" w:rsidRPr="003720AF">
        <w:rPr>
          <w:rFonts w:ascii="Arial" w:hAnsi="Arial" w:cs="Arial"/>
          <w:i/>
          <w:sz w:val="22"/>
          <w:lang w:val="en-NZ"/>
        </w:rPr>
        <w:t xml:space="preserve"> Toxicol</w:t>
      </w:r>
      <w:r w:rsidRPr="003720AF">
        <w:rPr>
          <w:rFonts w:ascii="Arial" w:hAnsi="Arial" w:cs="Arial"/>
          <w:i/>
          <w:sz w:val="22"/>
          <w:lang w:val="en-NZ"/>
        </w:rPr>
        <w:t>ogy</w:t>
      </w:r>
      <w:r w:rsidR="004A49B0" w:rsidRPr="003720AF">
        <w:rPr>
          <w:rFonts w:ascii="Arial" w:hAnsi="Arial" w:cs="Arial"/>
          <w:sz w:val="22"/>
          <w:lang w:val="en-NZ"/>
        </w:rPr>
        <w:t xml:space="preserve"> 31:</w:t>
      </w:r>
      <w:r w:rsidRPr="003720AF">
        <w:rPr>
          <w:rFonts w:ascii="Arial" w:hAnsi="Arial" w:cs="Arial"/>
          <w:b/>
          <w:sz w:val="22"/>
          <w:lang w:val="en-NZ"/>
        </w:rPr>
        <w:t xml:space="preserve"> </w:t>
      </w:r>
      <w:r w:rsidRPr="003720AF">
        <w:rPr>
          <w:rFonts w:ascii="Arial" w:hAnsi="Arial" w:cs="Arial"/>
          <w:sz w:val="22"/>
          <w:lang w:val="en-NZ"/>
        </w:rPr>
        <w:t>631–</w:t>
      </w:r>
      <w:r w:rsidR="004A49B0" w:rsidRPr="003720AF">
        <w:rPr>
          <w:rFonts w:ascii="Arial" w:hAnsi="Arial" w:cs="Arial"/>
          <w:sz w:val="22"/>
          <w:lang w:val="en-NZ"/>
        </w:rPr>
        <w:t>638.</w:t>
      </w:r>
    </w:p>
    <w:p w14:paraId="38E28BB0" w14:textId="793A9934" w:rsidR="004A49B0" w:rsidRPr="003720AF" w:rsidRDefault="009919D8" w:rsidP="00667116">
      <w:pPr>
        <w:pStyle w:val="Ref"/>
        <w:ind w:left="0" w:firstLine="0"/>
        <w:rPr>
          <w:rFonts w:ascii="Arial" w:hAnsi="Arial" w:cs="Arial"/>
          <w:sz w:val="22"/>
          <w:lang w:val="en-NZ"/>
        </w:rPr>
      </w:pPr>
      <w:r w:rsidRPr="003720AF">
        <w:rPr>
          <w:rFonts w:ascii="Arial" w:hAnsi="Arial" w:cs="Arial"/>
          <w:sz w:val="22"/>
          <w:lang w:val="en-NZ"/>
        </w:rPr>
        <w:t>Fenske</w:t>
      </w:r>
      <w:r w:rsidR="004A49B0" w:rsidRPr="003720AF">
        <w:rPr>
          <w:rFonts w:ascii="Arial" w:hAnsi="Arial" w:cs="Arial"/>
          <w:sz w:val="22"/>
          <w:lang w:val="en-NZ"/>
        </w:rPr>
        <w:t xml:space="preserve"> R</w:t>
      </w:r>
      <w:r w:rsidRPr="003720AF">
        <w:rPr>
          <w:rFonts w:ascii="Arial" w:hAnsi="Arial" w:cs="Arial"/>
          <w:sz w:val="22"/>
          <w:lang w:val="en-NZ"/>
        </w:rPr>
        <w:t xml:space="preserve"> </w:t>
      </w:r>
      <w:r w:rsidR="004A49B0" w:rsidRPr="003720AF">
        <w:rPr>
          <w:rFonts w:ascii="Arial" w:hAnsi="Arial" w:cs="Arial"/>
          <w:sz w:val="22"/>
          <w:lang w:val="en-NZ"/>
        </w:rPr>
        <w:t>A</w:t>
      </w:r>
      <w:r w:rsidRPr="003720AF">
        <w:rPr>
          <w:rFonts w:ascii="Arial" w:hAnsi="Arial" w:cs="Arial"/>
          <w:sz w:val="22"/>
          <w:lang w:val="en-NZ"/>
        </w:rPr>
        <w:t>, Simcox N J, Camp</w:t>
      </w:r>
      <w:r w:rsidR="004A49B0" w:rsidRPr="003720AF">
        <w:rPr>
          <w:rFonts w:ascii="Arial" w:hAnsi="Arial" w:cs="Arial"/>
          <w:sz w:val="22"/>
          <w:lang w:val="en-NZ"/>
        </w:rPr>
        <w:t xml:space="preserve"> J</w:t>
      </w:r>
      <w:r w:rsidRPr="003720AF">
        <w:rPr>
          <w:rFonts w:ascii="Arial" w:hAnsi="Arial" w:cs="Arial"/>
          <w:sz w:val="22"/>
          <w:lang w:val="en-NZ"/>
        </w:rPr>
        <w:t xml:space="preserve"> </w:t>
      </w:r>
      <w:r w:rsidR="004A49B0" w:rsidRPr="003720AF">
        <w:rPr>
          <w:rFonts w:ascii="Arial" w:hAnsi="Arial" w:cs="Arial"/>
          <w:sz w:val="22"/>
          <w:lang w:val="en-NZ"/>
        </w:rPr>
        <w:t>E</w:t>
      </w:r>
      <w:r w:rsidRPr="003720AF">
        <w:rPr>
          <w:rFonts w:ascii="Arial" w:hAnsi="Arial" w:cs="Arial"/>
          <w:sz w:val="22"/>
          <w:lang w:val="en-NZ"/>
        </w:rPr>
        <w:t>, et al.1999</w:t>
      </w:r>
      <w:r w:rsidR="004A49B0" w:rsidRPr="003720AF">
        <w:rPr>
          <w:rFonts w:ascii="Arial" w:hAnsi="Arial" w:cs="Arial"/>
          <w:sz w:val="22"/>
          <w:lang w:val="en-NZ"/>
        </w:rPr>
        <w:t xml:space="preserve">. Comparison of three methods for assessment of hand exposure to azinphos-methyl (Guthion) during apple thinning. </w:t>
      </w:r>
      <w:r w:rsidR="004A49B0" w:rsidRPr="003720AF">
        <w:rPr>
          <w:rFonts w:ascii="Arial" w:hAnsi="Arial" w:cs="Arial"/>
          <w:i/>
          <w:sz w:val="22"/>
          <w:lang w:val="en-NZ"/>
        </w:rPr>
        <w:t>Appl</w:t>
      </w:r>
      <w:r w:rsidR="0045056E" w:rsidRPr="003720AF">
        <w:rPr>
          <w:rFonts w:ascii="Arial" w:hAnsi="Arial" w:cs="Arial"/>
          <w:i/>
          <w:sz w:val="22"/>
          <w:lang w:val="en-NZ"/>
        </w:rPr>
        <w:t>ied</w:t>
      </w:r>
      <w:r w:rsidR="004A49B0" w:rsidRPr="003720AF">
        <w:rPr>
          <w:rFonts w:ascii="Arial" w:hAnsi="Arial" w:cs="Arial"/>
          <w:i/>
          <w:sz w:val="22"/>
          <w:lang w:val="en-NZ"/>
        </w:rPr>
        <w:t xml:space="preserve"> Occup</w:t>
      </w:r>
      <w:r w:rsidR="0045056E" w:rsidRPr="003720AF">
        <w:rPr>
          <w:rFonts w:ascii="Arial" w:hAnsi="Arial" w:cs="Arial"/>
          <w:i/>
          <w:sz w:val="22"/>
          <w:lang w:val="en-NZ"/>
        </w:rPr>
        <w:t>ational and</w:t>
      </w:r>
      <w:r w:rsidR="004A49B0" w:rsidRPr="003720AF">
        <w:rPr>
          <w:rFonts w:ascii="Arial" w:hAnsi="Arial" w:cs="Arial"/>
          <w:i/>
          <w:sz w:val="22"/>
          <w:lang w:val="en-NZ"/>
        </w:rPr>
        <w:t xml:space="preserve"> Environ</w:t>
      </w:r>
      <w:r w:rsidR="0045056E" w:rsidRPr="003720AF">
        <w:rPr>
          <w:rFonts w:ascii="Arial" w:hAnsi="Arial" w:cs="Arial"/>
          <w:i/>
          <w:sz w:val="22"/>
          <w:lang w:val="en-NZ"/>
        </w:rPr>
        <w:t>mental</w:t>
      </w:r>
      <w:r w:rsidR="004A49B0" w:rsidRPr="003720AF">
        <w:rPr>
          <w:rFonts w:ascii="Arial" w:hAnsi="Arial" w:cs="Arial"/>
          <w:i/>
          <w:sz w:val="22"/>
          <w:lang w:val="en-NZ"/>
        </w:rPr>
        <w:t xml:space="preserve"> Hyg</w:t>
      </w:r>
      <w:r w:rsidR="00177804" w:rsidRPr="003720AF">
        <w:rPr>
          <w:rFonts w:ascii="Arial" w:hAnsi="Arial" w:cs="Arial"/>
          <w:i/>
          <w:sz w:val="22"/>
          <w:lang w:val="en-NZ"/>
        </w:rPr>
        <w:t>i</w:t>
      </w:r>
      <w:r w:rsidR="0045056E" w:rsidRPr="003720AF">
        <w:rPr>
          <w:rFonts w:ascii="Arial" w:hAnsi="Arial" w:cs="Arial"/>
          <w:i/>
          <w:sz w:val="22"/>
          <w:lang w:val="en-NZ"/>
        </w:rPr>
        <w:t>ene</w:t>
      </w:r>
      <w:r w:rsidR="004A49B0" w:rsidRPr="003720AF">
        <w:rPr>
          <w:rFonts w:ascii="Arial" w:hAnsi="Arial" w:cs="Arial"/>
          <w:sz w:val="22"/>
          <w:lang w:val="en-NZ"/>
        </w:rPr>
        <w:t xml:space="preserve"> 14:</w:t>
      </w:r>
      <w:r w:rsidR="0045056E" w:rsidRPr="003720AF">
        <w:rPr>
          <w:rFonts w:ascii="Arial" w:hAnsi="Arial" w:cs="Arial"/>
          <w:b/>
          <w:sz w:val="22"/>
          <w:lang w:val="en-NZ"/>
        </w:rPr>
        <w:t xml:space="preserve"> </w:t>
      </w:r>
      <w:r w:rsidR="0045056E" w:rsidRPr="003720AF">
        <w:rPr>
          <w:rFonts w:ascii="Arial" w:hAnsi="Arial" w:cs="Arial"/>
          <w:sz w:val="22"/>
          <w:lang w:val="en-NZ"/>
        </w:rPr>
        <w:t>618–</w:t>
      </w:r>
      <w:r w:rsidR="004A49B0" w:rsidRPr="003720AF">
        <w:rPr>
          <w:rFonts w:ascii="Arial" w:hAnsi="Arial" w:cs="Arial"/>
          <w:sz w:val="22"/>
          <w:lang w:val="en-NZ"/>
        </w:rPr>
        <w:t>23.</w:t>
      </w:r>
    </w:p>
    <w:p w14:paraId="6615B22E" w14:textId="009EBB6D" w:rsidR="004A49B0" w:rsidRPr="003720AF" w:rsidRDefault="004A49B0" w:rsidP="00667116">
      <w:pPr>
        <w:pStyle w:val="Ref"/>
        <w:ind w:left="0" w:firstLine="0"/>
        <w:rPr>
          <w:rFonts w:ascii="Arial" w:hAnsi="Arial" w:cs="Arial"/>
          <w:sz w:val="22"/>
          <w:lang w:val="en-NZ"/>
        </w:rPr>
      </w:pPr>
      <w:r w:rsidRPr="003720AF">
        <w:rPr>
          <w:rFonts w:ascii="Arial" w:hAnsi="Arial" w:cs="Arial"/>
          <w:sz w:val="22"/>
          <w:lang w:val="en-NZ"/>
        </w:rPr>
        <w:t>Hammon</w:t>
      </w:r>
      <w:r w:rsidR="00177804" w:rsidRPr="003720AF">
        <w:rPr>
          <w:rFonts w:ascii="Arial" w:hAnsi="Arial" w:cs="Arial"/>
          <w:sz w:val="22"/>
          <w:lang w:val="en-NZ"/>
        </w:rPr>
        <w:t xml:space="preserve"> </w:t>
      </w:r>
      <w:r w:rsidRPr="003720AF">
        <w:rPr>
          <w:rFonts w:ascii="Arial" w:hAnsi="Arial" w:cs="Arial"/>
          <w:sz w:val="22"/>
          <w:lang w:val="en-NZ"/>
        </w:rPr>
        <w:t>T</w:t>
      </w:r>
      <w:r w:rsidR="00177804" w:rsidRPr="003720AF">
        <w:rPr>
          <w:rFonts w:ascii="Arial" w:hAnsi="Arial" w:cs="Arial"/>
          <w:sz w:val="22"/>
          <w:lang w:val="en-NZ"/>
        </w:rPr>
        <w:t xml:space="preserve"> </w:t>
      </w:r>
      <w:r w:rsidRPr="003720AF">
        <w:rPr>
          <w:rFonts w:ascii="Arial" w:hAnsi="Arial" w:cs="Arial"/>
          <w:sz w:val="22"/>
          <w:lang w:val="en-NZ"/>
        </w:rPr>
        <w:t>L</w:t>
      </w:r>
      <w:r w:rsidR="00177804" w:rsidRPr="003720AF">
        <w:rPr>
          <w:rFonts w:ascii="Arial" w:hAnsi="Arial" w:cs="Arial"/>
          <w:sz w:val="22"/>
          <w:lang w:val="en-NZ"/>
        </w:rPr>
        <w:t>,</w:t>
      </w:r>
      <w:r w:rsidRPr="003720AF">
        <w:rPr>
          <w:rFonts w:ascii="Arial" w:hAnsi="Arial" w:cs="Arial"/>
          <w:sz w:val="22"/>
          <w:lang w:val="en-NZ"/>
        </w:rPr>
        <w:t xml:space="preserve"> Griffin S. 2007. Support for selection of a methamphetamine cleanup standard in Colorado. </w:t>
      </w:r>
      <w:r w:rsidR="00177804" w:rsidRPr="003720AF">
        <w:rPr>
          <w:rFonts w:ascii="Arial" w:hAnsi="Arial" w:cs="Arial"/>
          <w:i/>
          <w:sz w:val="22"/>
          <w:lang w:val="en-NZ"/>
        </w:rPr>
        <w:t xml:space="preserve">Regulatory </w:t>
      </w:r>
      <w:r w:rsidRPr="003720AF">
        <w:rPr>
          <w:rFonts w:ascii="Arial" w:hAnsi="Arial" w:cs="Arial"/>
          <w:i/>
          <w:sz w:val="22"/>
          <w:lang w:val="en-NZ"/>
        </w:rPr>
        <w:t>Toxicol</w:t>
      </w:r>
      <w:r w:rsidR="00177804" w:rsidRPr="003720AF">
        <w:rPr>
          <w:rFonts w:ascii="Arial" w:hAnsi="Arial" w:cs="Arial"/>
          <w:i/>
          <w:sz w:val="22"/>
          <w:lang w:val="en-NZ"/>
        </w:rPr>
        <w:t>ogy and</w:t>
      </w:r>
      <w:r w:rsidRPr="003720AF">
        <w:rPr>
          <w:rFonts w:ascii="Arial" w:hAnsi="Arial" w:cs="Arial"/>
          <w:i/>
          <w:sz w:val="22"/>
          <w:lang w:val="en-NZ"/>
        </w:rPr>
        <w:t xml:space="preserve"> Pharmacol</w:t>
      </w:r>
      <w:r w:rsidR="00177804" w:rsidRPr="003720AF">
        <w:rPr>
          <w:rFonts w:ascii="Arial" w:hAnsi="Arial" w:cs="Arial"/>
          <w:i/>
          <w:sz w:val="22"/>
          <w:lang w:val="en-NZ"/>
        </w:rPr>
        <w:t>ogy</w:t>
      </w:r>
      <w:r w:rsidRPr="003720AF">
        <w:rPr>
          <w:rFonts w:ascii="Arial" w:hAnsi="Arial" w:cs="Arial"/>
          <w:sz w:val="22"/>
          <w:lang w:val="en-NZ"/>
        </w:rPr>
        <w:t xml:space="preserve"> </w:t>
      </w:r>
      <w:r w:rsidRPr="003720AF">
        <w:rPr>
          <w:rFonts w:ascii="Arial" w:hAnsi="Arial" w:cs="Arial"/>
          <w:b/>
          <w:sz w:val="22"/>
          <w:lang w:val="en-NZ"/>
        </w:rPr>
        <w:t>48:</w:t>
      </w:r>
      <w:r w:rsidRPr="003720AF">
        <w:rPr>
          <w:rFonts w:ascii="Arial" w:hAnsi="Arial" w:cs="Arial"/>
          <w:sz w:val="22"/>
          <w:lang w:val="en-NZ"/>
        </w:rPr>
        <w:t>102-114.</w:t>
      </w:r>
    </w:p>
    <w:p w14:paraId="69618758" w14:textId="2CB5DE7F" w:rsidR="004A49B0" w:rsidRPr="003720AF" w:rsidRDefault="00177804" w:rsidP="00667116">
      <w:pPr>
        <w:pStyle w:val="Ref"/>
        <w:ind w:left="0" w:firstLine="0"/>
        <w:rPr>
          <w:rFonts w:ascii="Arial" w:hAnsi="Arial" w:cs="Arial"/>
          <w:sz w:val="22"/>
          <w:lang w:val="en-NZ"/>
        </w:rPr>
      </w:pPr>
      <w:r w:rsidRPr="003720AF">
        <w:rPr>
          <w:rFonts w:ascii="Arial" w:hAnsi="Arial" w:cs="Arial"/>
          <w:sz w:val="22"/>
          <w:lang w:val="en-NZ"/>
        </w:rPr>
        <w:t>McKenzie</w:t>
      </w:r>
      <w:r w:rsidR="004A49B0" w:rsidRPr="003720AF">
        <w:rPr>
          <w:rFonts w:ascii="Arial" w:hAnsi="Arial" w:cs="Arial"/>
          <w:sz w:val="22"/>
          <w:lang w:val="en-NZ"/>
        </w:rPr>
        <w:t xml:space="preserve"> EJ. 2014. </w:t>
      </w:r>
      <w:r w:rsidR="004A49B0" w:rsidRPr="003720AF">
        <w:rPr>
          <w:rFonts w:ascii="Arial" w:hAnsi="Arial" w:cs="Arial"/>
          <w:i/>
          <w:sz w:val="22"/>
          <w:lang w:val="en-NZ"/>
        </w:rPr>
        <w:t xml:space="preserve">Chemical Contamination in Former Clandestine Methamphetamine Laboratories. </w:t>
      </w:r>
      <w:r w:rsidR="004A49B0" w:rsidRPr="003720AF">
        <w:rPr>
          <w:rFonts w:ascii="Arial" w:hAnsi="Arial" w:cs="Arial"/>
          <w:sz w:val="22"/>
          <w:lang w:val="en-NZ"/>
        </w:rPr>
        <w:t>PhD Thesis, University of Auckland. ID9155009.</w:t>
      </w:r>
    </w:p>
    <w:p w14:paraId="5D9225BD" w14:textId="7DBE430F" w:rsidR="004A49B0" w:rsidRPr="003720AF" w:rsidRDefault="00177804" w:rsidP="00667116">
      <w:pPr>
        <w:pStyle w:val="Ref"/>
        <w:ind w:left="0" w:firstLine="0"/>
        <w:rPr>
          <w:rFonts w:ascii="Arial" w:hAnsi="Arial" w:cs="Arial"/>
          <w:sz w:val="22"/>
          <w:lang w:val="en-NZ"/>
        </w:rPr>
      </w:pPr>
      <w:r w:rsidRPr="003720AF">
        <w:rPr>
          <w:rFonts w:ascii="Arial" w:hAnsi="Arial" w:cs="Arial"/>
          <w:sz w:val="22"/>
          <w:lang w:val="en-NZ"/>
        </w:rPr>
        <w:t>MoH</w:t>
      </w:r>
      <w:r w:rsidR="00667116" w:rsidRPr="003720AF">
        <w:rPr>
          <w:rFonts w:ascii="Arial" w:hAnsi="Arial" w:cs="Arial"/>
          <w:sz w:val="22"/>
          <w:lang w:val="en-NZ"/>
        </w:rPr>
        <w:t>.</w:t>
      </w:r>
      <w:r w:rsidR="004A49B0" w:rsidRPr="003720AF">
        <w:rPr>
          <w:rFonts w:ascii="Arial" w:hAnsi="Arial" w:cs="Arial"/>
          <w:sz w:val="22"/>
          <w:lang w:val="en-NZ"/>
        </w:rPr>
        <w:t xml:space="preserve"> 2010. </w:t>
      </w:r>
      <w:r w:rsidR="004A49B0" w:rsidRPr="003720AF">
        <w:rPr>
          <w:rFonts w:ascii="Arial" w:hAnsi="Arial" w:cs="Arial"/>
          <w:i/>
          <w:sz w:val="22"/>
          <w:lang w:val="en-NZ"/>
        </w:rPr>
        <w:t xml:space="preserve">Guidelines for the Remediation of Clandestine Methamphetamine Laboratory Sites. </w:t>
      </w:r>
      <w:r w:rsidR="00836D17" w:rsidRPr="003720AF">
        <w:rPr>
          <w:rFonts w:ascii="Arial" w:hAnsi="Arial" w:cs="Arial"/>
          <w:sz w:val="22"/>
          <w:lang w:val="en-NZ"/>
        </w:rPr>
        <w:t>Wellington</w:t>
      </w:r>
      <w:r w:rsidRPr="003720AF">
        <w:rPr>
          <w:rFonts w:ascii="Arial" w:hAnsi="Arial" w:cs="Arial"/>
          <w:sz w:val="22"/>
          <w:lang w:val="en-NZ"/>
        </w:rPr>
        <w:t>: Ministry of Health</w:t>
      </w:r>
      <w:r w:rsidR="004A49B0" w:rsidRPr="003720AF">
        <w:rPr>
          <w:rFonts w:ascii="Arial" w:hAnsi="Arial" w:cs="Arial"/>
          <w:sz w:val="22"/>
          <w:lang w:val="en-NZ"/>
        </w:rPr>
        <w:t xml:space="preserve">. </w:t>
      </w:r>
    </w:p>
    <w:p w14:paraId="5502E575" w14:textId="0CBD726A" w:rsidR="00836D17" w:rsidRPr="003720AF" w:rsidRDefault="00836D17" w:rsidP="00836D17">
      <w:pPr>
        <w:pStyle w:val="Default"/>
        <w:spacing w:after="160"/>
        <w:rPr>
          <w:rFonts w:ascii="Arial" w:hAnsi="Arial" w:cs="Arial"/>
          <w:sz w:val="22"/>
          <w:szCs w:val="22"/>
          <w:lang w:val="en-NZ"/>
        </w:rPr>
      </w:pPr>
      <w:r w:rsidRPr="003720AF">
        <w:rPr>
          <w:rFonts w:ascii="Arial" w:hAnsi="Arial" w:cs="Arial"/>
          <w:sz w:val="22"/>
          <w:szCs w:val="22"/>
          <w:lang w:val="en-NZ"/>
        </w:rPr>
        <w:t xml:space="preserve">OEHHA. 2009a. </w:t>
      </w:r>
      <w:r w:rsidRPr="003720AF">
        <w:rPr>
          <w:rFonts w:ascii="Arial" w:hAnsi="Arial" w:cs="Arial"/>
          <w:i/>
          <w:sz w:val="22"/>
          <w:szCs w:val="22"/>
          <w:lang w:val="en-NZ"/>
        </w:rPr>
        <w:t>Assessment of children’s exposure to surface methamphetamine residues in former clandestine methamphetamine labs, and identification of a risk based cleanup standard for surface methamphetamine contamination</w:t>
      </w:r>
      <w:r w:rsidRPr="003720AF">
        <w:rPr>
          <w:rFonts w:ascii="Arial" w:hAnsi="Arial" w:cs="Arial"/>
          <w:sz w:val="22"/>
          <w:szCs w:val="22"/>
          <w:lang w:val="en-NZ"/>
        </w:rPr>
        <w:t xml:space="preserve">. Integrated Risk Assessment Branch, Office of Environmental Health Hazard Assessment, California Environmental Protection Agency. </w:t>
      </w:r>
      <w:hyperlink r:id="rId65" w:history="1">
        <w:r w:rsidRPr="003720AF">
          <w:rPr>
            <w:rStyle w:val="Hyperlink"/>
            <w:rFonts w:ascii="Arial" w:hAnsi="Arial" w:cs="Arial"/>
            <w:sz w:val="22"/>
            <w:szCs w:val="22"/>
            <w:lang w:val="en-NZ"/>
          </w:rPr>
          <w:t>http://oehha.ca.gov/media/downloads/crnr/exposureanalysis022709.pdf</w:t>
        </w:r>
      </w:hyperlink>
      <w:r w:rsidRPr="003720AF">
        <w:rPr>
          <w:rFonts w:ascii="Arial" w:hAnsi="Arial" w:cs="Arial"/>
          <w:sz w:val="22"/>
          <w:szCs w:val="22"/>
          <w:lang w:val="en-NZ"/>
        </w:rPr>
        <w:t>.</w:t>
      </w:r>
      <w:r w:rsidR="00DC12DA" w:rsidRPr="003720AF">
        <w:rPr>
          <w:rFonts w:ascii="Arial" w:hAnsi="Arial" w:cs="Arial"/>
          <w:sz w:val="22"/>
          <w:szCs w:val="22"/>
          <w:lang w:val="en-NZ"/>
        </w:rPr>
        <w:t xml:space="preserve"> (accessed 3</w:t>
      </w:r>
      <w:r w:rsidRPr="003720AF">
        <w:rPr>
          <w:rFonts w:ascii="Arial" w:hAnsi="Arial" w:cs="Arial"/>
          <w:sz w:val="22"/>
          <w:szCs w:val="22"/>
          <w:lang w:val="en-NZ"/>
        </w:rPr>
        <w:t xml:space="preserve"> October 2016).</w:t>
      </w:r>
    </w:p>
    <w:p w14:paraId="6B298F85" w14:textId="77777777" w:rsidR="00836D17" w:rsidRPr="003720AF" w:rsidRDefault="00836D17" w:rsidP="00836D17">
      <w:pPr>
        <w:autoSpaceDE w:val="0"/>
        <w:autoSpaceDN w:val="0"/>
        <w:adjustRightInd w:val="0"/>
        <w:rPr>
          <w:rFonts w:cs="Times New Roman"/>
          <w:color w:val="000000"/>
        </w:rPr>
      </w:pPr>
      <w:r w:rsidRPr="003720AF">
        <w:rPr>
          <w:rFonts w:cs="Times New Roman"/>
          <w:color w:val="000000"/>
        </w:rPr>
        <w:t xml:space="preserve">OEHHA. 2009b. </w:t>
      </w:r>
      <w:r w:rsidRPr="003720AF">
        <w:rPr>
          <w:rFonts w:cs="Times New Roman"/>
          <w:i/>
          <w:color w:val="000000"/>
        </w:rPr>
        <w:t>Development of a Reference Dose (RfD) for Methamphetamine.</w:t>
      </w:r>
      <w:r w:rsidRPr="003720AF">
        <w:rPr>
          <w:rFonts w:cs="Times New Roman"/>
          <w:color w:val="000000"/>
        </w:rPr>
        <w:t xml:space="preserve">  Integrated Risk Assessment Branch, Office of Environmental Health Hazard Assessment, California Environmental Protection Agency. </w:t>
      </w:r>
    </w:p>
    <w:p w14:paraId="0E54B617" w14:textId="0C479693" w:rsidR="004A49B0" w:rsidRPr="003720AF" w:rsidRDefault="00564E54" w:rsidP="00667116">
      <w:pPr>
        <w:pStyle w:val="Ref"/>
        <w:ind w:left="0" w:firstLine="0"/>
        <w:rPr>
          <w:rFonts w:ascii="Arial" w:hAnsi="Arial" w:cs="Arial"/>
          <w:sz w:val="22"/>
          <w:lang w:val="en-NZ"/>
        </w:rPr>
      </w:pPr>
      <w:r w:rsidRPr="003720AF">
        <w:rPr>
          <w:rFonts w:ascii="Arial" w:hAnsi="Arial" w:cs="Arial"/>
          <w:sz w:val="22"/>
          <w:lang w:val="en-NZ"/>
        </w:rPr>
        <w:t>Salocks</w:t>
      </w:r>
      <w:r w:rsidR="004A49B0" w:rsidRPr="003720AF">
        <w:rPr>
          <w:rFonts w:ascii="Arial" w:hAnsi="Arial" w:cs="Arial"/>
          <w:sz w:val="22"/>
          <w:lang w:val="en-NZ"/>
        </w:rPr>
        <w:t xml:space="preserve"> CB, Hui X, Lamel</w:t>
      </w:r>
      <w:r w:rsidRPr="003720AF">
        <w:rPr>
          <w:rFonts w:ascii="Arial" w:hAnsi="Arial" w:cs="Arial"/>
          <w:sz w:val="22"/>
          <w:lang w:val="en-NZ"/>
        </w:rPr>
        <w:t xml:space="preserve"> S, et al. </w:t>
      </w:r>
      <w:r w:rsidR="004A49B0" w:rsidRPr="003720AF">
        <w:rPr>
          <w:rFonts w:ascii="Arial" w:hAnsi="Arial" w:cs="Arial"/>
          <w:sz w:val="22"/>
          <w:lang w:val="en-NZ"/>
        </w:rPr>
        <w:t xml:space="preserve">2014. Dermal exposure to methamphetamine hydrochloride contaminated residential surfaces II. Skin surface contact and dermal transfer relationship. </w:t>
      </w:r>
      <w:r w:rsidR="004A49B0" w:rsidRPr="003720AF">
        <w:rPr>
          <w:rFonts w:ascii="Arial" w:hAnsi="Arial" w:cs="Arial"/>
          <w:i/>
          <w:sz w:val="22"/>
          <w:lang w:val="en-NZ"/>
        </w:rPr>
        <w:t>Food Chem</w:t>
      </w:r>
      <w:r w:rsidRPr="003720AF">
        <w:rPr>
          <w:rFonts w:ascii="Arial" w:hAnsi="Arial" w:cs="Arial"/>
          <w:i/>
          <w:sz w:val="22"/>
          <w:lang w:val="en-NZ"/>
        </w:rPr>
        <w:t>istry and</w:t>
      </w:r>
      <w:r w:rsidR="004A49B0" w:rsidRPr="003720AF">
        <w:rPr>
          <w:rFonts w:ascii="Arial" w:hAnsi="Arial" w:cs="Arial"/>
          <w:i/>
          <w:sz w:val="22"/>
          <w:lang w:val="en-NZ"/>
        </w:rPr>
        <w:t xml:space="preserve"> Toxicol</w:t>
      </w:r>
      <w:r w:rsidRPr="003720AF">
        <w:rPr>
          <w:rFonts w:ascii="Arial" w:hAnsi="Arial" w:cs="Arial"/>
          <w:i/>
          <w:sz w:val="22"/>
          <w:lang w:val="en-NZ"/>
        </w:rPr>
        <w:t>ogy</w:t>
      </w:r>
      <w:r w:rsidR="004A49B0" w:rsidRPr="003720AF">
        <w:rPr>
          <w:rFonts w:ascii="Arial" w:hAnsi="Arial" w:cs="Arial"/>
          <w:sz w:val="22"/>
          <w:lang w:val="en-NZ"/>
        </w:rPr>
        <w:t xml:space="preserve"> 66:</w:t>
      </w:r>
      <w:r w:rsidRPr="003720AF">
        <w:rPr>
          <w:rFonts w:ascii="Arial" w:hAnsi="Arial" w:cs="Arial"/>
          <w:b/>
          <w:sz w:val="22"/>
          <w:lang w:val="en-NZ"/>
        </w:rPr>
        <w:t xml:space="preserve"> </w:t>
      </w:r>
      <w:r w:rsidRPr="003720AF">
        <w:rPr>
          <w:rFonts w:ascii="Arial" w:hAnsi="Arial" w:cs="Arial"/>
          <w:sz w:val="22"/>
          <w:lang w:val="en-NZ"/>
        </w:rPr>
        <w:t>1–</w:t>
      </w:r>
      <w:r w:rsidR="004A49B0" w:rsidRPr="003720AF">
        <w:rPr>
          <w:rFonts w:ascii="Arial" w:hAnsi="Arial" w:cs="Arial"/>
          <w:sz w:val="22"/>
          <w:lang w:val="en-NZ"/>
        </w:rPr>
        <w:t>6.</w:t>
      </w:r>
    </w:p>
    <w:p w14:paraId="62DA4D7F" w14:textId="25AF8548" w:rsidR="004A49B0" w:rsidRPr="003720AF" w:rsidRDefault="00564E54" w:rsidP="00667116">
      <w:pPr>
        <w:pStyle w:val="Ref"/>
        <w:ind w:left="0" w:firstLine="0"/>
        <w:rPr>
          <w:rFonts w:ascii="Arial" w:hAnsi="Arial" w:cs="Arial"/>
          <w:sz w:val="22"/>
          <w:lang w:val="en-NZ"/>
        </w:rPr>
      </w:pPr>
      <w:r w:rsidRPr="003720AF">
        <w:rPr>
          <w:rFonts w:ascii="Arial" w:hAnsi="Arial" w:cs="Arial"/>
          <w:sz w:val="22"/>
          <w:lang w:val="en-NZ"/>
        </w:rPr>
        <w:t>Salocks</w:t>
      </w:r>
      <w:r w:rsidR="004A49B0" w:rsidRPr="003720AF">
        <w:rPr>
          <w:rFonts w:ascii="Arial" w:hAnsi="Arial" w:cs="Arial"/>
          <w:sz w:val="22"/>
          <w:lang w:val="en-NZ"/>
        </w:rPr>
        <w:t xml:space="preserve"> CB, Hui X, Lamel S,</w:t>
      </w:r>
      <w:r w:rsidRPr="003720AF">
        <w:rPr>
          <w:rFonts w:ascii="Arial" w:hAnsi="Arial" w:cs="Arial"/>
          <w:sz w:val="22"/>
          <w:lang w:val="en-NZ"/>
        </w:rPr>
        <w:t xml:space="preserve"> et al</w:t>
      </w:r>
      <w:r w:rsidR="004A49B0" w:rsidRPr="003720AF">
        <w:rPr>
          <w:rFonts w:ascii="Arial" w:hAnsi="Arial" w:cs="Arial"/>
          <w:sz w:val="22"/>
          <w:lang w:val="en-NZ"/>
        </w:rPr>
        <w:t xml:space="preserve">. 2012. Dermal exposure to methamphetamine hydrochloride contaminated residential surfaces: Surface pH values, volatility, and </w:t>
      </w:r>
      <w:r w:rsidR="004A49B0" w:rsidRPr="003720AF">
        <w:rPr>
          <w:rFonts w:ascii="Arial" w:hAnsi="Arial" w:cs="Arial"/>
          <w:i/>
          <w:sz w:val="22"/>
          <w:lang w:val="en-NZ"/>
        </w:rPr>
        <w:t>in vitro</w:t>
      </w:r>
      <w:r w:rsidR="004A49B0" w:rsidRPr="003720AF">
        <w:rPr>
          <w:rFonts w:ascii="Arial" w:hAnsi="Arial" w:cs="Arial"/>
          <w:sz w:val="22"/>
          <w:lang w:val="en-NZ"/>
        </w:rPr>
        <w:t xml:space="preserve"> human skin. </w:t>
      </w:r>
      <w:r w:rsidR="004F1119" w:rsidRPr="003720AF">
        <w:rPr>
          <w:rFonts w:ascii="Arial" w:hAnsi="Arial" w:cs="Arial"/>
          <w:i/>
          <w:sz w:val="22"/>
          <w:lang w:val="en-NZ"/>
        </w:rPr>
        <w:t>Food Chemistry and Toxicology</w:t>
      </w:r>
      <w:r w:rsidR="004F1119" w:rsidRPr="003720AF">
        <w:rPr>
          <w:rFonts w:ascii="Arial" w:hAnsi="Arial" w:cs="Arial"/>
          <w:sz w:val="22"/>
          <w:lang w:val="en-NZ"/>
        </w:rPr>
        <w:t xml:space="preserve"> </w:t>
      </w:r>
      <w:r w:rsidR="004A49B0" w:rsidRPr="003720AF">
        <w:rPr>
          <w:rFonts w:ascii="Arial" w:hAnsi="Arial" w:cs="Arial"/>
          <w:sz w:val="22"/>
          <w:lang w:val="en-NZ"/>
        </w:rPr>
        <w:t>50:</w:t>
      </w:r>
      <w:r w:rsidR="004F1119" w:rsidRPr="003720AF">
        <w:rPr>
          <w:rFonts w:ascii="Arial" w:hAnsi="Arial" w:cs="Arial"/>
          <w:b/>
          <w:sz w:val="22"/>
          <w:lang w:val="en-NZ"/>
        </w:rPr>
        <w:t xml:space="preserve"> </w:t>
      </w:r>
      <w:r w:rsidR="004F1119" w:rsidRPr="003720AF">
        <w:rPr>
          <w:rFonts w:ascii="Arial" w:hAnsi="Arial" w:cs="Arial"/>
          <w:sz w:val="22"/>
          <w:lang w:val="en-NZ"/>
        </w:rPr>
        <w:t>4436–</w:t>
      </w:r>
      <w:r w:rsidR="004A49B0" w:rsidRPr="003720AF">
        <w:rPr>
          <w:rFonts w:ascii="Arial" w:hAnsi="Arial" w:cs="Arial"/>
          <w:sz w:val="22"/>
          <w:lang w:val="en-NZ"/>
        </w:rPr>
        <w:t>40.</w:t>
      </w:r>
    </w:p>
    <w:p w14:paraId="6BDBE35E" w14:textId="2FD36F2B" w:rsidR="004A49B0" w:rsidRPr="003720AF" w:rsidRDefault="004F1119" w:rsidP="00667116">
      <w:pPr>
        <w:pStyle w:val="Ref"/>
        <w:ind w:left="0" w:firstLine="0"/>
        <w:rPr>
          <w:rFonts w:ascii="Arial" w:hAnsi="Arial" w:cs="Arial"/>
          <w:sz w:val="22"/>
          <w:lang w:val="en-NZ"/>
        </w:rPr>
      </w:pPr>
      <w:r w:rsidRPr="003720AF">
        <w:rPr>
          <w:rFonts w:ascii="Arial" w:hAnsi="Arial" w:cs="Arial"/>
          <w:sz w:val="22"/>
          <w:lang w:val="en-NZ"/>
        </w:rPr>
        <w:t>USEPA.</w:t>
      </w:r>
      <w:r w:rsidR="00FA041B" w:rsidRPr="003720AF">
        <w:rPr>
          <w:rFonts w:ascii="Arial" w:hAnsi="Arial" w:cs="Arial"/>
          <w:sz w:val="22"/>
          <w:lang w:val="en-NZ"/>
        </w:rPr>
        <w:t xml:space="preserve"> </w:t>
      </w:r>
      <w:r w:rsidR="004A49B0" w:rsidRPr="003720AF">
        <w:rPr>
          <w:rFonts w:ascii="Arial" w:hAnsi="Arial" w:cs="Arial"/>
          <w:sz w:val="22"/>
          <w:lang w:val="en-NZ"/>
        </w:rPr>
        <w:t>1997</w:t>
      </w:r>
      <w:r w:rsidR="004A49B0" w:rsidRPr="003720AF">
        <w:rPr>
          <w:rFonts w:ascii="Arial" w:hAnsi="Arial" w:cs="Arial"/>
          <w:iCs/>
          <w:sz w:val="22"/>
          <w:lang w:val="en-NZ"/>
        </w:rPr>
        <w:t xml:space="preserve">. </w:t>
      </w:r>
      <w:r w:rsidR="004A49B0" w:rsidRPr="003720AF">
        <w:rPr>
          <w:rFonts w:ascii="Arial" w:hAnsi="Arial" w:cs="Arial"/>
          <w:i/>
          <w:iCs/>
          <w:sz w:val="22"/>
          <w:lang w:val="en-NZ"/>
        </w:rPr>
        <w:t>Draft Standard Operating Procedures (SOPs) for Residential Exposure Assessments</w:t>
      </w:r>
      <w:r w:rsidR="004A49B0" w:rsidRPr="003720AF">
        <w:rPr>
          <w:rFonts w:ascii="Arial" w:hAnsi="Arial" w:cs="Arial"/>
          <w:sz w:val="22"/>
          <w:lang w:val="en-NZ"/>
        </w:rPr>
        <w:t>. Office of Pesticide Programs</w:t>
      </w:r>
      <w:r w:rsidRPr="003720AF">
        <w:rPr>
          <w:rFonts w:ascii="Arial" w:hAnsi="Arial" w:cs="Arial"/>
          <w:sz w:val="22"/>
          <w:lang w:val="en-NZ"/>
        </w:rPr>
        <w:t>, United States Environmental Protection Agency</w:t>
      </w:r>
      <w:r w:rsidR="004A49B0" w:rsidRPr="003720AF">
        <w:rPr>
          <w:rFonts w:ascii="Arial" w:hAnsi="Arial" w:cs="Arial"/>
          <w:sz w:val="22"/>
          <w:lang w:val="en-NZ"/>
        </w:rPr>
        <w:t>.</w:t>
      </w:r>
    </w:p>
    <w:p w14:paraId="6DAE6C01" w14:textId="10DD4382" w:rsidR="004A49B0" w:rsidRPr="003720AF" w:rsidRDefault="004F1119" w:rsidP="00667116">
      <w:pPr>
        <w:pStyle w:val="Ref"/>
        <w:ind w:left="0" w:firstLine="0"/>
        <w:rPr>
          <w:rFonts w:ascii="Arial" w:hAnsi="Arial" w:cs="Arial"/>
          <w:sz w:val="22"/>
          <w:lang w:val="en-NZ"/>
        </w:rPr>
      </w:pPr>
      <w:r w:rsidRPr="003720AF">
        <w:rPr>
          <w:rFonts w:ascii="Arial" w:hAnsi="Arial" w:cs="Arial"/>
          <w:sz w:val="22"/>
          <w:lang w:val="en-NZ"/>
        </w:rPr>
        <w:t xml:space="preserve">USEPA. </w:t>
      </w:r>
      <w:r w:rsidR="004A49B0" w:rsidRPr="003720AF">
        <w:rPr>
          <w:rFonts w:ascii="Arial" w:hAnsi="Arial" w:cs="Arial"/>
          <w:sz w:val="22"/>
          <w:lang w:val="en-NZ"/>
        </w:rPr>
        <w:t xml:space="preserve">2001. </w:t>
      </w:r>
      <w:r w:rsidR="004A49B0" w:rsidRPr="003720AF">
        <w:rPr>
          <w:rFonts w:ascii="Arial" w:hAnsi="Arial" w:cs="Arial"/>
          <w:iCs/>
          <w:sz w:val="22"/>
          <w:lang w:val="en-NZ"/>
        </w:rPr>
        <w:t>Policy Number 12 Regarding Recommended Revisions to the Standard Operating Procedures (SOPs) for Residential Exposure Assessments</w:t>
      </w:r>
      <w:r w:rsidR="004A49B0" w:rsidRPr="003720AF">
        <w:rPr>
          <w:rFonts w:ascii="Arial" w:hAnsi="Arial" w:cs="Arial"/>
          <w:sz w:val="22"/>
          <w:lang w:val="en-NZ"/>
        </w:rPr>
        <w:t xml:space="preserve">. </w:t>
      </w:r>
      <w:r w:rsidR="004B73B6" w:rsidRPr="003720AF">
        <w:rPr>
          <w:rFonts w:ascii="Arial" w:hAnsi="Arial" w:cs="Arial"/>
          <w:sz w:val="22"/>
          <w:lang w:val="en-NZ"/>
        </w:rPr>
        <w:t xml:space="preserve">Washington D C: </w:t>
      </w:r>
      <w:r w:rsidR="004A49B0" w:rsidRPr="003720AF">
        <w:rPr>
          <w:rFonts w:ascii="Arial" w:hAnsi="Arial" w:cs="Arial"/>
          <w:sz w:val="22"/>
          <w:lang w:val="en-NZ"/>
        </w:rPr>
        <w:t>Office of Pesticide Programs, Science Advisory Council for Exposure Policy</w:t>
      </w:r>
      <w:r w:rsidR="00FB5761" w:rsidRPr="003720AF">
        <w:rPr>
          <w:rFonts w:ascii="Arial" w:hAnsi="Arial" w:cs="Arial"/>
          <w:sz w:val="22"/>
          <w:lang w:val="en-NZ"/>
        </w:rPr>
        <w:t>, United States Environmental Protection Agency</w:t>
      </w:r>
      <w:r w:rsidR="004A49B0" w:rsidRPr="003720AF">
        <w:rPr>
          <w:rFonts w:ascii="Arial" w:hAnsi="Arial" w:cs="Arial"/>
          <w:sz w:val="22"/>
          <w:lang w:val="en-NZ"/>
        </w:rPr>
        <w:t>.</w:t>
      </w:r>
    </w:p>
    <w:p w14:paraId="1B4498CB" w14:textId="0FBBB1F3" w:rsidR="008310CB" w:rsidRPr="003720AF" w:rsidRDefault="008310CB" w:rsidP="00667116">
      <w:pPr>
        <w:pStyle w:val="Ref"/>
        <w:ind w:left="0" w:firstLine="0"/>
        <w:rPr>
          <w:rFonts w:ascii="Arial" w:hAnsi="Arial" w:cs="Arial"/>
          <w:sz w:val="22"/>
          <w:lang w:val="en-NZ"/>
        </w:rPr>
      </w:pPr>
      <w:r w:rsidRPr="003720AF">
        <w:rPr>
          <w:rFonts w:ascii="Arial" w:hAnsi="Arial" w:cs="Arial"/>
          <w:sz w:val="22"/>
          <w:lang w:val="en-NZ"/>
        </w:rPr>
        <w:lastRenderedPageBreak/>
        <w:t xml:space="preserve">USEPA 2004. Risk Assessment Guidance for Superfund Volume I: Human Health Evaluation Manual (Part E, Supplemental Guidance for Dermal Risk Assessment). Report EPA/540/R/99/005. Washington D C: United States Environmental Protection Agency. </w:t>
      </w:r>
      <w:hyperlink r:id="rId66" w:history="1">
        <w:r w:rsidRPr="003720AF">
          <w:rPr>
            <w:rStyle w:val="Hyperlink"/>
            <w:rFonts w:ascii="Arial" w:hAnsi="Arial" w:cs="Arial"/>
            <w:noProof w:val="0"/>
            <w:sz w:val="22"/>
            <w:lang w:val="en-NZ"/>
          </w:rPr>
          <w:t>https://www.epa.gov/sites/production/files/2015-09/documents/part_e_final_revision_10-03-07.pdf</w:t>
        </w:r>
      </w:hyperlink>
      <w:r w:rsidRPr="003720AF">
        <w:rPr>
          <w:rFonts w:ascii="Arial" w:hAnsi="Arial" w:cs="Arial"/>
          <w:sz w:val="22"/>
          <w:lang w:val="en-NZ"/>
        </w:rPr>
        <w:t xml:space="preserve"> </w:t>
      </w:r>
      <w:r w:rsidR="004050C6" w:rsidRPr="003720AF">
        <w:rPr>
          <w:rFonts w:ascii="Arial" w:hAnsi="Arial" w:cs="Arial"/>
          <w:sz w:val="22"/>
          <w:lang w:val="en-NZ"/>
        </w:rPr>
        <w:t>(accessed 3 October 2016).</w:t>
      </w:r>
    </w:p>
    <w:p w14:paraId="57726111" w14:textId="5252CCFB" w:rsidR="004A49B0" w:rsidRPr="003720AF" w:rsidRDefault="00FB5761" w:rsidP="00667116">
      <w:pPr>
        <w:pStyle w:val="Ref"/>
        <w:ind w:left="0" w:firstLine="0"/>
        <w:rPr>
          <w:rFonts w:ascii="Arial" w:hAnsi="Arial" w:cs="Arial"/>
          <w:sz w:val="22"/>
          <w:lang w:val="en-NZ"/>
        </w:rPr>
      </w:pPr>
      <w:r w:rsidRPr="003720AF">
        <w:rPr>
          <w:rFonts w:ascii="Arial" w:hAnsi="Arial" w:cs="Arial"/>
          <w:sz w:val="22"/>
          <w:lang w:val="en-NZ"/>
        </w:rPr>
        <w:t xml:space="preserve">USEPA. </w:t>
      </w:r>
      <w:r w:rsidR="004A49B0" w:rsidRPr="003720AF">
        <w:rPr>
          <w:rFonts w:ascii="Arial" w:hAnsi="Arial" w:cs="Arial"/>
          <w:sz w:val="22"/>
          <w:lang w:val="en-NZ"/>
        </w:rPr>
        <w:t xml:space="preserve">2005. Guidance on Selecting Age Groups for Monitoring and Assessing Childhood Exposures to Environmental Contaminants. EPA/630/P-03/003F. </w:t>
      </w:r>
      <w:r w:rsidRPr="003720AF">
        <w:rPr>
          <w:rFonts w:ascii="Arial" w:hAnsi="Arial" w:cs="Arial"/>
          <w:sz w:val="22"/>
          <w:lang w:val="en-NZ"/>
        </w:rPr>
        <w:t>Washington D C: Risk Assessment Forum, United States Environmental Protection Agency.</w:t>
      </w:r>
    </w:p>
    <w:p w14:paraId="5A02A902" w14:textId="0B37286E" w:rsidR="004A49B0" w:rsidRPr="003720AF" w:rsidRDefault="00FB5761" w:rsidP="00667116">
      <w:pPr>
        <w:pStyle w:val="Ref"/>
        <w:ind w:left="0" w:firstLine="0"/>
        <w:rPr>
          <w:rFonts w:ascii="Arial" w:hAnsi="Arial" w:cs="Arial"/>
          <w:sz w:val="22"/>
          <w:lang w:val="en-NZ"/>
        </w:rPr>
      </w:pPr>
      <w:r w:rsidRPr="003720AF">
        <w:rPr>
          <w:rFonts w:ascii="Arial" w:hAnsi="Arial" w:cs="Arial"/>
          <w:sz w:val="22"/>
          <w:lang w:val="en-NZ"/>
        </w:rPr>
        <w:t>USEPA. 2011</w:t>
      </w:r>
      <w:r w:rsidR="004A49B0" w:rsidRPr="003720AF">
        <w:rPr>
          <w:rFonts w:ascii="Arial" w:hAnsi="Arial" w:cs="Arial"/>
          <w:sz w:val="22"/>
          <w:lang w:val="en-NZ"/>
        </w:rPr>
        <w:t>. Exposure Factors Handbook: 2011 Edition.</w:t>
      </w:r>
      <w:r w:rsidRPr="003720AF">
        <w:rPr>
          <w:rFonts w:ascii="Arial" w:hAnsi="Arial" w:cs="Arial"/>
          <w:sz w:val="22"/>
          <w:lang w:val="en-NZ"/>
        </w:rPr>
        <w:t xml:space="preserve"> Washington D C:</w:t>
      </w:r>
      <w:r w:rsidR="004A49B0" w:rsidRPr="003720AF">
        <w:rPr>
          <w:rFonts w:ascii="Arial" w:hAnsi="Arial" w:cs="Arial"/>
          <w:sz w:val="22"/>
          <w:lang w:val="en-NZ"/>
        </w:rPr>
        <w:t xml:space="preserve"> National Center for Environmental Assessment</w:t>
      </w:r>
      <w:r w:rsidRPr="003720AF">
        <w:rPr>
          <w:rFonts w:ascii="Arial" w:hAnsi="Arial" w:cs="Arial"/>
          <w:sz w:val="22"/>
          <w:lang w:val="en-NZ"/>
        </w:rPr>
        <w:t>, United States Environmental Protection Agency.</w:t>
      </w:r>
    </w:p>
    <w:p w14:paraId="331A97C8" w14:textId="1CE8EDB3" w:rsidR="004A49B0" w:rsidRPr="003720AF" w:rsidRDefault="004B73B6" w:rsidP="00667116">
      <w:pPr>
        <w:pStyle w:val="Ref"/>
        <w:ind w:left="0" w:firstLine="0"/>
        <w:rPr>
          <w:rFonts w:ascii="Arial" w:hAnsi="Arial" w:cs="Arial"/>
          <w:sz w:val="22"/>
          <w:lang w:val="en-NZ"/>
        </w:rPr>
      </w:pPr>
      <w:r w:rsidRPr="003720AF">
        <w:rPr>
          <w:rFonts w:ascii="Arial" w:hAnsi="Arial" w:cs="Arial"/>
          <w:sz w:val="22"/>
          <w:lang w:val="en-NZ"/>
        </w:rPr>
        <w:t xml:space="preserve">USEPA. </w:t>
      </w:r>
      <w:r w:rsidR="004A49B0" w:rsidRPr="003720AF">
        <w:rPr>
          <w:rFonts w:ascii="Arial" w:hAnsi="Arial" w:cs="Arial"/>
          <w:sz w:val="22"/>
          <w:lang w:val="en-NZ"/>
        </w:rPr>
        <w:t xml:space="preserve">2012. Standard Operating Procedures for Residential Pesticide Exposure. </w:t>
      </w:r>
      <w:r w:rsidRPr="003720AF">
        <w:rPr>
          <w:rFonts w:ascii="Arial" w:hAnsi="Arial" w:cs="Arial"/>
          <w:sz w:val="22"/>
          <w:lang w:val="en-NZ"/>
        </w:rPr>
        <w:t xml:space="preserve">Washington D C: </w:t>
      </w:r>
      <w:r w:rsidR="004A49B0" w:rsidRPr="003720AF">
        <w:rPr>
          <w:rFonts w:ascii="Arial" w:hAnsi="Arial" w:cs="Arial"/>
          <w:sz w:val="22"/>
          <w:lang w:val="en-NZ"/>
        </w:rPr>
        <w:t>Health Effects Division, Office of Pesticide Programs and Office of Chemical Safety and Pollution Prevention</w:t>
      </w:r>
      <w:r w:rsidRPr="003720AF">
        <w:rPr>
          <w:rFonts w:ascii="Arial" w:hAnsi="Arial" w:cs="Arial"/>
          <w:sz w:val="22"/>
          <w:lang w:val="en-NZ"/>
        </w:rPr>
        <w:t xml:space="preserve"> United States Environmental Protection Agency.</w:t>
      </w:r>
    </w:p>
    <w:p w14:paraId="1E3D9645" w14:textId="70ED9B6B" w:rsidR="004A49B0" w:rsidRPr="003720AF" w:rsidRDefault="00EF4709" w:rsidP="00667116">
      <w:pPr>
        <w:pStyle w:val="Ref"/>
        <w:ind w:left="0" w:firstLine="0"/>
        <w:rPr>
          <w:rFonts w:ascii="Arial" w:hAnsi="Arial" w:cs="Arial"/>
          <w:sz w:val="22"/>
          <w:lang w:val="en-NZ"/>
        </w:rPr>
      </w:pPr>
      <w:r w:rsidRPr="003720AF">
        <w:rPr>
          <w:rFonts w:ascii="Arial" w:hAnsi="Arial" w:cs="Arial"/>
          <w:sz w:val="22"/>
          <w:lang w:val="en-NZ"/>
        </w:rPr>
        <w:t>Van Dyke</w:t>
      </w:r>
      <w:r w:rsidR="004A49B0" w:rsidRPr="003720AF">
        <w:rPr>
          <w:rFonts w:ascii="Arial" w:hAnsi="Arial" w:cs="Arial"/>
          <w:sz w:val="22"/>
          <w:lang w:val="en-NZ"/>
        </w:rPr>
        <w:t xml:space="preserve"> M, Martyny J</w:t>
      </w:r>
      <w:r w:rsidR="006C254C" w:rsidRPr="003720AF">
        <w:rPr>
          <w:rFonts w:ascii="Arial" w:hAnsi="Arial" w:cs="Arial"/>
          <w:sz w:val="22"/>
          <w:lang w:val="en-NZ"/>
        </w:rPr>
        <w:t xml:space="preserve"> </w:t>
      </w:r>
      <w:r w:rsidR="004A49B0" w:rsidRPr="003720AF">
        <w:rPr>
          <w:rFonts w:ascii="Arial" w:hAnsi="Arial" w:cs="Arial"/>
          <w:sz w:val="22"/>
          <w:lang w:val="en-NZ"/>
        </w:rPr>
        <w:t>W</w:t>
      </w:r>
      <w:r w:rsidRPr="003720AF">
        <w:rPr>
          <w:rFonts w:ascii="Arial" w:hAnsi="Arial" w:cs="Arial"/>
          <w:sz w:val="22"/>
          <w:lang w:val="en-NZ"/>
        </w:rPr>
        <w:t>, Serrano</w:t>
      </w:r>
      <w:r w:rsidR="004A49B0" w:rsidRPr="003720AF">
        <w:rPr>
          <w:rFonts w:ascii="Arial" w:hAnsi="Arial" w:cs="Arial"/>
          <w:sz w:val="22"/>
          <w:lang w:val="en-NZ"/>
        </w:rPr>
        <w:t xml:space="preserve"> K</w:t>
      </w:r>
      <w:r w:rsidRPr="003720AF">
        <w:rPr>
          <w:rFonts w:ascii="Arial" w:hAnsi="Arial" w:cs="Arial"/>
          <w:sz w:val="22"/>
          <w:lang w:val="en-NZ"/>
        </w:rPr>
        <w:t xml:space="preserve"> </w:t>
      </w:r>
      <w:r w:rsidR="004A49B0" w:rsidRPr="003720AF">
        <w:rPr>
          <w:rFonts w:ascii="Arial" w:hAnsi="Arial" w:cs="Arial"/>
          <w:sz w:val="22"/>
          <w:lang w:val="en-NZ"/>
        </w:rPr>
        <w:t>A</w:t>
      </w:r>
      <w:r w:rsidRPr="003720AF">
        <w:rPr>
          <w:rFonts w:ascii="Arial" w:hAnsi="Arial" w:cs="Arial"/>
          <w:sz w:val="22"/>
          <w:lang w:val="en-NZ"/>
        </w:rPr>
        <w:t xml:space="preserve">. </w:t>
      </w:r>
      <w:r w:rsidR="004A49B0" w:rsidRPr="003720AF">
        <w:rPr>
          <w:rFonts w:ascii="Arial" w:hAnsi="Arial" w:cs="Arial"/>
          <w:sz w:val="22"/>
          <w:lang w:val="en-NZ"/>
        </w:rPr>
        <w:t xml:space="preserve">2014. Methamphetamine residue dermal transfer efficiencies from household surfaces. </w:t>
      </w:r>
      <w:r w:rsidR="004A49B0" w:rsidRPr="003720AF">
        <w:rPr>
          <w:rFonts w:ascii="Arial" w:hAnsi="Arial" w:cs="Arial"/>
          <w:i/>
          <w:sz w:val="22"/>
          <w:lang w:val="en-NZ"/>
        </w:rPr>
        <w:t>J</w:t>
      </w:r>
      <w:r w:rsidRPr="003720AF">
        <w:rPr>
          <w:rFonts w:ascii="Arial" w:hAnsi="Arial" w:cs="Arial"/>
          <w:i/>
          <w:sz w:val="22"/>
          <w:lang w:val="en-NZ"/>
        </w:rPr>
        <w:t xml:space="preserve">ournal of </w:t>
      </w:r>
      <w:r w:rsidR="004A49B0" w:rsidRPr="003720AF">
        <w:rPr>
          <w:rFonts w:ascii="Arial" w:hAnsi="Arial" w:cs="Arial"/>
          <w:i/>
          <w:sz w:val="22"/>
          <w:lang w:val="en-NZ"/>
        </w:rPr>
        <w:t>Occup</w:t>
      </w:r>
      <w:r w:rsidRPr="003720AF">
        <w:rPr>
          <w:rFonts w:ascii="Arial" w:hAnsi="Arial" w:cs="Arial"/>
          <w:i/>
          <w:sz w:val="22"/>
          <w:lang w:val="en-NZ"/>
        </w:rPr>
        <w:t xml:space="preserve">ational and </w:t>
      </w:r>
      <w:r w:rsidR="004A49B0" w:rsidRPr="003720AF">
        <w:rPr>
          <w:rFonts w:ascii="Arial" w:hAnsi="Arial" w:cs="Arial"/>
          <w:i/>
          <w:sz w:val="22"/>
          <w:lang w:val="en-NZ"/>
        </w:rPr>
        <w:t>Environ</w:t>
      </w:r>
      <w:r w:rsidRPr="003720AF">
        <w:rPr>
          <w:rFonts w:ascii="Arial" w:hAnsi="Arial" w:cs="Arial"/>
          <w:i/>
          <w:sz w:val="22"/>
          <w:lang w:val="en-NZ"/>
        </w:rPr>
        <w:t>mental</w:t>
      </w:r>
      <w:r w:rsidR="004A49B0" w:rsidRPr="003720AF">
        <w:rPr>
          <w:rFonts w:ascii="Arial" w:hAnsi="Arial" w:cs="Arial"/>
          <w:i/>
          <w:sz w:val="22"/>
          <w:lang w:val="en-NZ"/>
        </w:rPr>
        <w:t xml:space="preserve"> Hyg</w:t>
      </w:r>
      <w:r w:rsidRPr="003720AF">
        <w:rPr>
          <w:rFonts w:ascii="Arial" w:hAnsi="Arial" w:cs="Arial"/>
          <w:i/>
          <w:sz w:val="22"/>
          <w:lang w:val="en-NZ"/>
        </w:rPr>
        <w:t>iene</w:t>
      </w:r>
      <w:r w:rsidR="004A49B0" w:rsidRPr="003720AF">
        <w:rPr>
          <w:rFonts w:ascii="Arial" w:hAnsi="Arial" w:cs="Arial"/>
          <w:sz w:val="22"/>
          <w:lang w:val="en-NZ"/>
        </w:rPr>
        <w:t xml:space="preserve"> 11:</w:t>
      </w:r>
      <w:r w:rsidRPr="003720AF">
        <w:rPr>
          <w:rFonts w:ascii="Arial" w:hAnsi="Arial" w:cs="Arial"/>
          <w:b/>
          <w:sz w:val="22"/>
          <w:lang w:val="en-NZ"/>
        </w:rPr>
        <w:t xml:space="preserve"> </w:t>
      </w:r>
      <w:r w:rsidRPr="003720AF">
        <w:rPr>
          <w:rFonts w:ascii="Arial" w:hAnsi="Arial" w:cs="Arial"/>
          <w:sz w:val="22"/>
          <w:lang w:val="en-NZ"/>
        </w:rPr>
        <w:t>249–</w:t>
      </w:r>
      <w:r w:rsidR="004A49B0" w:rsidRPr="003720AF">
        <w:rPr>
          <w:rFonts w:ascii="Arial" w:hAnsi="Arial" w:cs="Arial"/>
          <w:sz w:val="22"/>
          <w:lang w:val="en-NZ"/>
        </w:rPr>
        <w:t>58.</w:t>
      </w:r>
    </w:p>
    <w:p w14:paraId="3BBA9AE6" w14:textId="62BA2773" w:rsidR="004A49B0" w:rsidRPr="003720AF" w:rsidRDefault="00EF4709" w:rsidP="00667116">
      <w:pPr>
        <w:pStyle w:val="Ref"/>
        <w:ind w:left="0" w:firstLine="0"/>
        <w:rPr>
          <w:rFonts w:ascii="Arial" w:hAnsi="Arial" w:cs="Arial"/>
          <w:sz w:val="22"/>
          <w:lang w:val="en-NZ"/>
        </w:rPr>
      </w:pPr>
      <w:r w:rsidRPr="003720AF">
        <w:rPr>
          <w:rFonts w:ascii="Arial" w:hAnsi="Arial" w:cs="Arial"/>
          <w:sz w:val="22"/>
          <w:lang w:val="en-NZ"/>
        </w:rPr>
        <w:t>Xue J,</w:t>
      </w:r>
      <w:r w:rsidR="004A49B0" w:rsidRPr="003720AF">
        <w:rPr>
          <w:rFonts w:ascii="Arial" w:hAnsi="Arial" w:cs="Arial"/>
          <w:sz w:val="22"/>
          <w:lang w:val="en-NZ"/>
        </w:rPr>
        <w:t xml:space="preserve"> Zartarian</w:t>
      </w:r>
      <w:r w:rsidRPr="003720AF">
        <w:rPr>
          <w:rFonts w:ascii="Arial" w:hAnsi="Arial" w:cs="Arial"/>
          <w:sz w:val="22"/>
          <w:lang w:val="en-NZ"/>
        </w:rPr>
        <w:t xml:space="preserve"> V, Moya</w:t>
      </w:r>
      <w:r w:rsidR="004A49B0" w:rsidRPr="003720AF">
        <w:rPr>
          <w:rFonts w:ascii="Arial" w:hAnsi="Arial" w:cs="Arial"/>
          <w:sz w:val="22"/>
          <w:lang w:val="en-NZ"/>
        </w:rPr>
        <w:t xml:space="preserve"> J</w:t>
      </w:r>
      <w:r w:rsidRPr="003720AF">
        <w:rPr>
          <w:rFonts w:ascii="Arial" w:hAnsi="Arial" w:cs="Arial"/>
          <w:sz w:val="22"/>
          <w:lang w:val="en-NZ"/>
        </w:rPr>
        <w:t>, et al</w:t>
      </w:r>
      <w:r w:rsidR="004A49B0" w:rsidRPr="003720AF">
        <w:rPr>
          <w:rFonts w:ascii="Arial" w:hAnsi="Arial" w:cs="Arial"/>
          <w:sz w:val="22"/>
          <w:lang w:val="en-NZ"/>
        </w:rPr>
        <w:t xml:space="preserve">. </w:t>
      </w:r>
      <w:r w:rsidRPr="003720AF">
        <w:rPr>
          <w:rFonts w:ascii="Arial" w:hAnsi="Arial" w:cs="Arial"/>
          <w:sz w:val="22"/>
          <w:lang w:val="en-NZ"/>
        </w:rPr>
        <w:t>2007</w:t>
      </w:r>
      <w:r w:rsidR="004A49B0" w:rsidRPr="003720AF">
        <w:rPr>
          <w:rFonts w:ascii="Arial" w:hAnsi="Arial" w:cs="Arial"/>
          <w:sz w:val="22"/>
          <w:lang w:val="en-NZ"/>
        </w:rPr>
        <w:t>. A meta</w:t>
      </w:r>
      <w:r w:rsidR="004A49B0" w:rsidRPr="003720AF">
        <w:rPr>
          <w:rFonts w:ascii="Cambria Math" w:hAnsi="Cambria Math" w:cs="Cambria Math"/>
          <w:sz w:val="22"/>
          <w:lang w:val="en-NZ"/>
        </w:rPr>
        <w:t>‐</w:t>
      </w:r>
      <w:r w:rsidR="004A49B0" w:rsidRPr="003720AF">
        <w:rPr>
          <w:rFonts w:ascii="Arial" w:hAnsi="Arial" w:cs="Arial"/>
          <w:sz w:val="22"/>
          <w:lang w:val="en-NZ"/>
        </w:rPr>
        <w:t>analysis of children's hand</w:t>
      </w:r>
      <w:r w:rsidR="004A49B0" w:rsidRPr="003720AF">
        <w:rPr>
          <w:rFonts w:ascii="Cambria Math" w:hAnsi="Cambria Math" w:cs="Cambria Math"/>
          <w:sz w:val="22"/>
          <w:lang w:val="en-NZ"/>
        </w:rPr>
        <w:t>‐</w:t>
      </w:r>
      <w:r w:rsidR="004A49B0" w:rsidRPr="003720AF">
        <w:rPr>
          <w:rFonts w:ascii="Arial" w:hAnsi="Arial" w:cs="Arial"/>
          <w:sz w:val="22"/>
          <w:lang w:val="en-NZ"/>
        </w:rPr>
        <w:t>to</w:t>
      </w:r>
      <w:r w:rsidR="004A49B0" w:rsidRPr="003720AF">
        <w:rPr>
          <w:rFonts w:ascii="Cambria Math" w:hAnsi="Cambria Math" w:cs="Cambria Math"/>
          <w:sz w:val="22"/>
          <w:lang w:val="en-NZ"/>
        </w:rPr>
        <w:t>‐</w:t>
      </w:r>
      <w:r w:rsidR="004A49B0" w:rsidRPr="003720AF">
        <w:rPr>
          <w:rFonts w:ascii="Arial" w:hAnsi="Arial" w:cs="Arial"/>
          <w:sz w:val="22"/>
          <w:lang w:val="en-NZ"/>
        </w:rPr>
        <w:t xml:space="preserve">mouth frequency data for estimating nondietary ingestion exposure. </w:t>
      </w:r>
      <w:r w:rsidR="004A49B0" w:rsidRPr="003720AF">
        <w:rPr>
          <w:rFonts w:ascii="Arial" w:hAnsi="Arial" w:cs="Arial"/>
          <w:i/>
          <w:sz w:val="22"/>
          <w:lang w:val="en-NZ"/>
        </w:rPr>
        <w:t>Risk Anal</w:t>
      </w:r>
      <w:r w:rsidRPr="003720AF">
        <w:rPr>
          <w:rFonts w:ascii="Arial" w:hAnsi="Arial" w:cs="Arial"/>
          <w:i/>
          <w:sz w:val="22"/>
          <w:lang w:val="en-NZ"/>
        </w:rPr>
        <w:t>ysis</w:t>
      </w:r>
      <w:r w:rsidR="004A49B0" w:rsidRPr="003720AF">
        <w:rPr>
          <w:rFonts w:ascii="Arial" w:hAnsi="Arial" w:cs="Arial"/>
          <w:sz w:val="22"/>
          <w:lang w:val="en-NZ"/>
        </w:rPr>
        <w:t xml:space="preserve"> 27:</w:t>
      </w:r>
      <w:r w:rsidRPr="003720AF">
        <w:rPr>
          <w:rFonts w:ascii="Arial" w:hAnsi="Arial" w:cs="Arial"/>
          <w:b/>
          <w:sz w:val="22"/>
          <w:lang w:val="en-NZ"/>
        </w:rPr>
        <w:t xml:space="preserve"> </w:t>
      </w:r>
      <w:r w:rsidRPr="003720AF">
        <w:rPr>
          <w:rFonts w:ascii="Arial" w:hAnsi="Arial" w:cs="Arial"/>
          <w:sz w:val="22"/>
          <w:lang w:val="en-NZ"/>
        </w:rPr>
        <w:t>411–</w:t>
      </w:r>
      <w:r w:rsidR="004A49B0" w:rsidRPr="003720AF">
        <w:rPr>
          <w:rFonts w:ascii="Arial" w:hAnsi="Arial" w:cs="Arial"/>
          <w:sz w:val="22"/>
          <w:lang w:val="en-NZ"/>
        </w:rPr>
        <w:t>20.</w:t>
      </w:r>
    </w:p>
    <w:p w14:paraId="618FF159" w14:textId="77777777" w:rsidR="00FE59AE" w:rsidRPr="003720AF" w:rsidRDefault="00FE59AE" w:rsidP="001E5B59">
      <w:pPr>
        <w:pStyle w:val="ESRBodyText"/>
      </w:pPr>
      <w:r w:rsidRPr="003720AF">
        <w:rPr>
          <w:rStyle w:val="EndnoteReference"/>
        </w:rPr>
        <w:endnoteReference w:id="1"/>
      </w:r>
    </w:p>
    <w:p w14:paraId="6A2AD96B" w14:textId="77777777" w:rsidR="00FE59AE" w:rsidRPr="003720AF" w:rsidRDefault="00FE59AE" w:rsidP="00FE59AE">
      <w:pPr>
        <w:pStyle w:val="ESRBodyText"/>
        <w:sectPr w:rsidR="00FE59AE" w:rsidRPr="003720AF" w:rsidSect="00F312C2">
          <w:footerReference w:type="default" r:id="rId67"/>
          <w:pgSz w:w="11906" w:h="16838" w:code="9"/>
          <w:pgMar w:top="1440" w:right="1440" w:bottom="1440" w:left="1440" w:header="709" w:footer="709" w:gutter="0"/>
          <w:cols w:space="708"/>
          <w:docGrid w:linePitch="360"/>
        </w:sectPr>
      </w:pPr>
    </w:p>
    <w:p w14:paraId="08E3C1E7" w14:textId="77777777" w:rsidR="00394A2F" w:rsidRPr="003720AF" w:rsidRDefault="00394A2F"/>
    <w:sectPr w:rsidR="00394A2F" w:rsidRPr="003720AF" w:rsidSect="00394A2F">
      <w:headerReference w:type="default" r:id="rId68"/>
      <w:footerReference w:type="default" r:id="rId69"/>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76DDD" w14:textId="77777777" w:rsidR="00154F49" w:rsidRDefault="00154F49" w:rsidP="00942496">
      <w:pPr>
        <w:spacing w:after="0" w:line="240" w:lineRule="auto"/>
      </w:pPr>
      <w:r>
        <w:separator/>
      </w:r>
    </w:p>
  </w:endnote>
  <w:endnote w:type="continuationSeparator" w:id="0">
    <w:p w14:paraId="1D611FE1" w14:textId="77777777" w:rsidR="00154F49" w:rsidRDefault="00154F49" w:rsidP="00942496">
      <w:pPr>
        <w:spacing w:after="0" w:line="240" w:lineRule="auto"/>
      </w:pPr>
      <w:r>
        <w:continuationSeparator/>
      </w:r>
    </w:p>
  </w:endnote>
  <w:endnote w:id="1">
    <w:p w14:paraId="2C2D0903" w14:textId="77777777" w:rsidR="00401CDB" w:rsidRPr="00AD1EE9" w:rsidRDefault="00401CDB" w:rsidP="00AD1EE9">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Bold">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Gotham Light">
    <w:altName w:val="Cambria"/>
    <w:panose1 w:val="00000000000000000000"/>
    <w:charset w:val="4D"/>
    <w:family w:val="swiss"/>
    <w:notTrueType/>
    <w:pitch w:val="default"/>
    <w:sig w:usb0="00000003" w:usb1="00000000" w:usb2="00000000" w:usb3="00000000" w:csb0="00000001" w:csb1="00000000"/>
  </w:font>
  <w:font w:name="Museo 500">
    <w:altName w:val="Arial"/>
    <w:panose1 w:val="00000000000000000000"/>
    <w:charset w:val="00"/>
    <w:family w:val="modern"/>
    <w:notTrueType/>
    <w:pitch w:val="variable"/>
    <w:sig w:usb0="A00000AF" w:usb1="4000004A" w:usb2="00000000" w:usb3="00000000" w:csb0="00000093"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imesNewRomanPS">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Lucida Grande">
    <w:altName w:val="Times New Roman"/>
    <w:charset w:val="00"/>
    <w:family w:val="auto"/>
    <w:pitch w:val="variable"/>
    <w:sig w:usb0="00000000" w:usb1="5000A1FF" w:usb2="00000000" w:usb3="00000000" w:csb0="000001BF" w:csb1="00000000"/>
  </w:font>
  <w:font w:name="Times-Bold">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A88DDE" w14:textId="77777777" w:rsidR="00401CDB" w:rsidRPr="00E96AE5" w:rsidRDefault="00401CDB" w:rsidP="00E96AE5">
    <w:pPr>
      <w:pStyle w:val="Footer"/>
    </w:pPr>
    <w:r w:rsidRPr="00E96AE5">
      <w:rPr>
        <w:noProof/>
        <w:lang w:eastAsia="en-NZ"/>
      </w:rPr>
      <w:drawing>
        <wp:anchor distT="0" distB="0" distL="114300" distR="114300" simplePos="0" relativeHeight="251688960" behindDoc="0" locked="0" layoutInCell="1" allowOverlap="1" wp14:anchorId="06C69340" wp14:editId="0B0BB746">
          <wp:simplePos x="0" y="0"/>
          <wp:positionH relativeFrom="margin">
            <wp:posOffset>0</wp:posOffset>
          </wp:positionH>
          <wp:positionV relativeFrom="paragraph">
            <wp:posOffset>-23690</wp:posOffset>
          </wp:positionV>
          <wp:extent cx="371475" cy="371475"/>
          <wp:effectExtent l="0" t="0" r="9525"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anchor>
      </w:drawing>
    </w:r>
  </w:p>
  <w:p w14:paraId="11574429" w14:textId="77777777" w:rsidR="00401CDB" w:rsidRDefault="00401CDB" w:rsidP="00E96AE5">
    <w:pPr>
      <w:pStyle w:val="Footer"/>
    </w:pPr>
    <w:r w:rsidRPr="00E96AE5">
      <w:t>INSTITUTE OF ENVIRONMENTAL SCIENCE AND RESEARCH LIMITED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9F3E6" w14:textId="77777777" w:rsidR="00401CDB" w:rsidRDefault="00401CDB">
    <w:pPr>
      <w:pStyle w:val="Footer"/>
    </w:pPr>
    <w:r>
      <w:rPr>
        <w:noProof/>
        <w:lang w:eastAsia="en-NZ"/>
      </w:rPr>
      <w:drawing>
        <wp:anchor distT="0" distB="0" distL="114300" distR="114300" simplePos="0" relativeHeight="251693056" behindDoc="0" locked="0" layoutInCell="1" allowOverlap="1" wp14:anchorId="21AF6D47" wp14:editId="62000ED6">
          <wp:simplePos x="0" y="0"/>
          <wp:positionH relativeFrom="page">
            <wp:posOffset>4607560</wp:posOffset>
          </wp:positionH>
          <wp:positionV relativeFrom="paragraph">
            <wp:posOffset>-2745007</wp:posOffset>
          </wp:positionV>
          <wp:extent cx="2944495" cy="3315335"/>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20259"/>
                  <a:stretch/>
                </pic:blipFill>
                <pic:spPr bwMode="auto">
                  <a:xfrm rot="10800000">
                    <a:off x="0" y="0"/>
                    <a:ext cx="2944495" cy="331533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C5CDF" w14:textId="77777777" w:rsidR="00401CDB" w:rsidRPr="00394A2F" w:rsidRDefault="00401CDB" w:rsidP="00394A2F">
    <w:pPr>
      <w:pStyle w:val="Footer"/>
    </w:pPr>
    <w:r w:rsidRPr="00394A2F">
      <w:rPr>
        <w:noProof/>
        <w:lang w:eastAsia="en-NZ"/>
      </w:rPr>
      <w:drawing>
        <wp:anchor distT="0" distB="0" distL="114300" distR="114300" simplePos="0" relativeHeight="251666432" behindDoc="0" locked="0" layoutInCell="1" allowOverlap="1" wp14:anchorId="374623F9" wp14:editId="18DEE771">
          <wp:simplePos x="0" y="0"/>
          <wp:positionH relativeFrom="margin">
            <wp:posOffset>0</wp:posOffset>
          </wp:positionH>
          <wp:positionV relativeFrom="paragraph">
            <wp:posOffset>-23690</wp:posOffset>
          </wp:positionV>
          <wp:extent cx="371475" cy="371475"/>
          <wp:effectExtent l="0" t="0" r="9525" b="952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anchor>
      </w:drawing>
    </w:r>
    <w:r>
      <w:fldChar w:fldCharType="begin"/>
    </w:r>
    <w:r>
      <w:instrText xml:space="preserve"> </w:instrText>
    </w:r>
    <w:r w:rsidRPr="00580201">
      <w:instrText>S</w:instrText>
    </w:r>
    <w:r>
      <w:instrText xml:space="preserve">TYLEREF  Title  \* charformat </w:instrText>
    </w:r>
    <w:r>
      <w:fldChar w:fldCharType="separate"/>
    </w:r>
    <w:r w:rsidR="00F6014F">
      <w:rPr>
        <w:noProof/>
      </w:rPr>
      <w:t>Review of Remediation Standards for Clandestine Methamphetamine Laboratories: Risk Assessment recommendations for a New Zealand Standard</w:t>
    </w:r>
    <w:r>
      <w:rPr>
        <w:noProof/>
      </w:rPr>
      <w:fldChar w:fldCharType="end"/>
    </w:r>
  </w:p>
  <w:p w14:paraId="2CA3CADA" w14:textId="77777777" w:rsidR="00401CDB" w:rsidRPr="00394A2F" w:rsidRDefault="00401CDB" w:rsidP="00394A2F">
    <w:pPr>
      <w:pStyle w:val="Footer"/>
      <w:rPr>
        <w:b w:val="0"/>
      </w:rPr>
    </w:pPr>
    <w:r w:rsidRPr="00394A2F">
      <w:t>INSTITUTE OF ENVIRONMENTAL SCIENCE AND RESEARCH LIMITED</w:t>
    </w:r>
    <w:r w:rsidRPr="00394A2F">
      <w:tab/>
    </w:r>
    <w:r w:rsidRPr="00394A2F">
      <w:rPr>
        <w:b w:val="0"/>
      </w:rPr>
      <w:t xml:space="preserve">Page </w:t>
    </w:r>
    <w:sdt>
      <w:sdtPr>
        <w:rPr>
          <w:b w:val="0"/>
        </w:rPr>
        <w:id w:val="-242183589"/>
        <w:docPartObj>
          <w:docPartGallery w:val="Page Numbers (Bottom of Page)"/>
          <w:docPartUnique/>
        </w:docPartObj>
      </w:sdtPr>
      <w:sdtEndPr/>
      <w:sdtContent>
        <w:r w:rsidRPr="00394A2F">
          <w:rPr>
            <w:b w:val="0"/>
          </w:rPr>
          <w:fldChar w:fldCharType="begin"/>
        </w:r>
        <w:r>
          <w:rPr>
            <w:b w:val="0"/>
          </w:rPr>
          <w:instrText xml:space="preserve"> PAGE</w:instrText>
        </w:r>
        <w:r w:rsidRPr="00394A2F">
          <w:rPr>
            <w:b w:val="0"/>
          </w:rPr>
          <w:instrText xml:space="preserve"> \* </w:instrText>
        </w:r>
        <w:r>
          <w:rPr>
            <w:b w:val="0"/>
          </w:rPr>
          <w:instrText>roman</w:instrText>
        </w:r>
        <w:r w:rsidRPr="00394A2F">
          <w:rPr>
            <w:b w:val="0"/>
          </w:rPr>
          <w:instrText xml:space="preserve"> </w:instrText>
        </w:r>
        <w:r w:rsidRPr="00394A2F">
          <w:rPr>
            <w:b w:val="0"/>
          </w:rPr>
          <w:fldChar w:fldCharType="separate"/>
        </w:r>
        <w:r>
          <w:rPr>
            <w:b w:val="0"/>
            <w:noProof/>
          </w:rPr>
          <w:t>i</w:t>
        </w:r>
        <w:r w:rsidRPr="00394A2F">
          <w:rPr>
            <w:b w:val="0"/>
          </w:rPr>
          <w:fldChar w:fldCharType="end"/>
        </w:r>
      </w:sdtContent>
    </w:sdt>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FBF41F" w14:textId="77777777" w:rsidR="00401CDB" w:rsidRPr="00BD5792" w:rsidRDefault="00401CDB" w:rsidP="00C30884">
    <w:pPr>
      <w:pStyle w:val="Footer"/>
    </w:pPr>
    <w:r w:rsidRPr="00BD5792">
      <w:rPr>
        <w:noProof/>
        <w:lang w:eastAsia="en-NZ"/>
      </w:rPr>
      <w:drawing>
        <wp:anchor distT="0" distB="0" distL="114300" distR="114300" simplePos="0" relativeHeight="251662336" behindDoc="0" locked="0" layoutInCell="1" allowOverlap="1" wp14:anchorId="42A0B2B6" wp14:editId="29F4CE01">
          <wp:simplePos x="0" y="0"/>
          <wp:positionH relativeFrom="margin">
            <wp:posOffset>0</wp:posOffset>
          </wp:positionH>
          <wp:positionV relativeFrom="paragraph">
            <wp:posOffset>-23690</wp:posOffset>
          </wp:positionV>
          <wp:extent cx="371475" cy="371475"/>
          <wp:effectExtent l="0" t="0" r="9525"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anchor>
      </w:drawing>
    </w:r>
    <w:fldSimple w:instr=" STYLEREF  Title  \* charformat ">
      <w:r w:rsidR="00F8363A">
        <w:rPr>
          <w:noProof/>
        </w:rPr>
        <w:t>Review of Remediation Standards for Clandestine Methamphetamine Laboratories: Risk Assessment recommendations for a New Zealand Standard</w:t>
      </w:r>
    </w:fldSimple>
  </w:p>
  <w:p w14:paraId="24D1261A" w14:textId="77777777" w:rsidR="00401CDB" w:rsidRPr="00394A2F" w:rsidRDefault="00401CDB" w:rsidP="00942496">
    <w:pPr>
      <w:pStyle w:val="Footer"/>
      <w:rPr>
        <w:b w:val="0"/>
      </w:rPr>
    </w:pPr>
    <w:r w:rsidRPr="00B677E4">
      <w:t>INSTITUTE OF ENVIRONMENTAL SCIENCE AND RESEARCH LIMITED</w:t>
    </w:r>
    <w:r>
      <w:tab/>
    </w:r>
    <w:r w:rsidRPr="00394A2F">
      <w:rPr>
        <w:b w:val="0"/>
      </w:rPr>
      <w:t xml:space="preserve">Page </w:t>
    </w:r>
    <w:sdt>
      <w:sdtPr>
        <w:rPr>
          <w:b w:val="0"/>
        </w:rPr>
        <w:id w:val="-680968839"/>
        <w:docPartObj>
          <w:docPartGallery w:val="Page Numbers (Bottom of Page)"/>
          <w:docPartUnique/>
        </w:docPartObj>
      </w:sdtPr>
      <w:sdtEndPr/>
      <w:sdtContent>
        <w:r w:rsidRPr="00394A2F">
          <w:rPr>
            <w:b w:val="0"/>
          </w:rPr>
          <w:fldChar w:fldCharType="begin"/>
        </w:r>
        <w:r w:rsidRPr="00394A2F">
          <w:rPr>
            <w:b w:val="0"/>
          </w:rPr>
          <w:instrText xml:space="preserve"> PAGE   \* </w:instrText>
        </w:r>
        <w:r>
          <w:rPr>
            <w:b w:val="0"/>
          </w:rPr>
          <w:instrText>roman</w:instrText>
        </w:r>
        <w:r w:rsidRPr="00394A2F">
          <w:rPr>
            <w:b w:val="0"/>
          </w:rPr>
          <w:instrText xml:space="preserve"> </w:instrText>
        </w:r>
        <w:r w:rsidRPr="00394A2F">
          <w:rPr>
            <w:b w:val="0"/>
          </w:rPr>
          <w:fldChar w:fldCharType="separate"/>
        </w:r>
        <w:r w:rsidR="00F8363A">
          <w:rPr>
            <w:b w:val="0"/>
            <w:noProof/>
          </w:rPr>
          <w:t>i</w:t>
        </w:r>
        <w:r w:rsidRPr="00394A2F">
          <w:rPr>
            <w:b w:val="0"/>
          </w:rPr>
          <w:fldChar w:fldCharType="end"/>
        </w:r>
      </w:sdtContent>
    </w:sdt>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601976" w14:textId="77777777" w:rsidR="00401CDB" w:rsidRPr="00394A2F" w:rsidRDefault="00401CDB" w:rsidP="00394A2F">
    <w:pPr>
      <w:pStyle w:val="Footer"/>
    </w:pPr>
    <w:r w:rsidRPr="00394A2F">
      <w:rPr>
        <w:noProof/>
        <w:lang w:eastAsia="en-NZ"/>
      </w:rPr>
      <w:drawing>
        <wp:anchor distT="0" distB="0" distL="114300" distR="114300" simplePos="0" relativeHeight="251682816" behindDoc="0" locked="0" layoutInCell="1" allowOverlap="1" wp14:anchorId="08C48057" wp14:editId="757C30A4">
          <wp:simplePos x="0" y="0"/>
          <wp:positionH relativeFrom="margin">
            <wp:posOffset>0</wp:posOffset>
          </wp:positionH>
          <wp:positionV relativeFrom="paragraph">
            <wp:posOffset>-23690</wp:posOffset>
          </wp:positionV>
          <wp:extent cx="371475" cy="371475"/>
          <wp:effectExtent l="0" t="0" r="9525"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anchor>
      </w:drawing>
    </w:r>
    <w:r>
      <w:fldChar w:fldCharType="begin"/>
    </w:r>
    <w:r>
      <w:instrText xml:space="preserve"> STYLEREF  Title  \* </w:instrText>
    </w:r>
    <w:r w:rsidRPr="00580201">
      <w:instrText xml:space="preserve">charformat </w:instrText>
    </w:r>
    <w:r>
      <w:fldChar w:fldCharType="separate"/>
    </w:r>
    <w:r w:rsidR="00F8363A">
      <w:rPr>
        <w:noProof/>
      </w:rPr>
      <w:t>Review of Remediation Standards for Clandestine Methamphetamine Laboratories: Risk Assessment recommendations for a New Zealand Standard</w:t>
    </w:r>
    <w:r>
      <w:rPr>
        <w:noProof/>
      </w:rPr>
      <w:fldChar w:fldCharType="end"/>
    </w:r>
  </w:p>
  <w:p w14:paraId="33BDAFB1" w14:textId="77777777" w:rsidR="00401CDB" w:rsidRPr="00394A2F" w:rsidRDefault="00401CDB" w:rsidP="00756722">
    <w:pPr>
      <w:pStyle w:val="Footer"/>
      <w:tabs>
        <w:tab w:val="clear" w:pos="4513"/>
      </w:tabs>
      <w:rPr>
        <w:b w:val="0"/>
      </w:rPr>
    </w:pPr>
    <w:r w:rsidRPr="00394A2F">
      <w:t>INSTITUTE OF ENVIRONMENTAL SCIENCE AND RESEARCH LIMITED</w:t>
    </w:r>
    <w:r w:rsidRPr="00394A2F">
      <w:tab/>
    </w:r>
    <w:r w:rsidRPr="00394A2F">
      <w:rPr>
        <w:b w:val="0"/>
      </w:rPr>
      <w:t xml:space="preserve">Page </w:t>
    </w:r>
    <w:r>
      <w:rPr>
        <w:b w:val="0"/>
      </w:rPr>
      <w:fldChar w:fldCharType="begin"/>
    </w:r>
    <w:r>
      <w:rPr>
        <w:b w:val="0"/>
      </w:rPr>
      <w:instrText xml:space="preserve"> = </w:instrText>
    </w:r>
    <w:r>
      <w:rPr>
        <w:b w:val="0"/>
      </w:rPr>
      <w:fldChar w:fldCharType="begin"/>
    </w:r>
    <w:r>
      <w:rPr>
        <w:b w:val="0"/>
      </w:rPr>
      <w:instrText xml:space="preserve"> page </w:instrText>
    </w:r>
    <w:r>
      <w:rPr>
        <w:b w:val="0"/>
      </w:rPr>
      <w:fldChar w:fldCharType="separate"/>
    </w:r>
    <w:r w:rsidR="00F8363A">
      <w:rPr>
        <w:b w:val="0"/>
        <w:noProof/>
      </w:rPr>
      <w:instrText>4</w:instrText>
    </w:r>
    <w:r>
      <w:rPr>
        <w:b w:val="0"/>
      </w:rPr>
      <w:fldChar w:fldCharType="end"/>
    </w:r>
    <w:r>
      <w:rPr>
        <w:b w:val="0"/>
      </w:rPr>
      <w:instrText xml:space="preserve"> - 1 \* roman</w:instrText>
    </w:r>
    <w:r>
      <w:rPr>
        <w:b w:val="0"/>
      </w:rPr>
      <w:fldChar w:fldCharType="separate"/>
    </w:r>
    <w:r w:rsidR="00F8363A">
      <w:rPr>
        <w:b w:val="0"/>
        <w:noProof/>
      </w:rPr>
      <w:t>iii</w:t>
    </w:r>
    <w:r>
      <w:rPr>
        <w:b w:val="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246C0" w14:textId="74AC2633" w:rsidR="00401CDB" w:rsidRPr="00E96AE5" w:rsidRDefault="00401CDB" w:rsidP="00E96AE5">
    <w:pPr>
      <w:pStyle w:val="Footer"/>
    </w:pPr>
    <w:r>
      <w:t>Review of Remediation Standards for Clandestine Methamphetamine Laboratories</w:t>
    </w:r>
    <w:r w:rsidRPr="00E96AE5">
      <w:rPr>
        <w:noProof/>
        <w:lang w:eastAsia="en-NZ"/>
      </w:rPr>
      <w:t xml:space="preserve"> </w:t>
    </w:r>
    <w:r w:rsidRPr="00E96AE5">
      <w:rPr>
        <w:noProof/>
        <w:lang w:eastAsia="en-NZ"/>
      </w:rPr>
      <w:drawing>
        <wp:anchor distT="0" distB="0" distL="114300" distR="114300" simplePos="0" relativeHeight="251691008" behindDoc="0" locked="0" layoutInCell="1" allowOverlap="1" wp14:anchorId="3862F5C5" wp14:editId="477B5983">
          <wp:simplePos x="0" y="0"/>
          <wp:positionH relativeFrom="margin">
            <wp:posOffset>0</wp:posOffset>
          </wp:positionH>
          <wp:positionV relativeFrom="paragraph">
            <wp:posOffset>-23690</wp:posOffset>
          </wp:positionV>
          <wp:extent cx="371475" cy="371475"/>
          <wp:effectExtent l="0" t="0" r="9525" b="952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anchor>
      </w:drawing>
    </w:r>
  </w:p>
  <w:p w14:paraId="0BD0E8CE" w14:textId="77E142FC" w:rsidR="00401CDB" w:rsidRPr="004D17C2" w:rsidRDefault="00401CDB" w:rsidP="00E96AE5">
    <w:pPr>
      <w:pStyle w:val="Footer"/>
    </w:pPr>
    <w:r w:rsidRPr="00E96AE5">
      <w:t>INSTITUTE OF ENVIRONMENTAL SCIENCE AND RESEARCH LIMITED</w:t>
    </w:r>
    <w:r>
      <w:tab/>
      <w:t xml:space="preserve">Page </w:t>
    </w:r>
    <w:r>
      <w:fldChar w:fldCharType="begin"/>
    </w:r>
    <w:r>
      <w:instrText xml:space="preserve"> PAGE   \* MERGEFORMAT </w:instrText>
    </w:r>
    <w:r>
      <w:fldChar w:fldCharType="separate"/>
    </w:r>
    <w:r w:rsidR="00F8363A">
      <w:rPr>
        <w:noProof/>
      </w:rPr>
      <w:t>16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601ABD" w14:textId="77777777" w:rsidR="00401CDB" w:rsidRPr="00394A2F" w:rsidRDefault="00401CDB" w:rsidP="00394A2F">
    <w:pPr>
      <w:pStyle w:val="Footer"/>
    </w:pPr>
    <w:r w:rsidRPr="00394A2F">
      <w:rPr>
        <w:noProof/>
        <w:lang w:eastAsia="en-NZ"/>
      </w:rPr>
      <w:drawing>
        <wp:anchor distT="0" distB="0" distL="114300" distR="114300" simplePos="0" relativeHeight="251684864" behindDoc="0" locked="0" layoutInCell="1" allowOverlap="1" wp14:anchorId="6225D359" wp14:editId="6029F896">
          <wp:simplePos x="0" y="0"/>
          <wp:positionH relativeFrom="margin">
            <wp:posOffset>0</wp:posOffset>
          </wp:positionH>
          <wp:positionV relativeFrom="paragraph">
            <wp:posOffset>-23690</wp:posOffset>
          </wp:positionV>
          <wp:extent cx="371475" cy="371475"/>
          <wp:effectExtent l="0" t="0" r="9525" b="9525"/>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Footer_Image.png"/>
                  <pic:cNvPicPr/>
                </pic:nvPicPr>
                <pic:blipFill>
                  <a:blip r:embed="rId1">
                    <a:extLst>
                      <a:ext uri="{28A0092B-C50C-407E-A947-70E740481C1C}">
                        <a14:useLocalDpi xmlns:a14="http://schemas.microsoft.com/office/drawing/2010/main" val="0"/>
                      </a:ext>
                    </a:extLst>
                  </a:blip>
                  <a:stretch>
                    <a:fillRect/>
                  </a:stretch>
                </pic:blipFill>
                <pic:spPr>
                  <a:xfrm>
                    <a:off x="0" y="0"/>
                    <a:ext cx="371475" cy="371475"/>
                  </a:xfrm>
                  <a:prstGeom prst="rect">
                    <a:avLst/>
                  </a:prstGeom>
                </pic:spPr>
              </pic:pic>
            </a:graphicData>
          </a:graphic>
        </wp:anchor>
      </w:drawing>
    </w:r>
    <w:r>
      <w:fldChar w:fldCharType="begin"/>
    </w:r>
    <w:r>
      <w:instrText xml:space="preserve"> STYLEREF  Title  \* </w:instrText>
    </w:r>
    <w:r w:rsidRPr="00580201">
      <w:instrText xml:space="preserve">charformat </w:instrText>
    </w:r>
    <w:r>
      <w:fldChar w:fldCharType="separate"/>
    </w:r>
    <w:r w:rsidR="00F8363A">
      <w:rPr>
        <w:noProof/>
      </w:rPr>
      <w:t>Review of Remediation Standards for Clandestine Methamphetamine Laboratories: Risk Assessment recommendations for a New Zealand Standard</w:t>
    </w:r>
    <w:r>
      <w:rPr>
        <w:noProof/>
      </w:rPr>
      <w:fldChar w:fldCharType="end"/>
    </w:r>
  </w:p>
  <w:p w14:paraId="00EE8028" w14:textId="77777777" w:rsidR="00401CDB" w:rsidRPr="00394A2F" w:rsidRDefault="00401CDB" w:rsidP="00394A2F">
    <w:pPr>
      <w:pStyle w:val="Footer"/>
      <w:rPr>
        <w:b w:val="0"/>
      </w:rPr>
    </w:pPr>
    <w:r w:rsidRPr="00394A2F">
      <w:t>INSTITUTE OF ENVIRONMENTAL SCIENCE AND RESEARCH LIMITED</w:t>
    </w:r>
    <w:r w:rsidRPr="00394A2F">
      <w:tab/>
    </w:r>
    <w:r w:rsidRPr="00394A2F">
      <w:rPr>
        <w:b w:val="0"/>
      </w:rPr>
      <w:t xml:space="preserve">Page </w:t>
    </w:r>
    <w:sdt>
      <w:sdtPr>
        <w:rPr>
          <w:b w:val="0"/>
        </w:rPr>
        <w:id w:val="-1080061683"/>
        <w:docPartObj>
          <w:docPartGallery w:val="Page Numbers (Bottom of Page)"/>
          <w:docPartUnique/>
        </w:docPartObj>
      </w:sdtPr>
      <w:sdtEndPr/>
      <w:sdtContent>
        <w:r w:rsidRPr="00394A2F">
          <w:rPr>
            <w:b w:val="0"/>
          </w:rPr>
          <w:fldChar w:fldCharType="begin"/>
        </w:r>
        <w:r w:rsidRPr="00394A2F">
          <w:rPr>
            <w:b w:val="0"/>
          </w:rPr>
          <w:instrText xml:space="preserve"> PAGE   \* MERGEFORMAT </w:instrText>
        </w:r>
        <w:r w:rsidRPr="00394A2F">
          <w:rPr>
            <w:b w:val="0"/>
          </w:rPr>
          <w:fldChar w:fldCharType="separate"/>
        </w:r>
        <w:r w:rsidR="00F8363A">
          <w:rPr>
            <w:b w:val="0"/>
            <w:noProof/>
          </w:rPr>
          <w:t>48</w:t>
        </w:r>
        <w:r w:rsidRPr="00394A2F">
          <w:rPr>
            <w:b w:val="0"/>
          </w:rPr>
          <w:fldChar w:fldCharType="end"/>
        </w:r>
      </w:sdtContent>
    </w:sdt>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2C48F7" w14:textId="77777777" w:rsidR="00401CDB" w:rsidRPr="00394A2F" w:rsidRDefault="00401CDB" w:rsidP="00394A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7713E3" w14:textId="77777777" w:rsidR="00154F49" w:rsidRDefault="00154F49" w:rsidP="00942496">
      <w:pPr>
        <w:spacing w:after="0" w:line="240" w:lineRule="auto"/>
      </w:pPr>
      <w:r>
        <w:separator/>
      </w:r>
    </w:p>
  </w:footnote>
  <w:footnote w:type="continuationSeparator" w:id="0">
    <w:p w14:paraId="20CB79AA" w14:textId="77777777" w:rsidR="00154F49" w:rsidRDefault="00154F49" w:rsidP="00942496">
      <w:pPr>
        <w:spacing w:after="0" w:line="240" w:lineRule="auto"/>
      </w:pPr>
      <w:r>
        <w:continuationSeparator/>
      </w:r>
    </w:p>
  </w:footnote>
  <w:footnote w:id="1">
    <w:p w14:paraId="2046100A" w14:textId="77777777" w:rsidR="00401CDB" w:rsidRDefault="00401CDB" w:rsidP="004A49B0">
      <w:pPr>
        <w:pStyle w:val="FootnoteText"/>
      </w:pPr>
      <w:r>
        <w:rPr>
          <w:rStyle w:val="FootnoteReference"/>
        </w:rPr>
        <w:footnoteRef/>
      </w:r>
      <w:r>
        <w:t xml:space="preserve"> </w:t>
      </w:r>
      <w:r w:rsidRPr="00E945F2">
        <w:t>https://www.epa.gov/pesticide-science-and-assessing-pesticide-risks/standard-operating-procedures-residential-pesticide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4BCF3B" w14:textId="77777777" w:rsidR="00401CDB" w:rsidRDefault="00401CDB">
    <w:pPr>
      <w:pStyle w:val="Header"/>
      <w:rPr>
        <w:noProof/>
        <w:lang w:eastAsia="en-NZ"/>
      </w:rPr>
    </w:pPr>
    <w:r>
      <w:rPr>
        <w:noProof/>
        <w:lang w:eastAsia="en-NZ"/>
      </w:rPr>
      <w:drawing>
        <wp:anchor distT="0" distB="0" distL="114300" distR="114300" simplePos="0" relativeHeight="251672576" behindDoc="0" locked="0" layoutInCell="1" allowOverlap="1" wp14:anchorId="5B82B4AC" wp14:editId="405A05D3">
          <wp:simplePos x="0" y="0"/>
          <wp:positionH relativeFrom="column">
            <wp:posOffset>-906145</wp:posOffset>
          </wp:positionH>
          <wp:positionV relativeFrom="paragraph">
            <wp:posOffset>-435073</wp:posOffset>
          </wp:positionV>
          <wp:extent cx="2944495" cy="4157980"/>
          <wp:effectExtent l="0" t="0" r="825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4495" cy="4157980"/>
                  </a:xfrm>
                  <a:prstGeom prst="rect">
                    <a:avLst/>
                  </a:prstGeom>
                  <a:noFill/>
                </pic:spPr>
              </pic:pic>
            </a:graphicData>
          </a:graphic>
          <wp14:sizeRelH relativeFrom="page">
            <wp14:pctWidth>0</wp14:pctWidth>
          </wp14:sizeRelH>
          <wp14:sizeRelV relativeFrom="page">
            <wp14:pctHeight>0</wp14:pctHeight>
          </wp14:sizeRelV>
        </wp:anchor>
      </w:drawing>
    </w:r>
  </w:p>
  <w:p w14:paraId="0E59C4BB" w14:textId="77777777" w:rsidR="00401CDB" w:rsidRDefault="00401CDB">
    <w:pPr>
      <w:pStyle w:val="Header"/>
      <w:rPr>
        <w:noProof/>
        <w:lang w:eastAsia="en-NZ"/>
      </w:rPr>
    </w:pPr>
  </w:p>
  <w:p w14:paraId="24DCF98D" w14:textId="77777777" w:rsidR="00401CDB" w:rsidRDefault="00401CDB">
    <w:pPr>
      <w:pStyle w:val="Header"/>
    </w:pPr>
    <w:r>
      <w:rPr>
        <w:noProof/>
        <w:lang w:eastAsia="en-NZ"/>
      </w:rPr>
      <mc:AlternateContent>
        <mc:Choice Requires="wps">
          <w:drawing>
            <wp:anchor distT="0" distB="0" distL="114300" distR="114300" simplePos="0" relativeHeight="251674624" behindDoc="0" locked="0" layoutInCell="1" allowOverlap="1" wp14:anchorId="589E333D" wp14:editId="48207EDB">
              <wp:simplePos x="0" y="0"/>
              <wp:positionH relativeFrom="page">
                <wp:posOffset>914400</wp:posOffset>
              </wp:positionH>
              <wp:positionV relativeFrom="page">
                <wp:posOffset>4104640</wp:posOffset>
              </wp:positionV>
              <wp:extent cx="6220800" cy="0"/>
              <wp:effectExtent l="0" t="19050" r="27940" b="19050"/>
              <wp:wrapNone/>
              <wp:docPr id="22" name="Straight Connector 22"/>
              <wp:cNvGraphicFramePr/>
              <a:graphic xmlns:a="http://schemas.openxmlformats.org/drawingml/2006/main">
                <a:graphicData uri="http://schemas.microsoft.com/office/word/2010/wordprocessingShape">
                  <wps:wsp>
                    <wps:cNvCnPr/>
                    <wps:spPr>
                      <a:xfrm>
                        <a:off x="0" y="0"/>
                        <a:ext cx="6220800" cy="0"/>
                      </a:xfrm>
                      <a:prstGeom prst="line">
                        <a:avLst/>
                      </a:prstGeom>
                      <a:ln w="38100">
                        <a:solidFill>
                          <a:srgbClr val="0097DB"/>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67D9F2" id="Straight Connector 22" o:spid="_x0000_s1026" style="position:absolute;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1in,323.2pt" to="561.85pt,3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" strokecolor="#0097db" strokeweight="3pt">
              <v:stroke joinstyle="miter"/>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23D872" w14:textId="77777777" w:rsidR="00401CDB" w:rsidRDefault="00401CD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8A1D6" w14:textId="77777777" w:rsidR="00401CDB" w:rsidRDefault="00401CDB">
    <w:pPr>
      <w:pStyle w:val="Header"/>
    </w:pPr>
    <w:r>
      <w:rPr>
        <w:noProof/>
        <w:lang w:eastAsia="en-NZ"/>
      </w:rPr>
      <mc:AlternateContent>
        <mc:Choice Requires="wps">
          <w:drawing>
            <wp:anchor distT="360045" distB="360045" distL="114300" distR="114300" simplePos="0" relativeHeight="251664384" behindDoc="0" locked="0" layoutInCell="1" allowOverlap="1" wp14:anchorId="3A61A7AD" wp14:editId="4F6A7894">
              <wp:simplePos x="0" y="0"/>
              <wp:positionH relativeFrom="column">
                <wp:posOffset>0</wp:posOffset>
              </wp:positionH>
              <wp:positionV relativeFrom="page">
                <wp:posOffset>7493635</wp:posOffset>
              </wp:positionV>
              <wp:extent cx="5486400" cy="1983600"/>
              <wp:effectExtent l="0" t="0" r="0" b="0"/>
              <wp:wrapTopAndBottom/>
              <wp:docPr id="1" name="Freeform 1"/>
              <wp:cNvGraphicFramePr/>
              <a:graphic xmlns:a="http://schemas.openxmlformats.org/drawingml/2006/main">
                <a:graphicData uri="http://schemas.microsoft.com/office/word/2010/wordprocessingShape">
                  <wps:wsp>
                    <wps:cNvSpPr/>
                    <wps:spPr>
                      <a:xfrm>
                        <a:off x="0" y="0"/>
                        <a:ext cx="5486400" cy="1983600"/>
                      </a:xfrm>
                      <a:custGeom>
                        <a:avLst/>
                        <a:gdLst>
                          <a:gd name="connsiteX0" fmla="*/ 6439 w 5486400"/>
                          <a:gd name="connsiteY0" fmla="*/ 0 h 1983346"/>
                          <a:gd name="connsiteX1" fmla="*/ 5486400 w 5486400"/>
                          <a:gd name="connsiteY1" fmla="*/ 0 h 1983346"/>
                          <a:gd name="connsiteX2" fmla="*/ 5486400 w 5486400"/>
                          <a:gd name="connsiteY2" fmla="*/ 1654935 h 1983346"/>
                          <a:gd name="connsiteX3" fmla="*/ 5151549 w 5486400"/>
                          <a:gd name="connsiteY3" fmla="*/ 1983346 h 1983346"/>
                          <a:gd name="connsiteX4" fmla="*/ 0 w 5486400"/>
                          <a:gd name="connsiteY4" fmla="*/ 1976907 h 1983346"/>
                          <a:gd name="connsiteX5" fmla="*/ 6439 w 5486400"/>
                          <a:gd name="connsiteY5" fmla="*/ 0 h 1983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5486400" h="1983346">
                            <a:moveTo>
                              <a:pt x="6439" y="0"/>
                            </a:moveTo>
                            <a:lnTo>
                              <a:pt x="5486400" y="0"/>
                            </a:lnTo>
                            <a:lnTo>
                              <a:pt x="5486400" y="1654935"/>
                            </a:lnTo>
                            <a:lnTo>
                              <a:pt x="5151549" y="1983346"/>
                            </a:lnTo>
                            <a:lnTo>
                              <a:pt x="0" y="1976907"/>
                            </a:lnTo>
                            <a:cubicBezTo>
                              <a:pt x="2146" y="1324377"/>
                              <a:pt x="4293" y="671848"/>
                              <a:pt x="6439" y="0"/>
                            </a:cubicBezTo>
                            <a:close/>
                          </a:path>
                        </a:pathLst>
                      </a:cu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E14ABB9" w14:textId="77777777" w:rsidR="00401CDB" w:rsidRPr="00D01F03" w:rsidRDefault="00401CDB" w:rsidP="005B622C">
                          <w:pPr>
                            <w:pStyle w:val="NormalWeb"/>
                            <w:spacing w:before="113" w:beforeAutospacing="0" w:after="170" w:afterAutospacing="0" w:line="320" w:lineRule="exact"/>
                            <w:rPr>
                              <w:rFonts w:ascii="Arial" w:eastAsia="Calibri" w:hAnsi="Arial" w:cs="Arial"/>
                              <w:color w:val="000000"/>
                              <w:sz w:val="32"/>
                              <w:szCs w:val="32"/>
                              <w:lang w:val="en-US"/>
                            </w:rPr>
                          </w:pPr>
                          <w:r w:rsidRPr="00D01F03">
                            <w:rPr>
                              <w:rFonts w:ascii="Arial" w:eastAsia="Calibri" w:hAnsi="Arial" w:cs="Arial"/>
                              <w:color w:val="000000"/>
                              <w:sz w:val="32"/>
                              <w:szCs w:val="32"/>
                              <w:lang w:val="en-US"/>
                            </w:rPr>
                            <w:t>DISCLAIMER</w:t>
                          </w:r>
                        </w:p>
                        <w:p w14:paraId="4A0C90ED" w14:textId="77777777" w:rsidR="00401CDB" w:rsidRPr="00D01F03" w:rsidRDefault="00401CDB" w:rsidP="005B622C">
                          <w:pPr>
                            <w:spacing w:after="120" w:line="290" w:lineRule="exact"/>
                            <w:rPr>
                              <w:rFonts w:eastAsia="Calibri" w:cs="Arial"/>
                              <w:color w:val="000000"/>
                              <w:sz w:val="18"/>
                              <w:szCs w:val="18"/>
                              <w:lang w:val="en-US" w:eastAsia="en-NZ"/>
                            </w:rPr>
                          </w:pPr>
                          <w:r w:rsidRPr="00D01F03">
                            <w:rPr>
                              <w:rFonts w:eastAsia="Calibri" w:cs="Arial"/>
                              <w:color w:val="000000"/>
                              <w:sz w:val="18"/>
                              <w:szCs w:val="18"/>
                              <w:lang w:val="en-US" w:eastAsia="en-NZ"/>
                            </w:rPr>
                            <w:t>The Institute of Environmental Science and Research Limited (ESR) has used all reasonable endeavours to ensure that the information contained in this client report is accurate. However, ESR does not give any express or implied warranty as to the completeness of the information contained in this client report or that it will be suitable for any purposes other than those specifically contemplated during the Project or agreed by ESR and the Client.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61A7AD" id="Freeform 1" o:spid="_x0000_s1026" style="position:absolute;margin-left:0;margin-top:590.05pt;width:6in;height:156.2pt;z-index:251664384;visibility:visible;mso-wrap-style:square;mso-height-percent:0;mso-wrap-distance-left:9pt;mso-wrap-distance-top:28.35pt;mso-wrap-distance-right:9pt;mso-wrap-distance-bottom:28.35pt;mso-position-horizontal:absolute;mso-position-horizontal-relative:text;mso-position-vertical:absolute;mso-position-vertical-relative:page;mso-height-percent:0;mso-height-relative:margin;v-text-anchor:top" coordsize="5486400,198334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" adj="-11796480,,5400" path="m6439,l5486400,r,1654935l5151549,1983346,,1976907c2146,1324377,4293,671848,6439,xe" fillcolor="#d8d8d8 [2732]" stroked="f" strokeweight="1pt">
              <v:stroke joinstyle="miter"/>
              <v:formulas/>
              <v:path arrowok="t" o:connecttype="custom" o:connectlocs="6439,0;5486400,0;5486400,1655147;5151549,1983600;0,1977160;6439,0" o:connectangles="0,0,0,0,0,0" textboxrect="0,0,5486400,1983346"/>
              <v:textbox>
                <w:txbxContent>
                  <w:p w14:paraId="0E14ABB9" w14:textId="77777777" w:rsidR="00401CDB" w:rsidRPr="00D01F03" w:rsidRDefault="00401CDB" w:rsidP="005B622C">
                    <w:pPr>
                      <w:pStyle w:val="NormalWeb"/>
                      <w:spacing w:before="113" w:beforeAutospacing="0" w:after="170" w:afterAutospacing="0" w:line="320" w:lineRule="exact"/>
                      <w:rPr>
                        <w:rFonts w:ascii="Arial" w:eastAsia="Calibri" w:hAnsi="Arial" w:cs="Arial"/>
                        <w:color w:val="000000"/>
                        <w:sz w:val="32"/>
                        <w:szCs w:val="32"/>
                        <w:lang w:val="en-US"/>
                      </w:rPr>
                    </w:pPr>
                    <w:r w:rsidRPr="00D01F03">
                      <w:rPr>
                        <w:rFonts w:ascii="Arial" w:eastAsia="Calibri" w:hAnsi="Arial" w:cs="Arial"/>
                        <w:color w:val="000000"/>
                        <w:sz w:val="32"/>
                        <w:szCs w:val="32"/>
                        <w:lang w:val="en-US"/>
                      </w:rPr>
                      <w:t>DISCLAIMER</w:t>
                    </w:r>
                  </w:p>
                  <w:p w14:paraId="4A0C90ED" w14:textId="77777777" w:rsidR="00401CDB" w:rsidRPr="00D01F03" w:rsidRDefault="00401CDB" w:rsidP="005B622C">
                    <w:pPr>
                      <w:spacing w:after="120" w:line="290" w:lineRule="exact"/>
                      <w:rPr>
                        <w:rFonts w:eastAsia="Calibri" w:cs="Arial"/>
                        <w:color w:val="000000"/>
                        <w:sz w:val="18"/>
                        <w:szCs w:val="18"/>
                        <w:lang w:val="en-US" w:eastAsia="en-NZ"/>
                      </w:rPr>
                    </w:pPr>
                    <w:r w:rsidRPr="00D01F03">
                      <w:rPr>
                        <w:rFonts w:eastAsia="Calibri" w:cs="Arial"/>
                        <w:color w:val="000000"/>
                        <w:sz w:val="18"/>
                        <w:szCs w:val="18"/>
                        <w:lang w:val="en-US" w:eastAsia="en-NZ"/>
                      </w:rPr>
                      <w:t>The Institute of Environmental Science and Research Limited (ESR) has used all reasonable endeavours to ensure that the information contained in this client report is accurate. However, ESR does not give any express or implied warranty as to the completeness of the information contained in this client report or that it will be suitable for any purposes other than those specifically contemplated during the Project or agreed by ESR and the Client.</w:t>
                    </w:r>
                  </w:p>
                </w:txbxContent>
              </v:textbox>
              <w10:wrap type="topAndBottom"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DF9A9" w14:textId="77777777" w:rsidR="00401CDB" w:rsidRDefault="00401CDB">
    <w:pPr>
      <w:pStyle w:val="Header"/>
    </w:pPr>
    <w:r>
      <w:rPr>
        <w:noProof/>
        <w:lang w:eastAsia="en-NZ"/>
      </w:rPr>
      <w:drawing>
        <wp:anchor distT="0" distB="0" distL="114300" distR="114300" simplePos="0" relativeHeight="251670528" behindDoc="1" locked="0" layoutInCell="1" allowOverlap="1" wp14:anchorId="45328AFA" wp14:editId="3F0A75A8">
          <wp:simplePos x="0" y="0"/>
          <wp:positionH relativeFrom="page">
            <wp:posOffset>0</wp:posOffset>
          </wp:positionH>
          <wp:positionV relativeFrom="page">
            <wp:posOffset>0</wp:posOffset>
          </wp:positionV>
          <wp:extent cx="7542000" cy="10677600"/>
          <wp:effectExtent l="0" t="0" r="190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_6599 ESR_Report Template24.png"/>
                  <pic:cNvPicPr/>
                </pic:nvPicPr>
                <pic:blipFill>
                  <a:blip r:embed="rId1">
                    <a:extLst>
                      <a:ext uri="{28A0092B-C50C-407E-A947-70E740481C1C}">
                        <a14:useLocalDpi xmlns:a14="http://schemas.microsoft.com/office/drawing/2010/main" val="0"/>
                      </a:ext>
                    </a:extLst>
                  </a:blip>
                  <a:stretch>
                    <a:fillRect/>
                  </a:stretch>
                </pic:blipFill>
                <pic:spPr>
                  <a:xfrm>
                    <a:off x="0" y="0"/>
                    <a:ext cx="7542000" cy="1067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6D36A83"/>
    <w:multiLevelType w:val="hybridMultilevel"/>
    <w:tmpl w:val="3D9DE86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83"/>
    <w:multiLevelType w:val="singleLevel"/>
    <w:tmpl w:val="E14CD8E4"/>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FFFFFF88"/>
    <w:multiLevelType w:val="singleLevel"/>
    <w:tmpl w:val="339C53C0"/>
    <w:lvl w:ilvl="0">
      <w:start w:val="1"/>
      <w:numFmt w:val="decimal"/>
      <w:pStyle w:val="ListNumber"/>
      <w:lvlText w:val="%1."/>
      <w:lvlJc w:val="left"/>
      <w:pPr>
        <w:tabs>
          <w:tab w:val="num" w:pos="360"/>
        </w:tabs>
        <w:ind w:left="360" w:hanging="360"/>
      </w:pPr>
    </w:lvl>
  </w:abstractNum>
  <w:abstractNum w:abstractNumId="3" w15:restartNumberingAfterBreak="0">
    <w:nsid w:val="FFFFFF89"/>
    <w:multiLevelType w:val="singleLevel"/>
    <w:tmpl w:val="3C4ECEB8"/>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4846359"/>
    <w:multiLevelType w:val="multilevel"/>
    <w:tmpl w:val="3B4AFF70"/>
    <w:styleLink w:val="Style5"/>
    <w:lvl w:ilvl="0">
      <w:start w:val="1"/>
      <w:numFmt w:val="decimal"/>
      <w:lvlText w:val="%1.0"/>
      <w:lvlJc w:val="left"/>
      <w:pPr>
        <w:ind w:left="360" w:hanging="360"/>
      </w:pPr>
      <w:rPr>
        <w:rFonts w:ascii="Gill Sans MT" w:hAnsi="Gill Sans MT" w:hint="default"/>
        <w:b/>
        <w:i w:val="0"/>
        <w:color w:val="385623" w:themeColor="accent6" w:themeShade="80"/>
        <w:sz w:val="28"/>
      </w:rPr>
    </w:lvl>
    <w:lvl w:ilvl="1">
      <w:start w:val="1"/>
      <w:numFmt w:val="decimal"/>
      <w:lvlText w:val="%1.%2"/>
      <w:lvlJc w:val="left"/>
      <w:pPr>
        <w:ind w:left="576" w:hanging="576"/>
      </w:pPr>
      <w:rPr>
        <w:rFonts w:ascii="Gill Sans MT" w:hAnsi="Gill Sans MT" w:hint="default"/>
        <w:b/>
        <w:i w:val="0"/>
        <w:color w:val="1F4E79" w:themeColor="accent1" w:themeShade="80"/>
        <w:sz w:val="26"/>
      </w:rPr>
    </w:lvl>
    <w:lvl w:ilvl="2">
      <w:start w:val="1"/>
      <w:numFmt w:val="decimal"/>
      <w:lvlText w:val="%1.%2.%3"/>
      <w:lvlJc w:val="left"/>
      <w:pPr>
        <w:ind w:left="720" w:hanging="720"/>
      </w:pPr>
      <w:rPr>
        <w:rFonts w:ascii="Gill Sans MT" w:hAnsi="Gill Sans MT" w:hint="default"/>
        <w:b/>
        <w:i w:val="0"/>
        <w:color w:val="1F4E79" w:themeColor="accent1" w:themeShade="80"/>
        <w:sz w:val="24"/>
      </w:rPr>
    </w:lvl>
    <w:lvl w:ilvl="3">
      <w:start w:val="1"/>
      <w:numFmt w:val="decimal"/>
      <w:lvlText w:val="%1.%2.%3.%4"/>
      <w:lvlJc w:val="left"/>
      <w:pPr>
        <w:ind w:left="1314" w:hanging="864"/>
      </w:pPr>
      <w:rPr>
        <w:rFonts w:ascii="Gill Sans MT" w:hAnsi="Gill Sans MT" w:hint="default"/>
        <w:b/>
        <w:i/>
        <w:color w:val="1F4E79" w:themeColor="accent1" w:themeShade="80"/>
        <w:sz w:val="24"/>
        <w:u w:val="none"/>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05900A77"/>
    <w:multiLevelType w:val="hybridMultilevel"/>
    <w:tmpl w:val="70C80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7B5B84"/>
    <w:multiLevelType w:val="multilevel"/>
    <w:tmpl w:val="32AC7FF0"/>
    <w:styleLink w:val="BulletedList"/>
    <w:lvl w:ilvl="0">
      <w:start w:val="1"/>
      <w:numFmt w:val="bullet"/>
      <w:pStyle w:val="ESRBulletedList"/>
      <w:lvlText w:val=""/>
      <w:lvlJc w:val="left"/>
      <w:pPr>
        <w:ind w:left="357" w:hanging="357"/>
      </w:pPr>
      <w:rPr>
        <w:rFonts w:ascii="Symbol" w:hAnsi="Symbol" w:hint="default"/>
        <w:sz w:val="22"/>
      </w:rPr>
    </w:lvl>
    <w:lvl w:ilvl="1">
      <w:start w:val="1"/>
      <w:numFmt w:val="bullet"/>
      <w:lvlText w:val="–"/>
      <w:lvlJc w:val="left"/>
      <w:pPr>
        <w:tabs>
          <w:tab w:val="num" w:pos="1072"/>
        </w:tabs>
        <w:ind w:left="714" w:hanging="357"/>
      </w:pPr>
      <w:rPr>
        <w:rFonts w:ascii="Arial" w:hAnsi="Arial" w:hint="default"/>
        <w:sz w:val="22"/>
      </w:rPr>
    </w:lvl>
    <w:lvl w:ilvl="2">
      <w:start w:val="1"/>
      <w:numFmt w:val="bullet"/>
      <w:lvlText w:val=""/>
      <w:lvlJc w:val="left"/>
      <w:pPr>
        <w:tabs>
          <w:tab w:val="num" w:pos="1428"/>
        </w:tabs>
        <w:ind w:left="1071" w:hanging="357"/>
      </w:pPr>
      <w:rPr>
        <w:rFonts w:ascii="Wingdings" w:hAnsi="Wingdings" w:hint="default"/>
      </w:rPr>
    </w:lvl>
    <w:lvl w:ilvl="3">
      <w:start w:val="1"/>
      <w:numFmt w:val="bullet"/>
      <w:lvlText w:val=""/>
      <w:lvlJc w:val="left"/>
      <w:pPr>
        <w:tabs>
          <w:tab w:val="num" w:pos="1785"/>
        </w:tabs>
        <w:ind w:left="1428" w:hanging="357"/>
      </w:pPr>
      <w:rPr>
        <w:rFonts w:ascii="Symbol" w:hAnsi="Symbol" w:hint="default"/>
      </w:rPr>
    </w:lvl>
    <w:lvl w:ilvl="4">
      <w:start w:val="1"/>
      <w:numFmt w:val="bullet"/>
      <w:lvlText w:val="o"/>
      <w:lvlJc w:val="left"/>
      <w:pPr>
        <w:tabs>
          <w:tab w:val="num" w:pos="2142"/>
        </w:tabs>
        <w:ind w:left="1785" w:hanging="357"/>
      </w:pPr>
      <w:rPr>
        <w:rFonts w:ascii="Courier New" w:hAnsi="Courier New" w:cs="Courier New" w:hint="default"/>
      </w:rPr>
    </w:lvl>
    <w:lvl w:ilvl="5">
      <w:start w:val="1"/>
      <w:numFmt w:val="bullet"/>
      <w:lvlText w:val=""/>
      <w:lvlJc w:val="left"/>
      <w:pPr>
        <w:tabs>
          <w:tab w:val="num" w:pos="2499"/>
        </w:tabs>
        <w:ind w:left="2142" w:hanging="357"/>
      </w:pPr>
      <w:rPr>
        <w:rFonts w:ascii="Wingdings" w:hAnsi="Wingdings" w:hint="default"/>
      </w:rPr>
    </w:lvl>
    <w:lvl w:ilvl="6">
      <w:start w:val="1"/>
      <w:numFmt w:val="bullet"/>
      <w:lvlText w:val=""/>
      <w:lvlJc w:val="left"/>
      <w:pPr>
        <w:tabs>
          <w:tab w:val="num" w:pos="2856"/>
        </w:tabs>
        <w:ind w:left="2499" w:hanging="357"/>
      </w:pPr>
      <w:rPr>
        <w:rFonts w:ascii="Symbol" w:hAnsi="Symbol" w:hint="default"/>
      </w:rPr>
    </w:lvl>
    <w:lvl w:ilvl="7">
      <w:start w:val="1"/>
      <w:numFmt w:val="bullet"/>
      <w:lvlText w:val="o"/>
      <w:lvlJc w:val="left"/>
      <w:pPr>
        <w:tabs>
          <w:tab w:val="num" w:pos="3213"/>
        </w:tabs>
        <w:ind w:left="2856" w:hanging="357"/>
      </w:pPr>
      <w:rPr>
        <w:rFonts w:ascii="Courier New" w:hAnsi="Courier New" w:cs="Courier New" w:hint="default"/>
      </w:rPr>
    </w:lvl>
    <w:lvl w:ilvl="8">
      <w:start w:val="1"/>
      <w:numFmt w:val="bullet"/>
      <w:lvlText w:val=""/>
      <w:lvlJc w:val="left"/>
      <w:pPr>
        <w:tabs>
          <w:tab w:val="num" w:pos="3570"/>
        </w:tabs>
        <w:ind w:left="3213" w:hanging="357"/>
      </w:pPr>
      <w:rPr>
        <w:rFonts w:ascii="Wingdings" w:hAnsi="Wingdings" w:hint="default"/>
      </w:rPr>
    </w:lvl>
  </w:abstractNum>
  <w:abstractNum w:abstractNumId="7" w15:restartNumberingAfterBreak="0">
    <w:nsid w:val="13CE72BC"/>
    <w:multiLevelType w:val="hybridMultilevel"/>
    <w:tmpl w:val="6CBA8E40"/>
    <w:lvl w:ilvl="0" w:tplc="A5C28C7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7DA4704"/>
    <w:multiLevelType w:val="hybridMultilevel"/>
    <w:tmpl w:val="3D5A08C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BFE1A3E"/>
    <w:multiLevelType w:val="multilevel"/>
    <w:tmpl w:val="A81A8CF4"/>
    <w:lvl w:ilvl="0">
      <w:start w:val="1"/>
      <w:numFmt w:val="upperLetter"/>
      <w:pStyle w:val="AppendixHeading1"/>
      <w:suff w:val="space"/>
      <w:lvlText w:val="APPENDIX %1:"/>
      <w:lvlJc w:val="left"/>
      <w:pPr>
        <w:ind w:left="357" w:hanging="357"/>
      </w:pPr>
      <w:rPr>
        <w:rFonts w:hint="default"/>
      </w:rPr>
    </w:lvl>
    <w:lvl w:ilvl="1">
      <w:start w:val="1"/>
      <w:numFmt w:val="decimal"/>
      <w:pStyle w:val="AppendixHeading2"/>
      <w:lvlText w:val="%1.%2"/>
      <w:lvlJc w:val="left"/>
      <w:pPr>
        <w:ind w:left="3261" w:hanging="567"/>
      </w:pPr>
      <w:rPr>
        <w:rFonts w:hint="default"/>
      </w:rPr>
    </w:lvl>
    <w:lvl w:ilvl="2">
      <w:start w:val="1"/>
      <w:numFmt w:val="decimal"/>
      <w:lvlRestart w:val="1"/>
      <w:pStyle w:val="AppendixHeading3"/>
      <w:lvlText w:val="%1.%2.%3"/>
      <w:lvlJc w:val="left"/>
      <w:pPr>
        <w:ind w:left="357" w:hanging="357"/>
      </w:pPr>
      <w:rPr>
        <w:rFonts w:ascii="Arial" w:hAnsi="Arial" w:hint="default"/>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0" w15:restartNumberingAfterBreak="0">
    <w:nsid w:val="1F2B79CC"/>
    <w:multiLevelType w:val="multilevel"/>
    <w:tmpl w:val="30F48E92"/>
    <w:numStyleLink w:val="Headings"/>
  </w:abstractNum>
  <w:abstractNum w:abstractNumId="11" w15:restartNumberingAfterBreak="0">
    <w:nsid w:val="1F5D7634"/>
    <w:multiLevelType w:val="hybridMultilevel"/>
    <w:tmpl w:val="AD645F5C"/>
    <w:lvl w:ilvl="0" w:tplc="0900C80A">
      <w:start w:val="1"/>
      <w:numFmt w:val="decimal"/>
      <w:pStyle w:val="ESRReferencesNumbering"/>
      <w:lvlText w:val="%1."/>
      <w:lvlJc w:val="left"/>
      <w:pPr>
        <w:ind w:left="652" w:hanging="652"/>
      </w:pPr>
      <w:rPr>
        <w:rFonts w:hint="default"/>
      </w:r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2" w15:restartNumberingAfterBreak="0">
    <w:nsid w:val="21C71704"/>
    <w:multiLevelType w:val="hybridMultilevel"/>
    <w:tmpl w:val="0F769672"/>
    <w:lvl w:ilvl="0" w:tplc="415E02C8">
      <w:start w:val="5"/>
      <w:numFmt w:val="bullet"/>
      <w:lvlText w:val=""/>
      <w:lvlJc w:val="left"/>
      <w:pPr>
        <w:ind w:left="720" w:hanging="360"/>
      </w:pPr>
      <w:rPr>
        <w:rFonts w:ascii="Symbol" w:eastAsiaTheme="minorEastAsia"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F81C01"/>
    <w:multiLevelType w:val="multilevel"/>
    <w:tmpl w:val="30F48E92"/>
    <w:styleLink w:val="Headings"/>
    <w:lvl w:ilvl="0">
      <w:start w:val="1"/>
      <w:numFmt w:val="decimal"/>
      <w:pStyle w:val="Heading1"/>
      <w:lvlText w:val="%1."/>
      <w:lvlJc w:val="left"/>
      <w:pPr>
        <w:ind w:left="737" w:hanging="737"/>
      </w:pPr>
      <w:rPr>
        <w:rFonts w:ascii="Arial" w:hAnsi="Arial" w:hint="default"/>
        <w:b w:val="0"/>
        <w:i w:val="0"/>
        <w:color w:val="0097DB"/>
        <w:sz w:val="44"/>
        <w:u w:val="none" w:color="0097DB"/>
      </w:rPr>
    </w:lvl>
    <w:lvl w:ilvl="1">
      <w:start w:val="1"/>
      <w:numFmt w:val="decimal"/>
      <w:pStyle w:val="Heading2"/>
      <w:lvlText w:val="%1.%2"/>
      <w:lvlJc w:val="left"/>
      <w:pPr>
        <w:tabs>
          <w:tab w:val="num" w:pos="737"/>
        </w:tabs>
        <w:ind w:left="737" w:hanging="737"/>
      </w:pPr>
      <w:rPr>
        <w:rFonts w:ascii="Arial Bold" w:hAnsi="Arial Bold" w:hint="default"/>
        <w:b/>
        <w:i w:val="0"/>
        <w:sz w:val="22"/>
      </w:rPr>
    </w:lvl>
    <w:lvl w:ilvl="2">
      <w:start w:val="1"/>
      <w:numFmt w:val="decimal"/>
      <w:pStyle w:val="Heading3"/>
      <w:lvlText w:val="%1.%2.%3"/>
      <w:lvlJc w:val="left"/>
      <w:pPr>
        <w:tabs>
          <w:tab w:val="num" w:pos="737"/>
        </w:tabs>
        <w:ind w:left="737" w:hanging="737"/>
      </w:pPr>
      <w:rPr>
        <w:rFonts w:ascii="Arial Bold" w:hAnsi="Arial Bold" w:hint="default"/>
        <w:b/>
        <w:i w:val="0"/>
        <w:color w:val="auto"/>
        <w:sz w:val="22"/>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4D52CE"/>
    <w:multiLevelType w:val="multilevel"/>
    <w:tmpl w:val="29A8686E"/>
    <w:styleLink w:val="NumberedList"/>
    <w:lvl w:ilvl="0">
      <w:start w:val="1"/>
      <w:numFmt w:val="decimal"/>
      <w:pStyle w:val="ESRNumberedList"/>
      <w:lvlText w:val="%1."/>
      <w:lvlJc w:val="left"/>
      <w:pPr>
        <w:ind w:left="357" w:hanging="357"/>
      </w:pPr>
      <w:rPr>
        <w:rFonts w:ascii="Arial" w:hAnsi="Arial" w:hint="default"/>
        <w:b w:val="0"/>
        <w:i w:val="0"/>
        <w:color w:val="auto"/>
        <w:sz w:val="22"/>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5" w15:restartNumberingAfterBreak="0">
    <w:nsid w:val="2DF8438E"/>
    <w:multiLevelType w:val="multilevel"/>
    <w:tmpl w:val="D22A0B9C"/>
    <w:styleLink w:val="LPCBullets"/>
    <w:lvl w:ilvl="0">
      <w:start w:val="1"/>
      <w:numFmt w:val="bullet"/>
      <w:lvlText w:val="•"/>
      <w:lvlJc w:val="left"/>
      <w:pPr>
        <w:ind w:left="992" w:hanging="425"/>
      </w:pPr>
      <w:rPr>
        <w:rFonts w:ascii="Arial" w:hAnsi="Arial" w:hint="default"/>
        <w:b w:val="0"/>
        <w:i w:val="0"/>
        <w:color w:val="auto"/>
        <w:sz w:val="20"/>
      </w:rPr>
    </w:lvl>
    <w:lvl w:ilvl="1">
      <w:start w:val="1"/>
      <w:numFmt w:val="bullet"/>
      <w:pStyle w:val="ListBullet2"/>
      <w:lvlText w:val="-"/>
      <w:lvlJc w:val="left"/>
      <w:pPr>
        <w:ind w:left="1417" w:hanging="425"/>
      </w:pPr>
      <w:rPr>
        <w:rFonts w:ascii="Arial" w:hAnsi="Arial" w:hint="default"/>
        <w:color w:val="auto"/>
      </w:rPr>
    </w:lvl>
    <w:lvl w:ilvl="2">
      <w:start w:val="1"/>
      <w:numFmt w:val="lowerRoman"/>
      <w:lvlText w:val="%3)"/>
      <w:lvlJc w:val="left"/>
      <w:pPr>
        <w:tabs>
          <w:tab w:val="num" w:pos="1559"/>
        </w:tabs>
        <w:ind w:left="1842" w:hanging="425"/>
      </w:pPr>
      <w:rPr>
        <w:rFonts w:hint="default"/>
      </w:rPr>
    </w:lvl>
    <w:lvl w:ilvl="3">
      <w:start w:val="1"/>
      <w:numFmt w:val="decimal"/>
      <w:lvlText w:val="(%4)"/>
      <w:lvlJc w:val="left"/>
      <w:pPr>
        <w:tabs>
          <w:tab w:val="num" w:pos="1984"/>
        </w:tabs>
        <w:ind w:left="2267" w:hanging="425"/>
      </w:pPr>
      <w:rPr>
        <w:rFonts w:hint="default"/>
      </w:rPr>
    </w:lvl>
    <w:lvl w:ilvl="4">
      <w:start w:val="1"/>
      <w:numFmt w:val="lowerLetter"/>
      <w:lvlText w:val="(%5)"/>
      <w:lvlJc w:val="left"/>
      <w:pPr>
        <w:tabs>
          <w:tab w:val="num" w:pos="2409"/>
        </w:tabs>
        <w:ind w:left="2692" w:hanging="425"/>
      </w:pPr>
      <w:rPr>
        <w:rFonts w:hint="default"/>
      </w:rPr>
    </w:lvl>
    <w:lvl w:ilvl="5">
      <w:start w:val="1"/>
      <w:numFmt w:val="lowerRoman"/>
      <w:lvlText w:val="(%6)"/>
      <w:lvlJc w:val="left"/>
      <w:pPr>
        <w:tabs>
          <w:tab w:val="num" w:pos="2834"/>
        </w:tabs>
        <w:ind w:left="3117" w:hanging="425"/>
      </w:pPr>
      <w:rPr>
        <w:rFonts w:hint="default"/>
      </w:rPr>
    </w:lvl>
    <w:lvl w:ilvl="6">
      <w:start w:val="1"/>
      <w:numFmt w:val="decimal"/>
      <w:lvlText w:val="%7."/>
      <w:lvlJc w:val="left"/>
      <w:pPr>
        <w:tabs>
          <w:tab w:val="num" w:pos="3259"/>
        </w:tabs>
        <w:ind w:left="3542" w:hanging="425"/>
      </w:pPr>
      <w:rPr>
        <w:rFonts w:hint="default"/>
      </w:rPr>
    </w:lvl>
    <w:lvl w:ilvl="7">
      <w:start w:val="1"/>
      <w:numFmt w:val="lowerLetter"/>
      <w:lvlText w:val="%8."/>
      <w:lvlJc w:val="left"/>
      <w:pPr>
        <w:tabs>
          <w:tab w:val="num" w:pos="3684"/>
        </w:tabs>
        <w:ind w:left="3967" w:hanging="425"/>
      </w:pPr>
      <w:rPr>
        <w:rFonts w:hint="default"/>
      </w:rPr>
    </w:lvl>
    <w:lvl w:ilvl="8">
      <w:start w:val="1"/>
      <w:numFmt w:val="lowerRoman"/>
      <w:lvlText w:val="%9."/>
      <w:lvlJc w:val="left"/>
      <w:pPr>
        <w:tabs>
          <w:tab w:val="num" w:pos="4109"/>
        </w:tabs>
        <w:ind w:left="4392" w:hanging="425"/>
      </w:pPr>
      <w:rPr>
        <w:rFonts w:hint="default"/>
      </w:rPr>
    </w:lvl>
  </w:abstractNum>
  <w:abstractNum w:abstractNumId="16" w15:restartNumberingAfterBreak="0">
    <w:nsid w:val="3A7B4D3D"/>
    <w:multiLevelType w:val="multilevel"/>
    <w:tmpl w:val="1432202A"/>
    <w:styleLink w:val="ESRListHeadings"/>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1.%2.%3"/>
      <w:lvlJc w:val="left"/>
      <w:pPr>
        <w:ind w:left="357" w:hanging="357"/>
      </w:pPr>
      <w:rPr>
        <w:rFonts w:ascii="Arial" w:hAnsi="Arial" w:hint="default"/>
        <w:sz w:val="22"/>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7" w15:restartNumberingAfterBreak="0">
    <w:nsid w:val="3C0F4E1C"/>
    <w:multiLevelType w:val="multilevel"/>
    <w:tmpl w:val="484CF180"/>
    <w:styleLink w:val="ESRHeading1B"/>
    <w:lvl w:ilvl="0">
      <w:start w:val="1"/>
      <w:numFmt w:val="decimal"/>
      <w:lvlText w:val="%1"/>
      <w:lvlJc w:val="left"/>
      <w:pPr>
        <w:ind w:left="432" w:hanging="432"/>
      </w:pPr>
      <w:rPr>
        <w:rFonts w:ascii="Arial" w:hAnsi="Arial" w:hint="default"/>
        <w:b/>
        <w:sz w:val="22"/>
      </w:rPr>
    </w:lvl>
    <w:lvl w:ilvl="1">
      <w:start w:val="1"/>
      <w:numFmt w:val="decimal"/>
      <w:lvlText w:val="%1.%2"/>
      <w:lvlJc w:val="left"/>
      <w:pPr>
        <w:ind w:left="576" w:hanging="576"/>
      </w:pPr>
      <w:rPr>
        <w:rFonts w:hint="default"/>
      </w:rPr>
    </w:lvl>
    <w:lvl w:ilvl="2">
      <w:start w:val="1"/>
      <w:numFmt w:val="decimal"/>
      <w:suff w:val="space"/>
      <w:lvlText w:val="%1.%2.%3"/>
      <w:lvlJc w:val="left"/>
      <w:pPr>
        <w:ind w:left="357" w:hanging="357"/>
      </w:pPr>
      <w:rPr>
        <w:rFonts w:ascii="Arial" w:hAnsi="Arial" w:hint="default"/>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F816E2A"/>
    <w:multiLevelType w:val="hybridMultilevel"/>
    <w:tmpl w:val="0FD0FB04"/>
    <w:lvl w:ilvl="0" w:tplc="243202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54E7914"/>
    <w:multiLevelType w:val="multilevel"/>
    <w:tmpl w:val="E814D506"/>
    <w:styleLink w:val="LPCHeadings"/>
    <w:lvl w:ilvl="0">
      <w:start w:val="1"/>
      <w:numFmt w:val="decimal"/>
      <w:lvlText w:val="%1.0"/>
      <w:lvlJc w:val="left"/>
      <w:pPr>
        <w:ind w:left="709" w:hanging="709"/>
      </w:pPr>
      <w:rPr>
        <w:rFonts w:ascii="Arial" w:hAnsi="Arial" w:hint="default"/>
        <w:b/>
        <w:i w:val="0"/>
        <w:color w:val="005568"/>
        <w:sz w:val="32"/>
      </w:rPr>
    </w:lvl>
    <w:lvl w:ilvl="1">
      <w:start w:val="1"/>
      <w:numFmt w:val="decimal"/>
      <w:lvlText w:val="%1.%2"/>
      <w:lvlJc w:val="left"/>
      <w:pPr>
        <w:ind w:left="709" w:hanging="709"/>
      </w:pPr>
      <w:rPr>
        <w:rFonts w:ascii="Arial" w:hAnsi="Arial" w:hint="default"/>
        <w:b/>
        <w:color w:val="auto"/>
        <w:sz w:val="24"/>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0" w15:restartNumberingAfterBreak="0">
    <w:nsid w:val="55557702"/>
    <w:multiLevelType w:val="hybridMultilevel"/>
    <w:tmpl w:val="93B29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DC5457"/>
    <w:multiLevelType w:val="multilevel"/>
    <w:tmpl w:val="0C346486"/>
    <w:styleLink w:val="AppendixHeading"/>
    <w:lvl w:ilvl="0">
      <w:start w:val="1"/>
      <w:numFmt w:val="upperLetter"/>
      <w:lvlText w:val="Appendix %1:"/>
      <w:lvlJc w:val="left"/>
      <w:pPr>
        <w:ind w:left="2268" w:hanging="2268"/>
      </w:pPr>
      <w:rPr>
        <w:rFonts w:ascii="Arial" w:hAnsi="Arial" w:hint="default"/>
        <w:b/>
        <w:i w:val="0"/>
        <w:sz w:val="3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1571C9F"/>
    <w:multiLevelType w:val="multilevel"/>
    <w:tmpl w:val="7EEC966C"/>
    <w:lvl w:ilvl="0">
      <w:start w:val="1"/>
      <w:numFmt w:val="decimal"/>
      <w:suff w:val="space"/>
      <w:lvlText w:val="%1"/>
      <w:lvlJc w:val="left"/>
      <w:pPr>
        <w:ind w:left="357" w:hanging="357"/>
      </w:pPr>
      <w:rPr>
        <w:rFonts w:hint="default"/>
      </w:rPr>
    </w:lvl>
    <w:lvl w:ilvl="1">
      <w:start w:val="1"/>
      <w:numFmt w:val="decimal"/>
      <w:suff w:val="space"/>
      <w:lvlText w:val="%1.%2"/>
      <w:lvlJc w:val="left"/>
      <w:pPr>
        <w:ind w:left="357" w:hanging="357"/>
      </w:pPr>
      <w:rPr>
        <w:rFonts w:hint="default"/>
      </w:rPr>
    </w:lvl>
    <w:lvl w:ilvl="2">
      <w:start w:val="1"/>
      <w:numFmt w:val="decimal"/>
      <w:suff w:val="space"/>
      <w:lvlText w:val="%3.%2.%1"/>
      <w:lvlJc w:val="left"/>
      <w:pPr>
        <w:ind w:left="357" w:hanging="357"/>
      </w:pPr>
      <w:rPr>
        <w:rFonts w:hint="default"/>
      </w:rPr>
    </w:lvl>
    <w:lvl w:ilvl="3">
      <w:start w:val="1"/>
      <w:numFmt w:val="decimal"/>
      <w:pStyle w:val="Heading4"/>
      <w:lvlText w:val="%1.%2.%3.%4"/>
      <w:lvlJc w:val="left"/>
      <w:pPr>
        <w:ind w:left="357" w:hanging="357"/>
      </w:pPr>
      <w:rPr>
        <w:rFonts w:hint="default"/>
      </w:rPr>
    </w:lvl>
    <w:lvl w:ilvl="4">
      <w:start w:val="1"/>
      <w:numFmt w:val="decimal"/>
      <w:pStyle w:val="Heading5"/>
      <w:lvlText w:val="%1.%2.%3.%4.%5"/>
      <w:lvlJc w:val="left"/>
      <w:pPr>
        <w:ind w:left="357" w:hanging="357"/>
      </w:pPr>
      <w:rPr>
        <w:rFonts w:hint="default"/>
      </w:rPr>
    </w:lvl>
    <w:lvl w:ilvl="5">
      <w:start w:val="1"/>
      <w:numFmt w:val="decimal"/>
      <w:pStyle w:val="Heading6"/>
      <w:lvlText w:val="%1.%2.%3.%4.%5.%6"/>
      <w:lvlJc w:val="left"/>
      <w:pPr>
        <w:ind w:left="357" w:hanging="357"/>
      </w:pPr>
      <w:rPr>
        <w:rFonts w:hint="default"/>
      </w:rPr>
    </w:lvl>
    <w:lvl w:ilvl="6">
      <w:start w:val="1"/>
      <w:numFmt w:val="decimal"/>
      <w:pStyle w:val="Heading7"/>
      <w:lvlText w:val="%1.%2.%3.%4.%5.%6.%7"/>
      <w:lvlJc w:val="left"/>
      <w:pPr>
        <w:ind w:left="357" w:hanging="357"/>
      </w:pPr>
      <w:rPr>
        <w:rFonts w:hint="default"/>
      </w:rPr>
    </w:lvl>
    <w:lvl w:ilvl="7">
      <w:start w:val="1"/>
      <w:numFmt w:val="decimal"/>
      <w:pStyle w:val="Heading8"/>
      <w:lvlText w:val="%1.%2.%3.%4.%5.%6.%7.%8"/>
      <w:lvlJc w:val="left"/>
      <w:pPr>
        <w:ind w:left="357" w:hanging="357"/>
      </w:pPr>
      <w:rPr>
        <w:rFonts w:hint="default"/>
      </w:rPr>
    </w:lvl>
    <w:lvl w:ilvl="8">
      <w:start w:val="1"/>
      <w:numFmt w:val="decimal"/>
      <w:pStyle w:val="Heading9"/>
      <w:lvlText w:val="%1.%2.%3.%4.%5.%6.%7.%8.%9"/>
      <w:lvlJc w:val="left"/>
      <w:pPr>
        <w:ind w:left="357" w:hanging="357"/>
      </w:pPr>
      <w:rPr>
        <w:rFonts w:hint="default"/>
      </w:rPr>
    </w:lvl>
  </w:abstractNum>
  <w:abstractNum w:abstractNumId="23" w15:restartNumberingAfterBreak="0">
    <w:nsid w:val="6D983914"/>
    <w:multiLevelType w:val="hybridMultilevel"/>
    <w:tmpl w:val="EB524F34"/>
    <w:lvl w:ilvl="0" w:tplc="63286D5E">
      <w:start w:val="1"/>
      <w:numFmt w:val="bullet"/>
      <w:pStyle w:val="bullet"/>
      <w:lvlText w:val=""/>
      <w:lvlJc w:val="left"/>
      <w:pPr>
        <w:tabs>
          <w:tab w:val="num" w:pos="2520"/>
        </w:tabs>
        <w:ind w:left="2520" w:hanging="360"/>
      </w:pPr>
      <w:rPr>
        <w:rFonts w:ascii="Symbol" w:hAnsi="Symbol" w:hint="default"/>
        <w:sz w:val="16"/>
      </w:rPr>
    </w:lvl>
    <w:lvl w:ilvl="1" w:tplc="4F8ADFE4">
      <w:start w:val="1"/>
      <w:numFmt w:val="bullet"/>
      <w:lvlText w:val="o"/>
      <w:lvlJc w:val="left"/>
      <w:pPr>
        <w:tabs>
          <w:tab w:val="num" w:pos="2160"/>
        </w:tabs>
        <w:ind w:left="2160" w:hanging="360"/>
      </w:pPr>
      <w:rPr>
        <w:rFonts w:ascii="Courier New" w:hAnsi="Courier New" w:hint="default"/>
      </w:rPr>
    </w:lvl>
    <w:lvl w:ilvl="2" w:tplc="E55A2C4A" w:tentative="1">
      <w:start w:val="1"/>
      <w:numFmt w:val="bullet"/>
      <w:lvlText w:val=""/>
      <w:lvlJc w:val="left"/>
      <w:pPr>
        <w:tabs>
          <w:tab w:val="num" w:pos="2880"/>
        </w:tabs>
        <w:ind w:left="2880" w:hanging="360"/>
      </w:pPr>
      <w:rPr>
        <w:rFonts w:ascii="Wingdings" w:hAnsi="Wingdings" w:hint="default"/>
      </w:rPr>
    </w:lvl>
    <w:lvl w:ilvl="3" w:tplc="83FE3F32" w:tentative="1">
      <w:start w:val="1"/>
      <w:numFmt w:val="bullet"/>
      <w:lvlText w:val=""/>
      <w:lvlJc w:val="left"/>
      <w:pPr>
        <w:tabs>
          <w:tab w:val="num" w:pos="3600"/>
        </w:tabs>
        <w:ind w:left="3600" w:hanging="360"/>
      </w:pPr>
      <w:rPr>
        <w:rFonts w:ascii="Symbol" w:hAnsi="Symbol" w:hint="default"/>
      </w:rPr>
    </w:lvl>
    <w:lvl w:ilvl="4" w:tplc="E1A63D0E" w:tentative="1">
      <w:start w:val="1"/>
      <w:numFmt w:val="bullet"/>
      <w:lvlText w:val="o"/>
      <w:lvlJc w:val="left"/>
      <w:pPr>
        <w:tabs>
          <w:tab w:val="num" w:pos="4320"/>
        </w:tabs>
        <w:ind w:left="4320" w:hanging="360"/>
      </w:pPr>
      <w:rPr>
        <w:rFonts w:ascii="Courier New" w:hAnsi="Courier New" w:hint="default"/>
      </w:rPr>
    </w:lvl>
    <w:lvl w:ilvl="5" w:tplc="B464E30C" w:tentative="1">
      <w:start w:val="1"/>
      <w:numFmt w:val="bullet"/>
      <w:lvlText w:val=""/>
      <w:lvlJc w:val="left"/>
      <w:pPr>
        <w:tabs>
          <w:tab w:val="num" w:pos="5040"/>
        </w:tabs>
        <w:ind w:left="5040" w:hanging="360"/>
      </w:pPr>
      <w:rPr>
        <w:rFonts w:ascii="Wingdings" w:hAnsi="Wingdings" w:hint="default"/>
      </w:rPr>
    </w:lvl>
    <w:lvl w:ilvl="6" w:tplc="08DE9696" w:tentative="1">
      <w:start w:val="1"/>
      <w:numFmt w:val="bullet"/>
      <w:lvlText w:val=""/>
      <w:lvlJc w:val="left"/>
      <w:pPr>
        <w:tabs>
          <w:tab w:val="num" w:pos="5760"/>
        </w:tabs>
        <w:ind w:left="5760" w:hanging="360"/>
      </w:pPr>
      <w:rPr>
        <w:rFonts w:ascii="Symbol" w:hAnsi="Symbol" w:hint="default"/>
      </w:rPr>
    </w:lvl>
    <w:lvl w:ilvl="7" w:tplc="94644A5A" w:tentative="1">
      <w:start w:val="1"/>
      <w:numFmt w:val="bullet"/>
      <w:lvlText w:val="o"/>
      <w:lvlJc w:val="left"/>
      <w:pPr>
        <w:tabs>
          <w:tab w:val="num" w:pos="6480"/>
        </w:tabs>
        <w:ind w:left="6480" w:hanging="360"/>
      </w:pPr>
      <w:rPr>
        <w:rFonts w:ascii="Courier New" w:hAnsi="Courier New" w:hint="default"/>
      </w:rPr>
    </w:lvl>
    <w:lvl w:ilvl="8" w:tplc="B20604B4" w:tentative="1">
      <w:start w:val="1"/>
      <w:numFmt w:val="bullet"/>
      <w:lvlText w:val=""/>
      <w:lvlJc w:val="left"/>
      <w:pPr>
        <w:tabs>
          <w:tab w:val="num" w:pos="7200"/>
        </w:tabs>
        <w:ind w:left="7200" w:hanging="360"/>
      </w:pPr>
      <w:rPr>
        <w:rFonts w:ascii="Wingdings" w:hAnsi="Wingdings" w:hint="default"/>
      </w:rPr>
    </w:lvl>
  </w:abstractNum>
  <w:abstractNum w:abstractNumId="24" w15:restartNumberingAfterBreak="0">
    <w:nsid w:val="7003044A"/>
    <w:multiLevelType w:val="hybridMultilevel"/>
    <w:tmpl w:val="5C3E5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CA6AB7"/>
    <w:multiLevelType w:val="multilevel"/>
    <w:tmpl w:val="6E842254"/>
    <w:styleLink w:val="LPCNumbers"/>
    <w:lvl w:ilvl="0">
      <w:start w:val="1"/>
      <w:numFmt w:val="lowerLetter"/>
      <w:lvlText w:val="%1."/>
      <w:lvlJc w:val="left"/>
      <w:pPr>
        <w:ind w:left="992" w:hanging="283"/>
      </w:pPr>
      <w:rPr>
        <w:rFonts w:ascii="Arial" w:hAnsi="Arial" w:hint="default"/>
        <w:b w:val="0"/>
        <w:i w:val="0"/>
        <w:sz w:val="20"/>
      </w:rPr>
    </w:lvl>
    <w:lvl w:ilvl="1">
      <w:start w:val="1"/>
      <w:numFmt w:val="lowerRoman"/>
      <w:pStyle w:val="ListNumber2"/>
      <w:lvlText w:val="%2."/>
      <w:lvlJc w:val="left"/>
      <w:pPr>
        <w:ind w:left="1417" w:hanging="283"/>
      </w:pPr>
      <w:rPr>
        <w:rFonts w:ascii="Arial" w:hAnsi="Arial" w:hint="default"/>
        <w:b w:val="0"/>
        <w:i w:val="0"/>
        <w:caps w:val="0"/>
        <w:color w:val="auto"/>
        <w:sz w:val="20"/>
      </w:rPr>
    </w:lvl>
    <w:lvl w:ilvl="2">
      <w:start w:val="1"/>
      <w:numFmt w:val="lowerRoman"/>
      <w:lvlText w:val="%3."/>
      <w:lvlJc w:val="right"/>
      <w:pPr>
        <w:ind w:left="1842" w:hanging="283"/>
      </w:pPr>
      <w:rPr>
        <w:rFonts w:hint="default"/>
      </w:rPr>
    </w:lvl>
    <w:lvl w:ilvl="3">
      <w:start w:val="1"/>
      <w:numFmt w:val="decimal"/>
      <w:lvlText w:val="%4."/>
      <w:lvlJc w:val="left"/>
      <w:pPr>
        <w:tabs>
          <w:tab w:val="num" w:pos="2268"/>
        </w:tabs>
        <w:ind w:left="2267" w:hanging="283"/>
      </w:pPr>
      <w:rPr>
        <w:rFonts w:hint="default"/>
      </w:rPr>
    </w:lvl>
    <w:lvl w:ilvl="4">
      <w:start w:val="1"/>
      <w:numFmt w:val="lowerLetter"/>
      <w:lvlText w:val="%5."/>
      <w:lvlJc w:val="left"/>
      <w:pPr>
        <w:tabs>
          <w:tab w:val="num" w:pos="2835"/>
        </w:tabs>
        <w:ind w:left="2692" w:hanging="283"/>
      </w:pPr>
      <w:rPr>
        <w:rFonts w:hint="default"/>
      </w:rPr>
    </w:lvl>
    <w:lvl w:ilvl="5">
      <w:start w:val="1"/>
      <w:numFmt w:val="lowerRoman"/>
      <w:lvlText w:val="%6."/>
      <w:lvlJc w:val="right"/>
      <w:pPr>
        <w:tabs>
          <w:tab w:val="num" w:pos="3402"/>
        </w:tabs>
        <w:ind w:left="3117" w:hanging="283"/>
      </w:pPr>
      <w:rPr>
        <w:rFonts w:hint="default"/>
      </w:rPr>
    </w:lvl>
    <w:lvl w:ilvl="6">
      <w:start w:val="1"/>
      <w:numFmt w:val="decimal"/>
      <w:lvlText w:val="%7."/>
      <w:lvlJc w:val="left"/>
      <w:pPr>
        <w:tabs>
          <w:tab w:val="num" w:pos="3969"/>
        </w:tabs>
        <w:ind w:left="3542" w:hanging="283"/>
      </w:pPr>
      <w:rPr>
        <w:rFonts w:hint="default"/>
      </w:rPr>
    </w:lvl>
    <w:lvl w:ilvl="7">
      <w:start w:val="1"/>
      <w:numFmt w:val="lowerLetter"/>
      <w:lvlText w:val="%8."/>
      <w:lvlJc w:val="left"/>
      <w:pPr>
        <w:tabs>
          <w:tab w:val="num" w:pos="4536"/>
        </w:tabs>
        <w:ind w:left="3967" w:hanging="283"/>
      </w:pPr>
      <w:rPr>
        <w:rFonts w:hint="default"/>
      </w:rPr>
    </w:lvl>
    <w:lvl w:ilvl="8">
      <w:start w:val="1"/>
      <w:numFmt w:val="lowerRoman"/>
      <w:lvlText w:val="%9."/>
      <w:lvlJc w:val="right"/>
      <w:pPr>
        <w:tabs>
          <w:tab w:val="num" w:pos="5103"/>
        </w:tabs>
        <w:ind w:left="4392" w:hanging="283"/>
      </w:pPr>
      <w:rPr>
        <w:rFonts w:hint="default"/>
      </w:rPr>
    </w:lvl>
  </w:abstractNum>
  <w:abstractNum w:abstractNumId="26" w15:restartNumberingAfterBreak="0">
    <w:nsid w:val="789779EA"/>
    <w:multiLevelType w:val="hybridMultilevel"/>
    <w:tmpl w:val="ED4C3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1"/>
  </w:num>
  <w:num w:numId="3">
    <w:abstractNumId w:val="15"/>
  </w:num>
  <w:num w:numId="4">
    <w:abstractNumId w:val="19"/>
  </w:num>
  <w:num w:numId="5">
    <w:abstractNumId w:val="21"/>
  </w:num>
  <w:num w:numId="6">
    <w:abstractNumId w:val="15"/>
  </w:num>
  <w:num w:numId="7">
    <w:abstractNumId w:val="25"/>
  </w:num>
  <w:num w:numId="8">
    <w:abstractNumId w:val="11"/>
  </w:num>
  <w:num w:numId="9">
    <w:abstractNumId w:val="8"/>
  </w:num>
  <w:num w:numId="10">
    <w:abstractNumId w:val="6"/>
  </w:num>
  <w:num w:numId="11">
    <w:abstractNumId w:val="10"/>
  </w:num>
  <w:num w:numId="12">
    <w:abstractNumId w:val="14"/>
  </w:num>
  <w:num w:numId="13">
    <w:abstractNumId w:val="9"/>
  </w:num>
  <w:num w:numId="14">
    <w:abstractNumId w:val="6"/>
  </w:num>
  <w:num w:numId="15">
    <w:abstractNumId w:val="6"/>
  </w:num>
  <w:num w:numId="16">
    <w:abstractNumId w:val="17"/>
  </w:num>
  <w:num w:numId="17">
    <w:abstractNumId w:val="16"/>
  </w:num>
  <w:num w:numId="18">
    <w:abstractNumId w:val="2"/>
  </w:num>
  <w:num w:numId="19">
    <w:abstractNumId w:val="11"/>
  </w:num>
  <w:num w:numId="20">
    <w:abstractNumId w:val="22"/>
  </w:num>
  <w:num w:numId="21">
    <w:abstractNumId w:val="13"/>
  </w:num>
  <w:num w:numId="22">
    <w:abstractNumId w:val="3"/>
  </w:num>
  <w:num w:numId="23">
    <w:abstractNumId w:val="14"/>
  </w:num>
  <w:num w:numId="24">
    <w:abstractNumId w:val="7"/>
  </w:num>
  <w:num w:numId="25">
    <w:abstractNumId w:val="12"/>
  </w:num>
  <w:num w:numId="26">
    <w:abstractNumId w:val="0"/>
  </w:num>
  <w:num w:numId="27">
    <w:abstractNumId w:val="26"/>
  </w:num>
  <w:num w:numId="28">
    <w:abstractNumId w:val="18"/>
  </w:num>
  <w:num w:numId="29">
    <w:abstractNumId w:val="20"/>
  </w:num>
  <w:num w:numId="30">
    <w:abstractNumId w:val="5"/>
  </w:num>
  <w:num w:numId="31">
    <w:abstractNumId w:val="24"/>
  </w:num>
  <w:num w:numId="32">
    <w:abstractNumId w:val="23"/>
  </w:num>
  <w:num w:numId="33">
    <w:abstractNumId w:val="1"/>
  </w:num>
  <w:num w:numId="34">
    <w:abstractNumId w:val="4"/>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9"/>
  </w:num>
  <w:num w:numId="38">
    <w:abstractNumId w:val="9"/>
  </w:num>
  <w:num w:numId="39">
    <w:abstractNumId w:val="9"/>
  </w:num>
  <w:num w:numId="40">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7B2"/>
    <w:rsid w:val="00003864"/>
    <w:rsid w:val="000205F8"/>
    <w:rsid w:val="0004276A"/>
    <w:rsid w:val="00044D8E"/>
    <w:rsid w:val="00053FEF"/>
    <w:rsid w:val="00056A5A"/>
    <w:rsid w:val="00077BF4"/>
    <w:rsid w:val="00080C1E"/>
    <w:rsid w:val="000B0C91"/>
    <w:rsid w:val="000C2E10"/>
    <w:rsid w:val="000C3104"/>
    <w:rsid w:val="000D34CC"/>
    <w:rsid w:val="00110655"/>
    <w:rsid w:val="00115AF4"/>
    <w:rsid w:val="001166CE"/>
    <w:rsid w:val="00132B20"/>
    <w:rsid w:val="00134DEF"/>
    <w:rsid w:val="001371F7"/>
    <w:rsid w:val="00142F89"/>
    <w:rsid w:val="00154F49"/>
    <w:rsid w:val="0015583B"/>
    <w:rsid w:val="00162B4B"/>
    <w:rsid w:val="00176645"/>
    <w:rsid w:val="00177804"/>
    <w:rsid w:val="00193636"/>
    <w:rsid w:val="001A3DD2"/>
    <w:rsid w:val="001A63EE"/>
    <w:rsid w:val="001C28FA"/>
    <w:rsid w:val="001C6542"/>
    <w:rsid w:val="001D616E"/>
    <w:rsid w:val="001D79E0"/>
    <w:rsid w:val="001E5B59"/>
    <w:rsid w:val="00204667"/>
    <w:rsid w:val="00205733"/>
    <w:rsid w:val="00212C7E"/>
    <w:rsid w:val="00223B59"/>
    <w:rsid w:val="00226830"/>
    <w:rsid w:val="00241088"/>
    <w:rsid w:val="002412E8"/>
    <w:rsid w:val="00275484"/>
    <w:rsid w:val="00275CD8"/>
    <w:rsid w:val="00293904"/>
    <w:rsid w:val="002A06EA"/>
    <w:rsid w:val="002E22CF"/>
    <w:rsid w:val="002F1CC8"/>
    <w:rsid w:val="002F6760"/>
    <w:rsid w:val="002F7643"/>
    <w:rsid w:val="0031242C"/>
    <w:rsid w:val="00316E96"/>
    <w:rsid w:val="00324159"/>
    <w:rsid w:val="0035246D"/>
    <w:rsid w:val="00353D82"/>
    <w:rsid w:val="00354DEC"/>
    <w:rsid w:val="00365C89"/>
    <w:rsid w:val="003707AD"/>
    <w:rsid w:val="003720AF"/>
    <w:rsid w:val="00373EC4"/>
    <w:rsid w:val="00384F74"/>
    <w:rsid w:val="003929BE"/>
    <w:rsid w:val="00394A2F"/>
    <w:rsid w:val="003A23AE"/>
    <w:rsid w:val="003C04B5"/>
    <w:rsid w:val="003C3FF2"/>
    <w:rsid w:val="003D4F47"/>
    <w:rsid w:val="003E55C5"/>
    <w:rsid w:val="003F573E"/>
    <w:rsid w:val="003F5B5C"/>
    <w:rsid w:val="00401CDB"/>
    <w:rsid w:val="00404A12"/>
    <w:rsid w:val="004050C6"/>
    <w:rsid w:val="004059D2"/>
    <w:rsid w:val="004153A2"/>
    <w:rsid w:val="0045056E"/>
    <w:rsid w:val="00455AFF"/>
    <w:rsid w:val="00496939"/>
    <w:rsid w:val="004A078F"/>
    <w:rsid w:val="004A495E"/>
    <w:rsid w:val="004A49B0"/>
    <w:rsid w:val="004A6C7E"/>
    <w:rsid w:val="004B256E"/>
    <w:rsid w:val="004B73B6"/>
    <w:rsid w:val="004D17C2"/>
    <w:rsid w:val="004D48AF"/>
    <w:rsid w:val="004D711E"/>
    <w:rsid w:val="004F1119"/>
    <w:rsid w:val="00500199"/>
    <w:rsid w:val="0050572A"/>
    <w:rsid w:val="005076C1"/>
    <w:rsid w:val="005203AD"/>
    <w:rsid w:val="00522E3C"/>
    <w:rsid w:val="0052789E"/>
    <w:rsid w:val="00546343"/>
    <w:rsid w:val="005471A6"/>
    <w:rsid w:val="00547873"/>
    <w:rsid w:val="005507EC"/>
    <w:rsid w:val="005614B5"/>
    <w:rsid w:val="00561FCF"/>
    <w:rsid w:val="00564816"/>
    <w:rsid w:val="00564E54"/>
    <w:rsid w:val="005707EF"/>
    <w:rsid w:val="005719C8"/>
    <w:rsid w:val="00580201"/>
    <w:rsid w:val="005857B2"/>
    <w:rsid w:val="005901F6"/>
    <w:rsid w:val="005A5625"/>
    <w:rsid w:val="005A6453"/>
    <w:rsid w:val="005B347C"/>
    <w:rsid w:val="005B622C"/>
    <w:rsid w:val="005B710F"/>
    <w:rsid w:val="005C1695"/>
    <w:rsid w:val="005C2490"/>
    <w:rsid w:val="005D2572"/>
    <w:rsid w:val="005D4160"/>
    <w:rsid w:val="005D7D55"/>
    <w:rsid w:val="005E6ECD"/>
    <w:rsid w:val="005F3BA7"/>
    <w:rsid w:val="005F6C0B"/>
    <w:rsid w:val="005F75A5"/>
    <w:rsid w:val="00602975"/>
    <w:rsid w:val="00604079"/>
    <w:rsid w:val="0060504F"/>
    <w:rsid w:val="0061761E"/>
    <w:rsid w:val="00621EC3"/>
    <w:rsid w:val="006225EE"/>
    <w:rsid w:val="0062451F"/>
    <w:rsid w:val="0065064D"/>
    <w:rsid w:val="00651466"/>
    <w:rsid w:val="00661572"/>
    <w:rsid w:val="00667116"/>
    <w:rsid w:val="00675146"/>
    <w:rsid w:val="00693345"/>
    <w:rsid w:val="0069399F"/>
    <w:rsid w:val="00693F97"/>
    <w:rsid w:val="00695427"/>
    <w:rsid w:val="006A42F2"/>
    <w:rsid w:val="006A7725"/>
    <w:rsid w:val="006B4FF9"/>
    <w:rsid w:val="006C254C"/>
    <w:rsid w:val="006C6B16"/>
    <w:rsid w:val="006D7940"/>
    <w:rsid w:val="006E3596"/>
    <w:rsid w:val="006E4765"/>
    <w:rsid w:val="006F20C9"/>
    <w:rsid w:val="006F3300"/>
    <w:rsid w:val="00707AE2"/>
    <w:rsid w:val="00716006"/>
    <w:rsid w:val="00731B84"/>
    <w:rsid w:val="00733EAF"/>
    <w:rsid w:val="0075659C"/>
    <w:rsid w:val="00756722"/>
    <w:rsid w:val="007655CC"/>
    <w:rsid w:val="00775039"/>
    <w:rsid w:val="0077586F"/>
    <w:rsid w:val="007802C0"/>
    <w:rsid w:val="00794F02"/>
    <w:rsid w:val="007A07F1"/>
    <w:rsid w:val="007A08AF"/>
    <w:rsid w:val="007A37D7"/>
    <w:rsid w:val="007B5593"/>
    <w:rsid w:val="007D68D9"/>
    <w:rsid w:val="007D6AAC"/>
    <w:rsid w:val="00801A9E"/>
    <w:rsid w:val="00811CB2"/>
    <w:rsid w:val="00814090"/>
    <w:rsid w:val="00820515"/>
    <w:rsid w:val="00820F49"/>
    <w:rsid w:val="00824428"/>
    <w:rsid w:val="00825551"/>
    <w:rsid w:val="008310CB"/>
    <w:rsid w:val="00836D17"/>
    <w:rsid w:val="008509E0"/>
    <w:rsid w:val="00851449"/>
    <w:rsid w:val="00855F68"/>
    <w:rsid w:val="0087744B"/>
    <w:rsid w:val="00892411"/>
    <w:rsid w:val="008D6302"/>
    <w:rsid w:val="00902CEC"/>
    <w:rsid w:val="00903452"/>
    <w:rsid w:val="009212B5"/>
    <w:rsid w:val="009240D0"/>
    <w:rsid w:val="009251B7"/>
    <w:rsid w:val="009269EB"/>
    <w:rsid w:val="0092736A"/>
    <w:rsid w:val="00931CF2"/>
    <w:rsid w:val="00932D1A"/>
    <w:rsid w:val="009336F2"/>
    <w:rsid w:val="00942496"/>
    <w:rsid w:val="00953469"/>
    <w:rsid w:val="009919D8"/>
    <w:rsid w:val="00992ED0"/>
    <w:rsid w:val="009E216C"/>
    <w:rsid w:val="009E7A10"/>
    <w:rsid w:val="009F0267"/>
    <w:rsid w:val="009F0D67"/>
    <w:rsid w:val="00A07432"/>
    <w:rsid w:val="00A35E78"/>
    <w:rsid w:val="00A52CC2"/>
    <w:rsid w:val="00A54244"/>
    <w:rsid w:val="00A64144"/>
    <w:rsid w:val="00A64494"/>
    <w:rsid w:val="00A667E4"/>
    <w:rsid w:val="00A84064"/>
    <w:rsid w:val="00AA0962"/>
    <w:rsid w:val="00AA5A52"/>
    <w:rsid w:val="00AB1FF6"/>
    <w:rsid w:val="00AC284D"/>
    <w:rsid w:val="00AC530D"/>
    <w:rsid w:val="00AD1EE9"/>
    <w:rsid w:val="00AD2F45"/>
    <w:rsid w:val="00AD5D5D"/>
    <w:rsid w:val="00AF4872"/>
    <w:rsid w:val="00AF5275"/>
    <w:rsid w:val="00AF5E39"/>
    <w:rsid w:val="00B010AA"/>
    <w:rsid w:val="00B0488E"/>
    <w:rsid w:val="00B053AC"/>
    <w:rsid w:val="00B05869"/>
    <w:rsid w:val="00B128ED"/>
    <w:rsid w:val="00B31E55"/>
    <w:rsid w:val="00B37B03"/>
    <w:rsid w:val="00B44B3D"/>
    <w:rsid w:val="00B57531"/>
    <w:rsid w:val="00B60D5D"/>
    <w:rsid w:val="00B81690"/>
    <w:rsid w:val="00B8533A"/>
    <w:rsid w:val="00B90BAE"/>
    <w:rsid w:val="00BA4D50"/>
    <w:rsid w:val="00BC2E4C"/>
    <w:rsid w:val="00BC5794"/>
    <w:rsid w:val="00BD414D"/>
    <w:rsid w:val="00BD5792"/>
    <w:rsid w:val="00BE4B70"/>
    <w:rsid w:val="00BF553B"/>
    <w:rsid w:val="00C225D4"/>
    <w:rsid w:val="00C27EEF"/>
    <w:rsid w:val="00C30884"/>
    <w:rsid w:val="00C31F84"/>
    <w:rsid w:val="00C46C56"/>
    <w:rsid w:val="00C52B18"/>
    <w:rsid w:val="00C55A12"/>
    <w:rsid w:val="00C62B05"/>
    <w:rsid w:val="00C710D7"/>
    <w:rsid w:val="00C72B0B"/>
    <w:rsid w:val="00CA243F"/>
    <w:rsid w:val="00CC4E9B"/>
    <w:rsid w:val="00CD2386"/>
    <w:rsid w:val="00CD35E3"/>
    <w:rsid w:val="00CD40CA"/>
    <w:rsid w:val="00CE5D08"/>
    <w:rsid w:val="00CF2DAD"/>
    <w:rsid w:val="00CF3AD4"/>
    <w:rsid w:val="00CF7F41"/>
    <w:rsid w:val="00D15BA8"/>
    <w:rsid w:val="00D51479"/>
    <w:rsid w:val="00D70B19"/>
    <w:rsid w:val="00D75F8F"/>
    <w:rsid w:val="00D82C24"/>
    <w:rsid w:val="00DC12DA"/>
    <w:rsid w:val="00DC17ED"/>
    <w:rsid w:val="00DC6A1C"/>
    <w:rsid w:val="00DD1EEB"/>
    <w:rsid w:val="00DE3F13"/>
    <w:rsid w:val="00DE7980"/>
    <w:rsid w:val="00DE7A12"/>
    <w:rsid w:val="00DF050D"/>
    <w:rsid w:val="00DF5610"/>
    <w:rsid w:val="00E11931"/>
    <w:rsid w:val="00E255B4"/>
    <w:rsid w:val="00E26693"/>
    <w:rsid w:val="00E273A3"/>
    <w:rsid w:val="00E3038F"/>
    <w:rsid w:val="00E33479"/>
    <w:rsid w:val="00E37FA2"/>
    <w:rsid w:val="00E42A8A"/>
    <w:rsid w:val="00E47A2E"/>
    <w:rsid w:val="00E57406"/>
    <w:rsid w:val="00E61BDF"/>
    <w:rsid w:val="00E651B4"/>
    <w:rsid w:val="00E66261"/>
    <w:rsid w:val="00E67D2F"/>
    <w:rsid w:val="00E85357"/>
    <w:rsid w:val="00E86184"/>
    <w:rsid w:val="00E87F7E"/>
    <w:rsid w:val="00E96AE5"/>
    <w:rsid w:val="00EA2E0D"/>
    <w:rsid w:val="00EA5B31"/>
    <w:rsid w:val="00EB4C85"/>
    <w:rsid w:val="00EB5B0A"/>
    <w:rsid w:val="00EB7B59"/>
    <w:rsid w:val="00EC0E12"/>
    <w:rsid w:val="00ED3579"/>
    <w:rsid w:val="00EF4709"/>
    <w:rsid w:val="00F03DEF"/>
    <w:rsid w:val="00F06ABA"/>
    <w:rsid w:val="00F10BA0"/>
    <w:rsid w:val="00F12B7C"/>
    <w:rsid w:val="00F312C2"/>
    <w:rsid w:val="00F53B8B"/>
    <w:rsid w:val="00F6014F"/>
    <w:rsid w:val="00F8363A"/>
    <w:rsid w:val="00F94386"/>
    <w:rsid w:val="00F95300"/>
    <w:rsid w:val="00F95965"/>
    <w:rsid w:val="00FA041B"/>
    <w:rsid w:val="00FA2F89"/>
    <w:rsid w:val="00FA4A4D"/>
    <w:rsid w:val="00FB5761"/>
    <w:rsid w:val="00FE59AE"/>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620A567"/>
  <w15:docId w15:val="{129289F7-0FC8-4A82-827E-C67FFBCF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820515"/>
    <w:rPr>
      <w:rFonts w:ascii="Arial" w:hAnsi="Arial"/>
    </w:rPr>
  </w:style>
  <w:style w:type="paragraph" w:styleId="Heading1">
    <w:name w:val="heading 1"/>
    <w:aliases w:val="Heading 1 (Numbered)"/>
    <w:basedOn w:val="Normal"/>
    <w:next w:val="Heading2"/>
    <w:link w:val="Heading1Char"/>
    <w:uiPriority w:val="1"/>
    <w:rsid w:val="00204667"/>
    <w:pPr>
      <w:keepNext/>
      <w:keepLines/>
      <w:pageBreakBefore/>
      <w:numPr>
        <w:numId w:val="21"/>
      </w:numPr>
      <w:pBdr>
        <w:bottom w:val="single" w:sz="8" w:space="10" w:color="0097DB"/>
      </w:pBdr>
      <w:spacing w:before="240" w:after="200"/>
      <w:outlineLvl w:val="0"/>
    </w:pPr>
    <w:rPr>
      <w:rFonts w:eastAsiaTheme="majorEastAsia" w:cstheme="majorBidi"/>
      <w:caps/>
      <w:color w:val="0097DB"/>
      <w:sz w:val="44"/>
      <w:szCs w:val="32"/>
    </w:rPr>
  </w:style>
  <w:style w:type="paragraph" w:styleId="Heading2">
    <w:name w:val="heading 2"/>
    <w:aliases w:val="Heading 2 (Numbered)"/>
    <w:basedOn w:val="Normal"/>
    <w:next w:val="Heading3"/>
    <w:link w:val="Heading2Char"/>
    <w:uiPriority w:val="1"/>
    <w:rsid w:val="001E5B59"/>
    <w:pPr>
      <w:keepNext/>
      <w:keepLines/>
      <w:numPr>
        <w:ilvl w:val="1"/>
        <w:numId w:val="21"/>
      </w:numPr>
      <w:spacing w:before="320" w:after="120" w:line="240" w:lineRule="auto"/>
      <w:outlineLvl w:val="1"/>
    </w:pPr>
    <w:rPr>
      <w:rFonts w:ascii="Arial Bold" w:eastAsiaTheme="majorEastAsia" w:hAnsi="Arial Bold" w:cstheme="majorBidi"/>
      <w:b/>
      <w:caps/>
      <w:szCs w:val="26"/>
    </w:rPr>
  </w:style>
  <w:style w:type="paragraph" w:styleId="Heading3">
    <w:name w:val="heading 3"/>
    <w:aliases w:val="Heading 3 (Numbered)"/>
    <w:basedOn w:val="Normal"/>
    <w:next w:val="ESRBodyText"/>
    <w:link w:val="Heading3Char"/>
    <w:uiPriority w:val="1"/>
    <w:rsid w:val="00FE59AE"/>
    <w:pPr>
      <w:keepNext/>
      <w:keepLines/>
      <w:numPr>
        <w:ilvl w:val="2"/>
        <w:numId w:val="21"/>
      </w:numPr>
      <w:spacing w:before="120" w:after="80" w:line="240" w:lineRule="auto"/>
      <w:outlineLvl w:val="2"/>
    </w:pPr>
    <w:rPr>
      <w:rFonts w:eastAsiaTheme="majorEastAsia" w:cstheme="majorBidi"/>
      <w:b/>
      <w:szCs w:val="24"/>
    </w:rPr>
  </w:style>
  <w:style w:type="paragraph" w:styleId="Heading4">
    <w:name w:val="heading 4"/>
    <w:basedOn w:val="Normal"/>
    <w:next w:val="Normal"/>
    <w:link w:val="Heading4Char"/>
    <w:uiPriority w:val="9"/>
    <w:semiHidden/>
    <w:rsid w:val="00FE59AE"/>
    <w:pPr>
      <w:keepNext/>
      <w:keepLines/>
      <w:numPr>
        <w:ilvl w:val="3"/>
        <w:numId w:val="20"/>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qFormat/>
    <w:rsid w:val="00FE59AE"/>
    <w:pPr>
      <w:keepNext/>
      <w:keepLines/>
      <w:numPr>
        <w:ilvl w:val="4"/>
        <w:numId w:val="20"/>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qFormat/>
    <w:rsid w:val="00FE59AE"/>
    <w:pPr>
      <w:keepNext/>
      <w:keepLines/>
      <w:numPr>
        <w:ilvl w:val="5"/>
        <w:numId w:val="20"/>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qFormat/>
    <w:rsid w:val="00FE59AE"/>
    <w:pPr>
      <w:keepNext/>
      <w:keepLines/>
      <w:numPr>
        <w:ilvl w:val="6"/>
        <w:numId w:val="20"/>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qFormat/>
    <w:rsid w:val="00FE59AE"/>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FE59AE"/>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F553B"/>
    <w:pPr>
      <w:spacing w:line="280" w:lineRule="atLeast"/>
      <w:ind w:left="709"/>
      <w:jc w:val="both"/>
    </w:pPr>
  </w:style>
  <w:style w:type="character" w:customStyle="1" w:styleId="BodyTextChar">
    <w:name w:val="Body Text Char"/>
    <w:basedOn w:val="DefaultParagraphFont"/>
    <w:link w:val="BodyText"/>
    <w:uiPriority w:val="99"/>
    <w:rsid w:val="00BF553B"/>
    <w:rPr>
      <w:rFonts w:ascii="Arial" w:hAnsi="Arial"/>
      <w:sz w:val="20"/>
    </w:rPr>
  </w:style>
  <w:style w:type="numbering" w:customStyle="1" w:styleId="LPCNumbers">
    <w:name w:val="LPC Numbers"/>
    <w:basedOn w:val="NoList"/>
    <w:uiPriority w:val="99"/>
    <w:rsid w:val="00BF553B"/>
    <w:pPr>
      <w:numPr>
        <w:numId w:val="1"/>
      </w:numPr>
    </w:pPr>
  </w:style>
  <w:style w:type="numbering" w:customStyle="1" w:styleId="AppendixHeading">
    <w:name w:val="Appendix_Heading"/>
    <w:basedOn w:val="NoList"/>
    <w:uiPriority w:val="99"/>
    <w:rsid w:val="00BF553B"/>
    <w:pPr>
      <w:numPr>
        <w:numId w:val="2"/>
      </w:numPr>
    </w:pPr>
  </w:style>
  <w:style w:type="paragraph" w:customStyle="1" w:styleId="RunningHead">
    <w:name w:val="Running Head"/>
    <w:basedOn w:val="Header"/>
    <w:semiHidden/>
    <w:qFormat/>
    <w:rsid w:val="00BF553B"/>
    <w:pPr>
      <w:spacing w:before="420" w:after="1320"/>
    </w:pPr>
    <w:rPr>
      <w:rFonts w:cs="Arial"/>
      <w:b/>
      <w:caps/>
      <w:color w:val="F99D31"/>
    </w:rPr>
  </w:style>
  <w:style w:type="paragraph" w:styleId="Header">
    <w:name w:val="header"/>
    <w:basedOn w:val="Normal"/>
    <w:link w:val="HeaderChar"/>
    <w:uiPriority w:val="99"/>
    <w:semiHidden/>
    <w:rsid w:val="00FE59AE"/>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FE59AE"/>
    <w:rPr>
      <w:rFonts w:ascii="Arial" w:hAnsi="Arial"/>
    </w:rPr>
  </w:style>
  <w:style w:type="numbering" w:customStyle="1" w:styleId="LPCBullets">
    <w:name w:val="LPC Bullets"/>
    <w:basedOn w:val="NoList"/>
    <w:uiPriority w:val="99"/>
    <w:rsid w:val="00BF553B"/>
    <w:pPr>
      <w:numPr>
        <w:numId w:val="3"/>
      </w:numPr>
    </w:pPr>
  </w:style>
  <w:style w:type="paragraph" w:customStyle="1" w:styleId="FWNumber">
    <w:name w:val="FW_Number"/>
    <w:basedOn w:val="FrontTitle"/>
    <w:rsid w:val="00FE59AE"/>
    <w:pPr>
      <w:ind w:left="992"/>
    </w:pPr>
  </w:style>
  <w:style w:type="numbering" w:customStyle="1" w:styleId="LPCHeadings">
    <w:name w:val="LPC Headings"/>
    <w:basedOn w:val="NoList"/>
    <w:uiPriority w:val="99"/>
    <w:rsid w:val="00BF553B"/>
    <w:pPr>
      <w:numPr>
        <w:numId w:val="4"/>
      </w:numPr>
    </w:pPr>
  </w:style>
  <w:style w:type="paragraph" w:customStyle="1" w:styleId="Heading1Blue">
    <w:name w:val="Heading 1 (Blue)"/>
    <w:basedOn w:val="Heading1"/>
    <w:next w:val="ESRBodyText"/>
    <w:link w:val="Heading1BlueChar"/>
    <w:uiPriority w:val="1"/>
    <w:qFormat/>
    <w:rsid w:val="00FE59AE"/>
    <w:pPr>
      <w:spacing w:line="240" w:lineRule="auto"/>
    </w:pPr>
    <w:rPr>
      <w:rFonts w:cs="Arial"/>
      <w:szCs w:val="44"/>
    </w:rPr>
  </w:style>
  <w:style w:type="character" w:customStyle="1" w:styleId="Heading1Char">
    <w:name w:val="Heading 1 Char"/>
    <w:aliases w:val="Heading 1 (Numbered) Char"/>
    <w:basedOn w:val="DefaultParagraphFont"/>
    <w:link w:val="Heading1"/>
    <w:uiPriority w:val="1"/>
    <w:rsid w:val="00204667"/>
    <w:rPr>
      <w:rFonts w:ascii="Arial" w:eastAsiaTheme="majorEastAsia" w:hAnsi="Arial" w:cstheme="majorBidi"/>
      <w:caps/>
      <w:color w:val="0097DB"/>
      <w:sz w:val="44"/>
      <w:szCs w:val="32"/>
    </w:rPr>
  </w:style>
  <w:style w:type="character" w:customStyle="1" w:styleId="Heading2Char">
    <w:name w:val="Heading 2 Char"/>
    <w:aliases w:val="Heading 2 (Numbered) Char"/>
    <w:basedOn w:val="DefaultParagraphFont"/>
    <w:link w:val="Heading2"/>
    <w:uiPriority w:val="1"/>
    <w:rsid w:val="00FE59AE"/>
    <w:rPr>
      <w:rFonts w:ascii="Arial Bold" w:eastAsiaTheme="majorEastAsia" w:hAnsi="Arial Bold" w:cstheme="majorBidi"/>
      <w:b/>
      <w:caps/>
      <w:szCs w:val="26"/>
    </w:rPr>
  </w:style>
  <w:style w:type="character" w:customStyle="1" w:styleId="Heading3Char">
    <w:name w:val="Heading 3 Char"/>
    <w:aliases w:val="Heading 3 (Numbered) Char"/>
    <w:basedOn w:val="DefaultParagraphFont"/>
    <w:link w:val="Heading3"/>
    <w:uiPriority w:val="1"/>
    <w:rsid w:val="00FE59AE"/>
    <w:rPr>
      <w:rFonts w:ascii="Arial" w:eastAsiaTheme="majorEastAsia" w:hAnsi="Arial" w:cstheme="majorBidi"/>
      <w:b/>
      <w:szCs w:val="24"/>
    </w:rPr>
  </w:style>
  <w:style w:type="character" w:customStyle="1" w:styleId="Heading4Char">
    <w:name w:val="Heading 4 Char"/>
    <w:basedOn w:val="DefaultParagraphFont"/>
    <w:link w:val="Heading4"/>
    <w:uiPriority w:val="9"/>
    <w:semiHidden/>
    <w:rsid w:val="00FE59AE"/>
    <w:rPr>
      <w:rFonts w:asciiTheme="majorHAnsi" w:eastAsiaTheme="majorEastAsia" w:hAnsiTheme="majorHAnsi" w:cstheme="majorBidi"/>
      <w:i/>
      <w:iCs/>
      <w:color w:val="2E74B5" w:themeColor="accent1" w:themeShade="BF"/>
    </w:rPr>
  </w:style>
  <w:style w:type="paragraph" w:styleId="TOC1">
    <w:name w:val="toc 1"/>
    <w:basedOn w:val="ESRBodyText"/>
    <w:next w:val="Normal"/>
    <w:autoRedefine/>
    <w:uiPriority w:val="39"/>
    <w:rsid w:val="00E651B4"/>
    <w:pPr>
      <w:tabs>
        <w:tab w:val="right" w:leader="dot" w:pos="9016"/>
      </w:tabs>
      <w:spacing w:before="300" w:after="100"/>
      <w:ind w:left="567" w:hanging="567"/>
    </w:pPr>
    <w:rPr>
      <w:rFonts w:ascii="Arial Bold" w:hAnsi="Arial Bold"/>
      <w:b/>
      <w:noProof/>
      <w:color w:val="0097DB"/>
      <w:sz w:val="28"/>
    </w:rPr>
  </w:style>
  <w:style w:type="paragraph" w:styleId="TOC4">
    <w:name w:val="toc 4"/>
    <w:basedOn w:val="Normal"/>
    <w:next w:val="Normal"/>
    <w:autoRedefine/>
    <w:uiPriority w:val="39"/>
    <w:semiHidden/>
    <w:rsid w:val="00BF553B"/>
    <w:pPr>
      <w:tabs>
        <w:tab w:val="right" w:pos="9060"/>
      </w:tabs>
      <w:spacing w:after="100"/>
      <w:ind w:left="1276" w:hanging="1276"/>
    </w:pPr>
  </w:style>
  <w:style w:type="paragraph" w:styleId="Footer">
    <w:name w:val="footer"/>
    <w:basedOn w:val="Normal"/>
    <w:link w:val="FooterChar"/>
    <w:rsid w:val="00FE59AE"/>
    <w:pPr>
      <w:tabs>
        <w:tab w:val="center" w:pos="4513"/>
        <w:tab w:val="right" w:pos="9026"/>
      </w:tabs>
      <w:spacing w:after="0" w:line="240" w:lineRule="auto"/>
    </w:pPr>
    <w:rPr>
      <w:rFonts w:cs="Arial"/>
      <w:b/>
      <w:sz w:val="18"/>
      <w:szCs w:val="18"/>
    </w:rPr>
  </w:style>
  <w:style w:type="character" w:customStyle="1" w:styleId="FooterChar">
    <w:name w:val="Footer Char"/>
    <w:basedOn w:val="DefaultParagraphFont"/>
    <w:link w:val="Footer"/>
    <w:rsid w:val="00693345"/>
    <w:rPr>
      <w:rFonts w:ascii="Arial" w:hAnsi="Arial" w:cs="Arial"/>
      <w:b/>
      <w:sz w:val="18"/>
      <w:szCs w:val="18"/>
    </w:rPr>
  </w:style>
  <w:style w:type="paragraph" w:styleId="ListBullet">
    <w:name w:val="List Bullet"/>
    <w:basedOn w:val="Normal"/>
    <w:uiPriority w:val="14"/>
    <w:semiHidden/>
    <w:rsid w:val="00FE59AE"/>
    <w:pPr>
      <w:numPr>
        <w:numId w:val="22"/>
      </w:numPr>
      <w:contextualSpacing/>
    </w:pPr>
  </w:style>
  <w:style w:type="paragraph" w:styleId="ListNumber">
    <w:name w:val="List Number"/>
    <w:basedOn w:val="Normal"/>
    <w:link w:val="ListNumberChar"/>
    <w:uiPriority w:val="99"/>
    <w:semiHidden/>
    <w:rsid w:val="00FE59AE"/>
    <w:pPr>
      <w:numPr>
        <w:numId w:val="18"/>
      </w:numPr>
      <w:contextualSpacing/>
    </w:pPr>
  </w:style>
  <w:style w:type="paragraph" w:styleId="ListBullet2">
    <w:name w:val="List Bullet 2"/>
    <w:basedOn w:val="Normal"/>
    <w:uiPriority w:val="99"/>
    <w:rsid w:val="00BF553B"/>
    <w:pPr>
      <w:numPr>
        <w:ilvl w:val="1"/>
        <w:numId w:val="6"/>
      </w:numPr>
      <w:spacing w:line="270" w:lineRule="atLeast"/>
      <w:contextualSpacing/>
    </w:pPr>
  </w:style>
  <w:style w:type="paragraph" w:styleId="ListNumber2">
    <w:name w:val="List Number 2"/>
    <w:basedOn w:val="Normal"/>
    <w:uiPriority w:val="99"/>
    <w:semiHidden/>
    <w:rsid w:val="003E55C5"/>
    <w:pPr>
      <w:numPr>
        <w:ilvl w:val="1"/>
        <w:numId w:val="7"/>
      </w:numPr>
      <w:contextualSpacing/>
    </w:pPr>
  </w:style>
  <w:style w:type="paragraph" w:styleId="Title">
    <w:name w:val="Title"/>
    <w:basedOn w:val="FrontTitle"/>
    <w:next w:val="Normal"/>
    <w:link w:val="TitleChar"/>
    <w:rsid w:val="00FE59AE"/>
    <w:pPr>
      <w:ind w:right="772"/>
      <w:jc w:val="center"/>
    </w:pPr>
  </w:style>
  <w:style w:type="character" w:customStyle="1" w:styleId="TitleChar">
    <w:name w:val="Title Char"/>
    <w:basedOn w:val="DefaultParagraphFont"/>
    <w:link w:val="Title"/>
    <w:rsid w:val="00580201"/>
    <w:rPr>
      <w:rFonts w:ascii="Arial" w:hAnsi="Arial" w:cs="Arial"/>
      <w:sz w:val="32"/>
      <w:szCs w:val="32"/>
    </w:rPr>
  </w:style>
  <w:style w:type="paragraph" w:styleId="BodyTextFirstIndent">
    <w:name w:val="Body Text First Indent"/>
    <w:basedOn w:val="BodyText"/>
    <w:link w:val="BodyTextFirstIndentChar"/>
    <w:uiPriority w:val="99"/>
    <w:rsid w:val="00BF553B"/>
    <w:pPr>
      <w:ind w:left="720"/>
    </w:pPr>
  </w:style>
  <w:style w:type="character" w:customStyle="1" w:styleId="BodyTextFirstIndentChar">
    <w:name w:val="Body Text First Indent Char"/>
    <w:basedOn w:val="BodyTextChar"/>
    <w:link w:val="BodyTextFirstIndent"/>
    <w:uiPriority w:val="99"/>
    <w:rsid w:val="00BF553B"/>
    <w:rPr>
      <w:rFonts w:ascii="Arial" w:hAnsi="Arial"/>
      <w:sz w:val="20"/>
    </w:rPr>
  </w:style>
  <w:style w:type="character" w:styleId="Hyperlink">
    <w:name w:val="Hyperlink"/>
    <w:basedOn w:val="DefaultParagraphFont"/>
    <w:uiPriority w:val="99"/>
    <w:rsid w:val="00FE59AE"/>
    <w:rPr>
      <w:noProof/>
      <w:color w:val="0563C1" w:themeColor="hyperlink"/>
      <w:u w:val="single"/>
    </w:rPr>
  </w:style>
  <w:style w:type="character" w:styleId="FollowedHyperlink">
    <w:name w:val="FollowedHyperlink"/>
    <w:basedOn w:val="DefaultParagraphFont"/>
    <w:uiPriority w:val="99"/>
    <w:semiHidden/>
    <w:unhideWhenUsed/>
    <w:rsid w:val="00BF553B"/>
    <w:rPr>
      <w:color w:val="954F72" w:themeColor="followedHyperlink"/>
      <w:u w:val="single"/>
    </w:rPr>
  </w:style>
  <w:style w:type="table" w:styleId="TableGrid">
    <w:name w:val="Table Grid"/>
    <w:basedOn w:val="TableNormal"/>
    <w:uiPriority w:val="39"/>
    <w:rsid w:val="00FE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E59AE"/>
    <w:rPr>
      <w:color w:val="808080"/>
    </w:rPr>
  </w:style>
  <w:style w:type="paragraph" w:styleId="ListParagraph">
    <w:name w:val="List Paragraph"/>
    <w:basedOn w:val="Normal"/>
    <w:uiPriority w:val="34"/>
    <w:qFormat/>
    <w:rsid w:val="00BF553B"/>
    <w:pPr>
      <w:ind w:left="720"/>
      <w:contextualSpacing/>
    </w:pPr>
  </w:style>
  <w:style w:type="character" w:customStyle="1" w:styleId="Heading1BlueChar">
    <w:name w:val="Heading 1 (Blue) Char"/>
    <w:basedOn w:val="DefaultParagraphFont"/>
    <w:link w:val="Heading1Blue"/>
    <w:uiPriority w:val="1"/>
    <w:rsid w:val="00FE59AE"/>
    <w:rPr>
      <w:rFonts w:ascii="Arial" w:eastAsiaTheme="majorEastAsia" w:hAnsi="Arial" w:cs="Arial"/>
      <w:color w:val="0097DB"/>
      <w:sz w:val="44"/>
      <w:szCs w:val="44"/>
    </w:rPr>
  </w:style>
  <w:style w:type="paragraph" w:customStyle="1" w:styleId="AppendixHeading1">
    <w:name w:val="Appendix Heading 1"/>
    <w:basedOn w:val="Heading1Blue"/>
    <w:next w:val="ESRBodyText"/>
    <w:link w:val="AppendixHeading1Char"/>
    <w:uiPriority w:val="4"/>
    <w:qFormat/>
    <w:rsid w:val="00FE59AE"/>
    <w:pPr>
      <w:numPr>
        <w:numId w:val="13"/>
      </w:numPr>
    </w:pPr>
  </w:style>
  <w:style w:type="character" w:customStyle="1" w:styleId="AppendixHeading1Char">
    <w:name w:val="Appendix Heading 1 Char"/>
    <w:basedOn w:val="Heading1BlueChar"/>
    <w:link w:val="AppendixHeading1"/>
    <w:uiPriority w:val="4"/>
    <w:rsid w:val="00FE59AE"/>
    <w:rPr>
      <w:rFonts w:ascii="Arial" w:eastAsiaTheme="majorEastAsia" w:hAnsi="Arial" w:cs="Arial"/>
      <w:caps/>
      <w:color w:val="0097DB"/>
      <w:sz w:val="44"/>
      <w:szCs w:val="44"/>
    </w:rPr>
  </w:style>
  <w:style w:type="paragraph" w:customStyle="1" w:styleId="AppendixHeading2">
    <w:name w:val="Appendix Heading 2"/>
    <w:basedOn w:val="Normal"/>
    <w:next w:val="ESRBodyText"/>
    <w:link w:val="AppendixHeading2Char"/>
    <w:uiPriority w:val="4"/>
    <w:qFormat/>
    <w:rsid w:val="00FE59AE"/>
    <w:pPr>
      <w:keepNext/>
      <w:keepLines/>
      <w:numPr>
        <w:ilvl w:val="1"/>
        <w:numId w:val="13"/>
      </w:numPr>
      <w:spacing w:before="320" w:after="120" w:line="240" w:lineRule="auto"/>
      <w:outlineLvl w:val="1"/>
    </w:pPr>
    <w:rPr>
      <w:rFonts w:eastAsiaTheme="majorEastAsia" w:cstheme="majorBidi"/>
      <w:noProof/>
      <w:szCs w:val="26"/>
    </w:rPr>
  </w:style>
  <w:style w:type="character" w:customStyle="1" w:styleId="AppendixHeading2Char">
    <w:name w:val="Appendix Heading 2 Char"/>
    <w:basedOn w:val="DefaultParagraphFont"/>
    <w:link w:val="AppendixHeading2"/>
    <w:uiPriority w:val="4"/>
    <w:rsid w:val="00FE59AE"/>
    <w:rPr>
      <w:rFonts w:ascii="Arial" w:eastAsiaTheme="majorEastAsia" w:hAnsi="Arial" w:cstheme="majorBidi"/>
      <w:noProof/>
      <w:szCs w:val="26"/>
    </w:rPr>
  </w:style>
  <w:style w:type="paragraph" w:customStyle="1" w:styleId="AppendixHeading3">
    <w:name w:val="Appendix Heading 3"/>
    <w:basedOn w:val="Normal"/>
    <w:next w:val="ESRBodyText"/>
    <w:link w:val="AppendixHeading3Char"/>
    <w:uiPriority w:val="4"/>
    <w:qFormat/>
    <w:rsid w:val="00FE59AE"/>
    <w:pPr>
      <w:keepNext/>
      <w:keepLines/>
      <w:numPr>
        <w:ilvl w:val="2"/>
        <w:numId w:val="13"/>
      </w:numPr>
      <w:spacing w:before="120" w:after="80" w:line="240" w:lineRule="auto"/>
      <w:outlineLvl w:val="2"/>
    </w:pPr>
    <w:rPr>
      <w:rFonts w:eastAsiaTheme="majorEastAsia" w:cstheme="majorBidi"/>
      <w:noProof/>
      <w:szCs w:val="24"/>
    </w:rPr>
  </w:style>
  <w:style w:type="character" w:customStyle="1" w:styleId="AppendixHeading3Char">
    <w:name w:val="Appendix Heading 3 Char"/>
    <w:basedOn w:val="DefaultParagraphFont"/>
    <w:link w:val="AppendixHeading3"/>
    <w:uiPriority w:val="4"/>
    <w:rsid w:val="00FE59AE"/>
    <w:rPr>
      <w:rFonts w:ascii="Arial" w:eastAsiaTheme="majorEastAsia" w:hAnsi="Arial" w:cstheme="majorBidi"/>
      <w:noProof/>
      <w:szCs w:val="24"/>
    </w:rPr>
  </w:style>
  <w:style w:type="paragraph" w:styleId="Caption">
    <w:name w:val="caption"/>
    <w:basedOn w:val="Normal"/>
    <w:next w:val="Normal"/>
    <w:link w:val="CaptionChar"/>
    <w:uiPriority w:val="35"/>
    <w:qFormat/>
    <w:rsid w:val="00FE59AE"/>
    <w:pPr>
      <w:keepNext/>
      <w:spacing w:before="240" w:after="120" w:line="240" w:lineRule="auto"/>
    </w:pPr>
    <w:rPr>
      <w:rFonts w:ascii="Arial Bold" w:hAnsi="Arial Bold"/>
      <w:iCs/>
      <w:sz w:val="18"/>
      <w:szCs w:val="18"/>
    </w:rPr>
  </w:style>
  <w:style w:type="character" w:customStyle="1" w:styleId="CaptionChar">
    <w:name w:val="Caption Char"/>
    <w:basedOn w:val="DefaultParagraphFont"/>
    <w:link w:val="Caption"/>
    <w:uiPriority w:val="99"/>
    <w:rsid w:val="00693345"/>
    <w:rPr>
      <w:rFonts w:ascii="Arial Bold" w:hAnsi="Arial Bold"/>
      <w:iCs/>
      <w:sz w:val="18"/>
      <w:szCs w:val="18"/>
    </w:rPr>
  </w:style>
  <w:style w:type="paragraph" w:customStyle="1" w:styleId="ESRBodyText">
    <w:name w:val="ESR Body Text"/>
    <w:basedOn w:val="Normal"/>
    <w:link w:val="ESRBodyTextChar"/>
    <w:uiPriority w:val="2"/>
    <w:qFormat/>
    <w:rsid w:val="00820515"/>
    <w:pPr>
      <w:spacing w:line="240" w:lineRule="auto"/>
    </w:pPr>
  </w:style>
  <w:style w:type="character" w:customStyle="1" w:styleId="ESRBodyTextChar">
    <w:name w:val="ESR Body Text Char"/>
    <w:basedOn w:val="DefaultParagraphFont"/>
    <w:link w:val="ESRBodyText"/>
    <w:uiPriority w:val="2"/>
    <w:rsid w:val="00820515"/>
    <w:rPr>
      <w:rFonts w:ascii="Arial" w:hAnsi="Arial"/>
    </w:rPr>
  </w:style>
  <w:style w:type="paragraph" w:customStyle="1" w:styleId="ESRFooterText">
    <w:name w:val="ESR Footer Text"/>
    <w:basedOn w:val="Footer"/>
    <w:link w:val="ESRFooterTextChar"/>
    <w:uiPriority w:val="99"/>
    <w:semiHidden/>
    <w:qFormat/>
    <w:rsid w:val="00FE59AE"/>
    <w:pPr>
      <w:jc w:val="right"/>
    </w:pPr>
  </w:style>
  <w:style w:type="character" w:customStyle="1" w:styleId="ESRFooterTextChar">
    <w:name w:val="ESR Footer Text Char"/>
    <w:basedOn w:val="FooterChar"/>
    <w:link w:val="ESRFooterText"/>
    <w:uiPriority w:val="99"/>
    <w:semiHidden/>
    <w:rsid w:val="00FE59AE"/>
    <w:rPr>
      <w:rFonts w:ascii="Arial" w:hAnsi="Arial" w:cs="Arial"/>
      <w:b/>
      <w:sz w:val="18"/>
      <w:szCs w:val="18"/>
    </w:rPr>
  </w:style>
  <w:style w:type="numbering" w:customStyle="1" w:styleId="ESRHeading1B">
    <w:name w:val="ESR Heading 1B"/>
    <w:uiPriority w:val="99"/>
    <w:rsid w:val="00FE59AE"/>
    <w:pPr>
      <w:numPr>
        <w:numId w:val="16"/>
      </w:numPr>
    </w:pPr>
  </w:style>
  <w:style w:type="numbering" w:customStyle="1" w:styleId="ESRListHeadings">
    <w:name w:val="ESR List Headings"/>
    <w:uiPriority w:val="99"/>
    <w:rsid w:val="00FE59AE"/>
    <w:pPr>
      <w:numPr>
        <w:numId w:val="17"/>
      </w:numPr>
    </w:pPr>
  </w:style>
  <w:style w:type="paragraph" w:customStyle="1" w:styleId="ESRNumberedList">
    <w:name w:val="ESR Numbered List"/>
    <w:basedOn w:val="ListNumber"/>
    <w:link w:val="ESRNumberedListChar"/>
    <w:uiPriority w:val="2"/>
    <w:qFormat/>
    <w:rsid w:val="00FE59AE"/>
    <w:pPr>
      <w:numPr>
        <w:numId w:val="23"/>
      </w:numPr>
      <w:spacing w:after="200" w:line="240" w:lineRule="auto"/>
      <w:contextualSpacing w:val="0"/>
    </w:pPr>
    <w:rPr>
      <w:noProof/>
    </w:rPr>
  </w:style>
  <w:style w:type="character" w:customStyle="1" w:styleId="ESRNumberedListChar">
    <w:name w:val="ESR Numbered List Char"/>
    <w:basedOn w:val="ListNumberChar"/>
    <w:link w:val="ESRNumberedList"/>
    <w:uiPriority w:val="2"/>
    <w:rsid w:val="00FE59AE"/>
    <w:rPr>
      <w:rFonts w:ascii="Arial" w:hAnsi="Arial"/>
      <w:noProof/>
    </w:rPr>
  </w:style>
  <w:style w:type="paragraph" w:customStyle="1" w:styleId="ESRReferencesNumbering">
    <w:name w:val="ESR References Numbering"/>
    <w:basedOn w:val="ESRNumberedList"/>
    <w:next w:val="ESRBodyText"/>
    <w:link w:val="ESRReferencesNumberingChar"/>
    <w:uiPriority w:val="2"/>
    <w:qFormat/>
    <w:rsid w:val="00FE59AE"/>
    <w:pPr>
      <w:numPr>
        <w:numId w:val="19"/>
      </w:numPr>
    </w:pPr>
  </w:style>
  <w:style w:type="character" w:customStyle="1" w:styleId="ESRReferencesNumberingChar">
    <w:name w:val="ESR References Numbering Char"/>
    <w:basedOn w:val="ESRNumberedListChar"/>
    <w:link w:val="ESRReferencesNumbering"/>
    <w:uiPriority w:val="2"/>
    <w:rsid w:val="00693345"/>
    <w:rPr>
      <w:rFonts w:ascii="Arial" w:hAnsi="Arial"/>
      <w:noProof/>
    </w:rPr>
  </w:style>
  <w:style w:type="paragraph" w:customStyle="1" w:styleId="FrontTitle">
    <w:name w:val="Front Title"/>
    <w:basedOn w:val="Normal"/>
    <w:rsid w:val="00FE59AE"/>
    <w:pPr>
      <w:spacing w:after="100" w:line="240" w:lineRule="auto"/>
    </w:pPr>
    <w:rPr>
      <w:rFonts w:cs="Arial"/>
      <w:sz w:val="32"/>
      <w:szCs w:val="32"/>
    </w:rPr>
  </w:style>
  <w:style w:type="paragraph" w:customStyle="1" w:styleId="Heading1NoTOCs">
    <w:name w:val="Heading 1 (No TOCs)"/>
    <w:basedOn w:val="ESRBodyText"/>
    <w:link w:val="Heading1NoTOCsChar"/>
    <w:uiPriority w:val="1"/>
    <w:qFormat/>
    <w:rsid w:val="00204667"/>
    <w:pPr>
      <w:pageBreakBefore/>
      <w:pBdr>
        <w:bottom w:val="single" w:sz="8" w:space="10" w:color="0097DB"/>
      </w:pBdr>
      <w:spacing w:before="240" w:after="200"/>
    </w:pPr>
    <w:rPr>
      <w:caps/>
      <w:color w:val="0097DB"/>
      <w:sz w:val="44"/>
    </w:rPr>
  </w:style>
  <w:style w:type="character" w:customStyle="1" w:styleId="Heading1NoTOCsChar">
    <w:name w:val="Heading 1 (No TOCs) Char"/>
    <w:basedOn w:val="ESRBodyTextChar"/>
    <w:link w:val="Heading1NoTOCs"/>
    <w:uiPriority w:val="1"/>
    <w:rsid w:val="00204667"/>
    <w:rPr>
      <w:rFonts w:ascii="Arial" w:hAnsi="Arial"/>
      <w:caps/>
      <w:color w:val="0097DB"/>
      <w:sz w:val="44"/>
    </w:rPr>
  </w:style>
  <w:style w:type="paragraph" w:styleId="TOC2">
    <w:name w:val="toc 2"/>
    <w:basedOn w:val="ESRBodyText"/>
    <w:next w:val="Normal"/>
    <w:autoRedefine/>
    <w:uiPriority w:val="39"/>
    <w:rsid w:val="00E651B4"/>
    <w:pPr>
      <w:tabs>
        <w:tab w:val="right" w:leader="dot" w:pos="9016"/>
      </w:tabs>
      <w:spacing w:after="100"/>
      <w:ind w:left="1134" w:hanging="566"/>
    </w:pPr>
    <w:rPr>
      <w:b/>
      <w:caps/>
      <w:noProof/>
    </w:rPr>
  </w:style>
  <w:style w:type="paragraph" w:styleId="TOC3">
    <w:name w:val="toc 3"/>
    <w:basedOn w:val="Normal"/>
    <w:next w:val="Normal"/>
    <w:autoRedefine/>
    <w:uiPriority w:val="39"/>
    <w:rsid w:val="00E651B4"/>
    <w:pPr>
      <w:keepNext/>
      <w:keepLines/>
      <w:tabs>
        <w:tab w:val="right" w:leader="dot" w:pos="9016"/>
      </w:tabs>
      <w:spacing w:before="120" w:after="100" w:line="240" w:lineRule="auto"/>
      <w:ind w:left="1701" w:hanging="567"/>
      <w:outlineLvl w:val="2"/>
    </w:pPr>
    <w:rPr>
      <w:rFonts w:eastAsiaTheme="majorEastAsia" w:cstheme="majorBidi"/>
      <w:b/>
      <w:szCs w:val="24"/>
    </w:rPr>
  </w:style>
  <w:style w:type="paragraph" w:styleId="NormalWeb">
    <w:name w:val="Normal (Web)"/>
    <w:basedOn w:val="Normal"/>
    <w:uiPriority w:val="99"/>
    <w:semiHidden/>
    <w:rsid w:val="00FE59AE"/>
    <w:pPr>
      <w:spacing w:before="100" w:beforeAutospacing="1" w:after="100" w:afterAutospacing="1" w:line="240" w:lineRule="auto"/>
    </w:pPr>
    <w:rPr>
      <w:rFonts w:ascii="Times New Roman" w:eastAsiaTheme="minorEastAsia" w:hAnsi="Times New Roman" w:cs="Times New Roman"/>
      <w:sz w:val="24"/>
      <w:szCs w:val="24"/>
      <w:lang w:eastAsia="en-NZ"/>
    </w:rPr>
  </w:style>
  <w:style w:type="table" w:customStyle="1" w:styleId="TableGrid1">
    <w:name w:val="Table Grid1"/>
    <w:basedOn w:val="TableNormal"/>
    <w:next w:val="TableGrid"/>
    <w:uiPriority w:val="39"/>
    <w:rsid w:val="00FE59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ulletedList">
    <w:name w:val="Bulleted List"/>
    <w:basedOn w:val="NoList"/>
    <w:uiPriority w:val="99"/>
    <w:rsid w:val="00FE59AE"/>
    <w:pPr>
      <w:numPr>
        <w:numId w:val="10"/>
      </w:numPr>
    </w:pPr>
  </w:style>
  <w:style w:type="paragraph" w:customStyle="1" w:styleId="ESRBulletedList">
    <w:name w:val="ESR Bulleted List"/>
    <w:basedOn w:val="ESRBodyText"/>
    <w:uiPriority w:val="2"/>
    <w:qFormat/>
    <w:rsid w:val="00FE59AE"/>
    <w:pPr>
      <w:numPr>
        <w:numId w:val="15"/>
      </w:numPr>
    </w:pPr>
  </w:style>
  <w:style w:type="numbering" w:customStyle="1" w:styleId="BulletedList1">
    <w:name w:val="Bulleted List1"/>
    <w:basedOn w:val="NoList"/>
    <w:uiPriority w:val="99"/>
    <w:rsid w:val="00FE59AE"/>
  </w:style>
  <w:style w:type="numbering" w:customStyle="1" w:styleId="Headings">
    <w:name w:val="Headings"/>
    <w:basedOn w:val="NoList"/>
    <w:uiPriority w:val="99"/>
    <w:rsid w:val="00204667"/>
    <w:pPr>
      <w:numPr>
        <w:numId w:val="21"/>
      </w:numPr>
    </w:pPr>
  </w:style>
  <w:style w:type="numbering" w:customStyle="1" w:styleId="BulletedList2">
    <w:name w:val="Bulleted List2"/>
    <w:basedOn w:val="NoList"/>
    <w:uiPriority w:val="99"/>
    <w:rsid w:val="00FE59AE"/>
  </w:style>
  <w:style w:type="numbering" w:customStyle="1" w:styleId="NumberedList">
    <w:name w:val="Numbered List"/>
    <w:basedOn w:val="NoList"/>
    <w:uiPriority w:val="99"/>
    <w:rsid w:val="00FE59AE"/>
    <w:pPr>
      <w:numPr>
        <w:numId w:val="12"/>
      </w:numPr>
    </w:pPr>
  </w:style>
  <w:style w:type="paragraph" w:styleId="BalloonText">
    <w:name w:val="Balloon Text"/>
    <w:basedOn w:val="Normal"/>
    <w:link w:val="BalloonTextChar"/>
    <w:uiPriority w:val="99"/>
    <w:semiHidden/>
    <w:rsid w:val="00FE5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59AE"/>
    <w:rPr>
      <w:rFonts w:ascii="Segoe UI" w:hAnsi="Segoe UI" w:cs="Segoe UI"/>
      <w:sz w:val="18"/>
      <w:szCs w:val="18"/>
    </w:rPr>
  </w:style>
  <w:style w:type="character" w:styleId="CommentReference">
    <w:name w:val="annotation reference"/>
    <w:basedOn w:val="DefaultParagraphFont"/>
    <w:uiPriority w:val="99"/>
    <w:semiHidden/>
    <w:rsid w:val="00FE59AE"/>
    <w:rPr>
      <w:sz w:val="16"/>
      <w:szCs w:val="16"/>
    </w:rPr>
  </w:style>
  <w:style w:type="paragraph" w:styleId="CommentText">
    <w:name w:val="annotation text"/>
    <w:basedOn w:val="Normal"/>
    <w:link w:val="CommentTextChar"/>
    <w:uiPriority w:val="99"/>
    <w:semiHidden/>
    <w:rsid w:val="00FE59AE"/>
    <w:pPr>
      <w:spacing w:line="240" w:lineRule="auto"/>
    </w:pPr>
    <w:rPr>
      <w:sz w:val="20"/>
      <w:szCs w:val="20"/>
    </w:rPr>
  </w:style>
  <w:style w:type="character" w:customStyle="1" w:styleId="CommentTextChar">
    <w:name w:val="Comment Text Char"/>
    <w:basedOn w:val="DefaultParagraphFont"/>
    <w:link w:val="CommentText"/>
    <w:uiPriority w:val="99"/>
    <w:semiHidden/>
    <w:rsid w:val="00FE59AE"/>
    <w:rPr>
      <w:rFonts w:ascii="Arial" w:hAnsi="Arial"/>
      <w:sz w:val="20"/>
      <w:szCs w:val="20"/>
    </w:rPr>
  </w:style>
  <w:style w:type="paragraph" w:styleId="CommentSubject">
    <w:name w:val="annotation subject"/>
    <w:basedOn w:val="CommentText"/>
    <w:next w:val="CommentText"/>
    <w:link w:val="CommentSubjectChar"/>
    <w:uiPriority w:val="99"/>
    <w:semiHidden/>
    <w:rsid w:val="00FE59AE"/>
    <w:rPr>
      <w:b/>
      <w:bCs/>
    </w:rPr>
  </w:style>
  <w:style w:type="character" w:customStyle="1" w:styleId="CommentSubjectChar">
    <w:name w:val="Comment Subject Char"/>
    <w:basedOn w:val="CommentTextChar"/>
    <w:link w:val="CommentSubject"/>
    <w:uiPriority w:val="99"/>
    <w:semiHidden/>
    <w:rsid w:val="00FE59AE"/>
    <w:rPr>
      <w:rFonts w:ascii="Arial" w:hAnsi="Arial"/>
      <w:b/>
      <w:bCs/>
      <w:sz w:val="20"/>
      <w:szCs w:val="20"/>
    </w:rPr>
  </w:style>
  <w:style w:type="character" w:styleId="EndnoteReference">
    <w:name w:val="endnote reference"/>
    <w:basedOn w:val="DefaultParagraphFont"/>
    <w:uiPriority w:val="99"/>
    <w:semiHidden/>
    <w:rsid w:val="00FE59AE"/>
    <w:rPr>
      <w:vertAlign w:val="superscript"/>
    </w:rPr>
  </w:style>
  <w:style w:type="paragraph" w:styleId="EndnoteText">
    <w:name w:val="endnote text"/>
    <w:basedOn w:val="Normal"/>
    <w:link w:val="EndnoteTextChar"/>
    <w:uiPriority w:val="99"/>
    <w:semiHidden/>
    <w:rsid w:val="00FE59AE"/>
    <w:pPr>
      <w:spacing w:after="200" w:line="240" w:lineRule="auto"/>
    </w:pPr>
    <w:rPr>
      <w:szCs w:val="20"/>
    </w:rPr>
  </w:style>
  <w:style w:type="character" w:customStyle="1" w:styleId="EndnoteTextChar">
    <w:name w:val="Endnote Text Char"/>
    <w:basedOn w:val="DefaultParagraphFont"/>
    <w:link w:val="EndnoteText"/>
    <w:uiPriority w:val="99"/>
    <w:semiHidden/>
    <w:rsid w:val="00693345"/>
    <w:rPr>
      <w:rFonts w:ascii="Arial" w:hAnsi="Arial"/>
      <w:szCs w:val="20"/>
    </w:rPr>
  </w:style>
  <w:style w:type="character" w:customStyle="1" w:styleId="ListNumberChar">
    <w:name w:val="List Number Char"/>
    <w:basedOn w:val="DefaultParagraphFont"/>
    <w:link w:val="ListNumber"/>
    <w:uiPriority w:val="99"/>
    <w:semiHidden/>
    <w:rsid w:val="00693345"/>
    <w:rPr>
      <w:rFonts w:ascii="Arial" w:hAnsi="Arial"/>
    </w:rPr>
  </w:style>
  <w:style w:type="character" w:styleId="FootnoteReference">
    <w:name w:val="footnote reference"/>
    <w:basedOn w:val="DefaultParagraphFont"/>
    <w:unhideWhenUsed/>
    <w:rsid w:val="00FE59AE"/>
    <w:rPr>
      <w:vertAlign w:val="superscript"/>
    </w:rPr>
  </w:style>
  <w:style w:type="paragraph" w:styleId="FootnoteText">
    <w:name w:val="footnote text"/>
    <w:basedOn w:val="Normal"/>
    <w:link w:val="FootnoteTextChar"/>
    <w:unhideWhenUsed/>
    <w:qFormat/>
    <w:rsid w:val="00FE59AE"/>
    <w:pPr>
      <w:spacing w:after="0" w:line="240" w:lineRule="auto"/>
    </w:pPr>
    <w:rPr>
      <w:sz w:val="20"/>
      <w:szCs w:val="20"/>
    </w:rPr>
  </w:style>
  <w:style w:type="character" w:customStyle="1" w:styleId="FootnoteTextChar">
    <w:name w:val="Footnote Text Char"/>
    <w:basedOn w:val="DefaultParagraphFont"/>
    <w:link w:val="FootnoteText"/>
    <w:rsid w:val="00FE59AE"/>
    <w:rPr>
      <w:rFonts w:ascii="Arial" w:hAnsi="Arial"/>
      <w:sz w:val="20"/>
      <w:szCs w:val="20"/>
    </w:rPr>
  </w:style>
  <w:style w:type="character" w:customStyle="1" w:styleId="Heading5Char">
    <w:name w:val="Heading 5 Char"/>
    <w:basedOn w:val="DefaultParagraphFont"/>
    <w:link w:val="Heading5"/>
    <w:uiPriority w:val="9"/>
    <w:semiHidden/>
    <w:rsid w:val="00FE59A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E59A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E59A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E59A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E59AE"/>
    <w:rPr>
      <w:rFonts w:asciiTheme="majorHAnsi" w:eastAsiaTheme="majorEastAsia" w:hAnsiTheme="majorHAnsi" w:cstheme="majorBidi"/>
      <w:i/>
      <w:iCs/>
      <w:color w:val="272727" w:themeColor="text1" w:themeTint="D8"/>
      <w:sz w:val="21"/>
      <w:szCs w:val="21"/>
    </w:rPr>
  </w:style>
  <w:style w:type="paragraph" w:customStyle="1" w:styleId="ListOfTablesFigures">
    <w:name w:val="List Of Tables/Figures"/>
    <w:basedOn w:val="ESRBodyText"/>
    <w:link w:val="ListOfTablesFiguresChar"/>
    <w:uiPriority w:val="2"/>
    <w:semiHidden/>
    <w:qFormat/>
    <w:rsid w:val="00FE59AE"/>
    <w:rPr>
      <w:color w:val="0097DB"/>
      <w:sz w:val="28"/>
    </w:rPr>
  </w:style>
  <w:style w:type="character" w:customStyle="1" w:styleId="ListOfTablesFiguresChar">
    <w:name w:val="List Of Tables/Figures Char"/>
    <w:basedOn w:val="ESRBodyTextChar"/>
    <w:link w:val="ListOfTablesFigures"/>
    <w:uiPriority w:val="2"/>
    <w:semiHidden/>
    <w:rsid w:val="00693345"/>
    <w:rPr>
      <w:rFonts w:ascii="Arial" w:hAnsi="Arial"/>
      <w:color w:val="0097DB"/>
      <w:sz w:val="28"/>
    </w:rPr>
  </w:style>
  <w:style w:type="paragraph" w:customStyle="1" w:styleId="PictureCaptions">
    <w:name w:val="Picture Captions"/>
    <w:uiPriority w:val="2"/>
    <w:rsid w:val="000B0C91"/>
    <w:rPr>
      <w:rFonts w:ascii="Arial" w:hAnsi="Arial" w:cs="Arial"/>
      <w:b/>
      <w:sz w:val="20"/>
      <w:szCs w:val="18"/>
    </w:rPr>
  </w:style>
  <w:style w:type="paragraph" w:customStyle="1" w:styleId="TableText">
    <w:name w:val="Table Text"/>
    <w:basedOn w:val="ESRBodyText"/>
    <w:link w:val="TableTextChar"/>
    <w:uiPriority w:val="3"/>
    <w:qFormat/>
    <w:rsid w:val="00FE59AE"/>
    <w:pPr>
      <w:spacing w:before="40" w:after="40"/>
    </w:pPr>
    <w:rPr>
      <w:szCs w:val="16"/>
    </w:rPr>
  </w:style>
  <w:style w:type="character" w:customStyle="1" w:styleId="TableTextChar">
    <w:name w:val="Table Text Char"/>
    <w:basedOn w:val="ESRBodyTextChar"/>
    <w:link w:val="TableText"/>
    <w:uiPriority w:val="3"/>
    <w:rsid w:val="00FE59AE"/>
    <w:rPr>
      <w:rFonts w:ascii="Arial" w:hAnsi="Arial"/>
      <w:szCs w:val="16"/>
    </w:rPr>
  </w:style>
  <w:style w:type="paragraph" w:customStyle="1" w:styleId="TableHeading">
    <w:name w:val="Table Heading"/>
    <w:basedOn w:val="TableText"/>
    <w:link w:val="TableHeadingChar"/>
    <w:uiPriority w:val="2"/>
    <w:semiHidden/>
    <w:rsid w:val="00FE59AE"/>
    <w:rPr>
      <w:b/>
      <w:sz w:val="14"/>
    </w:rPr>
  </w:style>
  <w:style w:type="character" w:customStyle="1" w:styleId="TableHeadingChar">
    <w:name w:val="Table Heading Char"/>
    <w:basedOn w:val="TableTextChar"/>
    <w:link w:val="TableHeading"/>
    <w:uiPriority w:val="2"/>
    <w:semiHidden/>
    <w:rsid w:val="00FE59AE"/>
    <w:rPr>
      <w:rFonts w:ascii="Arial" w:hAnsi="Arial"/>
      <w:b/>
      <w:sz w:val="14"/>
      <w:szCs w:val="16"/>
    </w:rPr>
  </w:style>
  <w:style w:type="paragraph" w:customStyle="1" w:styleId="TableColumnHeadings">
    <w:name w:val="Table Column Headings"/>
    <w:basedOn w:val="TableHeading"/>
    <w:link w:val="TableColumnHeadingsChar"/>
    <w:uiPriority w:val="2"/>
    <w:qFormat/>
    <w:rsid w:val="00FE59AE"/>
  </w:style>
  <w:style w:type="character" w:customStyle="1" w:styleId="TableColumnHeadingsChar">
    <w:name w:val="Table Column Headings Char"/>
    <w:basedOn w:val="TableHeadingChar"/>
    <w:link w:val="TableColumnHeadings"/>
    <w:uiPriority w:val="2"/>
    <w:rsid w:val="00FE59AE"/>
    <w:rPr>
      <w:rFonts w:ascii="Arial" w:hAnsi="Arial"/>
      <w:b/>
      <w:sz w:val="14"/>
      <w:szCs w:val="16"/>
    </w:rPr>
  </w:style>
  <w:style w:type="paragraph" w:styleId="TableofFigures">
    <w:name w:val="table of figures"/>
    <w:basedOn w:val="ESRBodyText"/>
    <w:next w:val="ESRBodyText"/>
    <w:uiPriority w:val="99"/>
    <w:rsid w:val="00F312C2"/>
    <w:pPr>
      <w:tabs>
        <w:tab w:val="left" w:pos="1134"/>
        <w:tab w:val="right" w:leader="dot" w:pos="9016"/>
      </w:tabs>
      <w:spacing w:before="100" w:after="100"/>
      <w:ind w:left="1134" w:right="284" w:hanging="1134"/>
    </w:pPr>
    <w:rPr>
      <w:rFonts w:cs="Arial"/>
      <w:noProof/>
    </w:rPr>
  </w:style>
  <w:style w:type="paragraph" w:customStyle="1" w:styleId="TableFigureHeading">
    <w:name w:val="Table/Figure Heading"/>
    <w:basedOn w:val="Caption"/>
    <w:link w:val="TableFigureHeadingChar"/>
    <w:uiPriority w:val="2"/>
    <w:qFormat/>
    <w:rsid w:val="00FE59AE"/>
    <w:rPr>
      <w:b/>
    </w:rPr>
  </w:style>
  <w:style w:type="character" w:customStyle="1" w:styleId="TableFigureHeadingChar">
    <w:name w:val="Table/Figure Heading Char"/>
    <w:basedOn w:val="CaptionChar"/>
    <w:link w:val="TableFigureHeading"/>
    <w:uiPriority w:val="2"/>
    <w:rsid w:val="00FE59AE"/>
    <w:rPr>
      <w:rFonts w:ascii="Arial Bold" w:hAnsi="Arial Bold"/>
      <w:b/>
      <w:iCs/>
      <w:sz w:val="18"/>
      <w:szCs w:val="18"/>
    </w:rPr>
  </w:style>
  <w:style w:type="paragraph" w:styleId="TOCHeading">
    <w:name w:val="TOC Heading"/>
    <w:basedOn w:val="Heading1"/>
    <w:next w:val="Normal"/>
    <w:uiPriority w:val="39"/>
    <w:semiHidden/>
    <w:rsid w:val="00FE59AE"/>
    <w:pPr>
      <w:outlineLvl w:val="9"/>
    </w:pPr>
    <w:rPr>
      <w:caps w:val="0"/>
      <w:lang w:val="en-US"/>
    </w:rPr>
  </w:style>
  <w:style w:type="table" w:styleId="LightShading">
    <w:name w:val="Light Shading"/>
    <w:basedOn w:val="TableNormal"/>
    <w:uiPriority w:val="60"/>
    <w:rsid w:val="00EC0E1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Default">
    <w:name w:val="Default"/>
    <w:rsid w:val="00BE4B70"/>
    <w:pPr>
      <w:widowControl w:val="0"/>
      <w:autoSpaceDE w:val="0"/>
      <w:autoSpaceDN w:val="0"/>
      <w:adjustRightInd w:val="0"/>
      <w:spacing w:after="0" w:line="240" w:lineRule="auto"/>
    </w:pPr>
    <w:rPr>
      <w:rFonts w:ascii="Gotham Light" w:eastAsiaTheme="minorEastAsia" w:hAnsi="Gotham Light" w:cs="Gotham Light"/>
      <w:color w:val="000000"/>
      <w:sz w:val="24"/>
      <w:szCs w:val="24"/>
      <w:lang w:val="en-US"/>
    </w:rPr>
  </w:style>
  <w:style w:type="paragraph" w:customStyle="1" w:styleId="Texttitle">
    <w:name w:val="Text title"/>
    <w:basedOn w:val="Normal"/>
    <w:link w:val="TexttitleChar"/>
    <w:qFormat/>
    <w:rsid w:val="006D7940"/>
    <w:pPr>
      <w:jc w:val="center"/>
    </w:pPr>
    <w:rPr>
      <w:rFonts w:ascii="Museo 500" w:hAnsi="Museo 500"/>
      <w:b/>
      <w:sz w:val="26"/>
      <w:szCs w:val="26"/>
      <w:lang w:val="en-US"/>
    </w:rPr>
  </w:style>
  <w:style w:type="character" w:customStyle="1" w:styleId="TexttitleChar">
    <w:name w:val="Text title Char"/>
    <w:basedOn w:val="DefaultParagraphFont"/>
    <w:link w:val="Texttitle"/>
    <w:rsid w:val="006D7940"/>
    <w:rPr>
      <w:rFonts w:ascii="Museo 500" w:hAnsi="Museo 500"/>
      <w:b/>
      <w:sz w:val="26"/>
      <w:szCs w:val="26"/>
      <w:lang w:val="en-US"/>
    </w:rPr>
  </w:style>
  <w:style w:type="character" w:styleId="PageNumber">
    <w:name w:val="page number"/>
    <w:basedOn w:val="DefaultParagraphFont"/>
    <w:uiPriority w:val="99"/>
    <w:semiHidden/>
    <w:unhideWhenUsed/>
    <w:rsid w:val="006D7940"/>
  </w:style>
  <w:style w:type="paragraph" w:customStyle="1" w:styleId="Ref">
    <w:name w:val="Ref"/>
    <w:basedOn w:val="Normal"/>
    <w:link w:val="RefChar"/>
    <w:qFormat/>
    <w:rsid w:val="006D7940"/>
    <w:pPr>
      <w:keepLines/>
      <w:spacing w:before="120" w:after="120" w:line="240" w:lineRule="auto"/>
      <w:ind w:left="432" w:hanging="432"/>
    </w:pPr>
    <w:rPr>
      <w:rFonts w:ascii="Calibri" w:eastAsia="Times New Roman" w:hAnsi="Calibri" w:cs="Times New Roman"/>
      <w:sz w:val="24"/>
      <w:lang w:val="en-US"/>
    </w:rPr>
  </w:style>
  <w:style w:type="character" w:customStyle="1" w:styleId="RefChar">
    <w:name w:val="Ref Char"/>
    <w:basedOn w:val="DefaultParagraphFont"/>
    <w:link w:val="Ref"/>
    <w:locked/>
    <w:rsid w:val="006D7940"/>
    <w:rPr>
      <w:rFonts w:ascii="Calibri" w:eastAsia="Times New Roman" w:hAnsi="Calibri" w:cs="Times New Roman"/>
      <w:sz w:val="24"/>
      <w:lang w:val="en-US"/>
    </w:rPr>
  </w:style>
  <w:style w:type="paragraph" w:customStyle="1" w:styleId="DocID">
    <w:name w:val="DocID"/>
    <w:basedOn w:val="Footer"/>
    <w:next w:val="Footer"/>
    <w:uiPriority w:val="99"/>
    <w:rsid w:val="006D7940"/>
    <w:pPr>
      <w:tabs>
        <w:tab w:val="clear" w:pos="4513"/>
        <w:tab w:val="clear" w:pos="9026"/>
      </w:tabs>
      <w:jc w:val="right"/>
    </w:pPr>
    <w:rPr>
      <w:rFonts w:asciiTheme="minorHAnsi" w:eastAsia="Times New Roman" w:hAnsiTheme="minorHAnsi" w:cs="Times New Roman"/>
      <w:b w:val="0"/>
      <w:sz w:val="16"/>
      <w:szCs w:val="20"/>
      <w:lang w:val="en-US"/>
    </w:rPr>
  </w:style>
  <w:style w:type="table" w:customStyle="1" w:styleId="Reporttable">
    <w:name w:val="Report table"/>
    <w:basedOn w:val="TableNormal"/>
    <w:uiPriority w:val="42"/>
    <w:rsid w:val="006D7940"/>
    <w:pPr>
      <w:widowControl w:val="0"/>
      <w:spacing w:after="60" w:line="240" w:lineRule="auto"/>
    </w:pPr>
    <w:rPr>
      <w:lang w:val="en-US"/>
    </w:rPr>
    <w:tblPr>
      <w:tblStyleRowBandSize w:val="1"/>
      <w:tblStyleColBandSize w:val="1"/>
      <w:jc w:val="center"/>
      <w:tblBorders>
        <w:top w:val="single" w:sz="4" w:space="0" w:color="auto"/>
        <w:bottom w:val="single" w:sz="4" w:space="0" w:color="auto"/>
        <w:insideH w:val="dotted" w:sz="4" w:space="0" w:color="808080" w:themeColor="background1" w:themeShade="80"/>
      </w:tblBorders>
    </w:tblPr>
    <w:trPr>
      <w:cantSplit/>
      <w:jc w:val="center"/>
    </w:trPr>
    <w:tblStylePr w:type="firstRow">
      <w:pPr>
        <w:jc w:val="center"/>
      </w:pPr>
      <w:rPr>
        <w:rFonts w:asciiTheme="minorHAnsi" w:hAnsiTheme="minorHAnsi"/>
        <w:b/>
        <w:bCs/>
        <w:sz w:val="22"/>
      </w:rPr>
      <w:tblPr/>
      <w:tcPr>
        <w:tcBorders>
          <w:bottom w:val="single" w:sz="4" w:space="0" w:color="7F7F7F" w:themeColor="text1" w:themeTint="80"/>
        </w:tcBorders>
        <w:vAlign w:val="center"/>
      </w:tcPr>
    </w:tblStylePr>
    <w:tblStylePr w:type="lastRow">
      <w:rPr>
        <w:rFonts w:asciiTheme="minorHAnsi" w:hAnsiTheme="minorHAnsi"/>
        <w:b w:val="0"/>
        <w:bCs/>
        <w:sz w:val="22"/>
      </w:rPr>
      <w:tblPr/>
      <w:tcPr>
        <w:tcBorders>
          <w:top w:val="single" w:sz="4" w:space="0" w:color="auto"/>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Equation">
    <w:name w:val="Equation"/>
    <w:basedOn w:val="Normal"/>
    <w:next w:val="BodyText2"/>
    <w:qFormat/>
    <w:rsid w:val="006D7940"/>
    <w:pPr>
      <w:widowControl w:val="0"/>
      <w:tabs>
        <w:tab w:val="center" w:pos="4680"/>
        <w:tab w:val="right" w:pos="9450"/>
      </w:tabs>
      <w:spacing w:before="120" w:after="120" w:line="240" w:lineRule="auto"/>
      <w:jc w:val="center"/>
    </w:pPr>
    <w:rPr>
      <w:rFonts w:asciiTheme="minorHAnsi" w:eastAsia="Times New Roman" w:hAnsiTheme="minorHAnsi" w:cs="Times New Roman"/>
      <w:snapToGrid w:val="0"/>
      <w:sz w:val="24"/>
      <w:szCs w:val="24"/>
      <w:lang w:val="en-US" w:eastAsia="fr-FR"/>
    </w:rPr>
  </w:style>
  <w:style w:type="table" w:customStyle="1" w:styleId="ListTable21">
    <w:name w:val="List Table 21"/>
    <w:basedOn w:val="TableNormal"/>
    <w:uiPriority w:val="47"/>
    <w:rsid w:val="006D7940"/>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odyText2">
    <w:name w:val="Body Text 2"/>
    <w:basedOn w:val="Normal"/>
    <w:link w:val="BodyText2Char"/>
    <w:uiPriority w:val="99"/>
    <w:semiHidden/>
    <w:unhideWhenUsed/>
    <w:rsid w:val="006D7940"/>
    <w:pPr>
      <w:spacing w:after="120" w:line="480" w:lineRule="auto"/>
    </w:pPr>
  </w:style>
  <w:style w:type="character" w:customStyle="1" w:styleId="BodyText2Char">
    <w:name w:val="Body Text 2 Char"/>
    <w:basedOn w:val="DefaultParagraphFont"/>
    <w:link w:val="BodyText2"/>
    <w:uiPriority w:val="99"/>
    <w:semiHidden/>
    <w:rsid w:val="006D7940"/>
    <w:rPr>
      <w:rFonts w:ascii="Arial" w:hAnsi="Arial"/>
    </w:rPr>
  </w:style>
  <w:style w:type="table" w:customStyle="1" w:styleId="ListTable22">
    <w:name w:val="List Table 22"/>
    <w:basedOn w:val="TableNormal"/>
    <w:uiPriority w:val="47"/>
    <w:rsid w:val="00604079"/>
    <w:pPr>
      <w:spacing w:after="0" w:line="240" w:lineRule="auto"/>
    </w:pPr>
    <w:rPr>
      <w:lang w:val="en-US"/>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
    <w:name w:val="bullet"/>
    <w:basedOn w:val="Normal"/>
    <w:uiPriority w:val="99"/>
    <w:semiHidden/>
    <w:rsid w:val="004A49B0"/>
    <w:pPr>
      <w:numPr>
        <w:numId w:val="32"/>
      </w:numPr>
      <w:spacing w:after="0" w:line="300" w:lineRule="auto"/>
    </w:pPr>
    <w:rPr>
      <w:rFonts w:asciiTheme="minorHAnsi" w:eastAsia="Times New Roman" w:hAnsiTheme="minorHAnsi" w:cs="Times New Roman"/>
      <w:sz w:val="24"/>
      <w:szCs w:val="20"/>
      <w:lang w:val="en-US"/>
    </w:rPr>
  </w:style>
  <w:style w:type="numbering" w:customStyle="1" w:styleId="Style5">
    <w:name w:val="Style5"/>
    <w:uiPriority w:val="99"/>
    <w:rsid w:val="004A49B0"/>
    <w:pPr>
      <w:numPr>
        <w:numId w:val="3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944207">
      <w:bodyDiv w:val="1"/>
      <w:marLeft w:val="0"/>
      <w:marRight w:val="0"/>
      <w:marTop w:val="0"/>
      <w:marBottom w:val="0"/>
      <w:divBdr>
        <w:top w:val="none" w:sz="0" w:space="0" w:color="auto"/>
        <w:left w:val="none" w:sz="0" w:space="0" w:color="auto"/>
        <w:bottom w:val="none" w:sz="0" w:space="0" w:color="auto"/>
        <w:right w:val="none" w:sz="0" w:space="0" w:color="auto"/>
      </w:divBdr>
    </w:div>
    <w:div w:id="1435635776">
      <w:bodyDiv w:val="1"/>
      <w:marLeft w:val="0"/>
      <w:marRight w:val="0"/>
      <w:marTop w:val="0"/>
      <w:marBottom w:val="0"/>
      <w:divBdr>
        <w:top w:val="none" w:sz="0" w:space="0" w:color="auto"/>
        <w:left w:val="none" w:sz="0" w:space="0" w:color="auto"/>
        <w:bottom w:val="none" w:sz="0" w:space="0" w:color="auto"/>
        <w:right w:val="none" w:sz="0" w:space="0" w:color="auto"/>
      </w:divBdr>
    </w:div>
    <w:div w:id="2131825110">
      <w:bodyDiv w:val="1"/>
      <w:marLeft w:val="0"/>
      <w:marRight w:val="0"/>
      <w:marTop w:val="0"/>
      <w:marBottom w:val="0"/>
      <w:divBdr>
        <w:top w:val="none" w:sz="0" w:space="0" w:color="auto"/>
        <w:left w:val="none" w:sz="0" w:space="0" w:color="auto"/>
        <w:bottom w:val="none" w:sz="0" w:space="0" w:color="auto"/>
        <w:right w:val="none" w:sz="0" w:space="0" w:color="auto"/>
      </w:divBdr>
      <w:divsChild>
        <w:div w:id="2065367784">
          <w:marLeft w:val="0"/>
          <w:marRight w:val="0"/>
          <w:marTop w:val="0"/>
          <w:marBottom w:val="0"/>
          <w:divBdr>
            <w:top w:val="none" w:sz="0" w:space="0" w:color="auto"/>
            <w:left w:val="none" w:sz="0" w:space="0" w:color="auto"/>
            <w:bottom w:val="none" w:sz="0" w:space="0" w:color="auto"/>
            <w:right w:val="none" w:sz="0" w:space="0" w:color="auto"/>
          </w:divBdr>
          <w:divsChild>
            <w:div w:id="1939830949">
              <w:marLeft w:val="0"/>
              <w:marRight w:val="0"/>
              <w:marTop w:val="0"/>
              <w:marBottom w:val="0"/>
              <w:divBdr>
                <w:top w:val="none" w:sz="0" w:space="0" w:color="auto"/>
                <w:left w:val="none" w:sz="0" w:space="0" w:color="auto"/>
                <w:bottom w:val="none" w:sz="0" w:space="0" w:color="auto"/>
                <w:right w:val="none" w:sz="0" w:space="0" w:color="auto"/>
              </w:divBdr>
              <w:divsChild>
                <w:div w:id="187529421">
                  <w:marLeft w:val="0"/>
                  <w:marRight w:val="0"/>
                  <w:marTop w:val="0"/>
                  <w:marBottom w:val="0"/>
                  <w:divBdr>
                    <w:top w:val="none" w:sz="0" w:space="0" w:color="auto"/>
                    <w:left w:val="none" w:sz="0" w:space="0" w:color="auto"/>
                    <w:bottom w:val="none" w:sz="0" w:space="0" w:color="auto"/>
                    <w:right w:val="none" w:sz="0" w:space="0" w:color="auto"/>
                  </w:divBdr>
                  <w:divsChild>
                    <w:div w:id="2075083507">
                      <w:marLeft w:val="0"/>
                      <w:marRight w:val="0"/>
                      <w:marTop w:val="0"/>
                      <w:marBottom w:val="0"/>
                      <w:divBdr>
                        <w:top w:val="none" w:sz="0" w:space="0" w:color="auto"/>
                        <w:left w:val="none" w:sz="0" w:space="0" w:color="auto"/>
                        <w:bottom w:val="none" w:sz="0" w:space="0" w:color="auto"/>
                        <w:right w:val="none" w:sz="0" w:space="0" w:color="auto"/>
                      </w:divBdr>
                      <w:divsChild>
                        <w:div w:id="1332945722">
                          <w:marLeft w:val="0"/>
                          <w:marRight w:val="0"/>
                          <w:marTop w:val="45"/>
                          <w:marBottom w:val="0"/>
                          <w:divBdr>
                            <w:top w:val="none" w:sz="0" w:space="0" w:color="auto"/>
                            <w:left w:val="none" w:sz="0" w:space="0" w:color="auto"/>
                            <w:bottom w:val="none" w:sz="0" w:space="0" w:color="auto"/>
                            <w:right w:val="none" w:sz="0" w:space="0" w:color="auto"/>
                          </w:divBdr>
                          <w:divsChild>
                            <w:div w:id="642734225">
                              <w:marLeft w:val="0"/>
                              <w:marRight w:val="0"/>
                              <w:marTop w:val="0"/>
                              <w:marBottom w:val="0"/>
                              <w:divBdr>
                                <w:top w:val="none" w:sz="0" w:space="0" w:color="auto"/>
                                <w:left w:val="none" w:sz="0" w:space="0" w:color="auto"/>
                                <w:bottom w:val="none" w:sz="0" w:space="0" w:color="auto"/>
                                <w:right w:val="none" w:sz="0" w:space="0" w:color="auto"/>
                              </w:divBdr>
                              <w:divsChild>
                                <w:div w:id="1112357346">
                                  <w:marLeft w:val="2070"/>
                                  <w:marRight w:val="3810"/>
                                  <w:marTop w:val="0"/>
                                  <w:marBottom w:val="0"/>
                                  <w:divBdr>
                                    <w:top w:val="none" w:sz="0" w:space="0" w:color="auto"/>
                                    <w:left w:val="none" w:sz="0" w:space="0" w:color="auto"/>
                                    <w:bottom w:val="none" w:sz="0" w:space="0" w:color="auto"/>
                                    <w:right w:val="none" w:sz="0" w:space="0" w:color="auto"/>
                                  </w:divBdr>
                                  <w:divsChild>
                                    <w:div w:id="131798506">
                                      <w:marLeft w:val="0"/>
                                      <w:marRight w:val="0"/>
                                      <w:marTop w:val="0"/>
                                      <w:marBottom w:val="0"/>
                                      <w:divBdr>
                                        <w:top w:val="none" w:sz="0" w:space="0" w:color="auto"/>
                                        <w:left w:val="none" w:sz="0" w:space="0" w:color="auto"/>
                                        <w:bottom w:val="none" w:sz="0" w:space="0" w:color="auto"/>
                                        <w:right w:val="none" w:sz="0" w:space="0" w:color="auto"/>
                                      </w:divBdr>
                                      <w:divsChild>
                                        <w:div w:id="1308823620">
                                          <w:marLeft w:val="0"/>
                                          <w:marRight w:val="0"/>
                                          <w:marTop w:val="0"/>
                                          <w:marBottom w:val="0"/>
                                          <w:divBdr>
                                            <w:top w:val="none" w:sz="0" w:space="0" w:color="auto"/>
                                            <w:left w:val="none" w:sz="0" w:space="0" w:color="auto"/>
                                            <w:bottom w:val="none" w:sz="0" w:space="0" w:color="auto"/>
                                            <w:right w:val="none" w:sz="0" w:space="0" w:color="auto"/>
                                          </w:divBdr>
                                          <w:divsChild>
                                            <w:div w:id="2036878990">
                                              <w:marLeft w:val="0"/>
                                              <w:marRight w:val="0"/>
                                              <w:marTop w:val="0"/>
                                              <w:marBottom w:val="0"/>
                                              <w:divBdr>
                                                <w:top w:val="none" w:sz="0" w:space="0" w:color="auto"/>
                                                <w:left w:val="none" w:sz="0" w:space="0" w:color="auto"/>
                                                <w:bottom w:val="none" w:sz="0" w:space="0" w:color="auto"/>
                                                <w:right w:val="none" w:sz="0" w:space="0" w:color="auto"/>
                                              </w:divBdr>
                                              <w:divsChild>
                                                <w:div w:id="752436669">
                                                  <w:marLeft w:val="0"/>
                                                  <w:marRight w:val="0"/>
                                                  <w:marTop w:val="0"/>
                                                  <w:marBottom w:val="0"/>
                                                  <w:divBdr>
                                                    <w:top w:val="none" w:sz="0" w:space="0" w:color="auto"/>
                                                    <w:left w:val="none" w:sz="0" w:space="0" w:color="auto"/>
                                                    <w:bottom w:val="none" w:sz="0" w:space="0" w:color="auto"/>
                                                    <w:right w:val="none" w:sz="0" w:space="0" w:color="auto"/>
                                                  </w:divBdr>
                                                  <w:divsChild>
                                                    <w:div w:id="2060156694">
                                                      <w:marLeft w:val="0"/>
                                                      <w:marRight w:val="0"/>
                                                      <w:marTop w:val="0"/>
                                                      <w:marBottom w:val="0"/>
                                                      <w:divBdr>
                                                        <w:top w:val="none" w:sz="0" w:space="0" w:color="auto"/>
                                                        <w:left w:val="none" w:sz="0" w:space="0" w:color="auto"/>
                                                        <w:bottom w:val="none" w:sz="0" w:space="0" w:color="auto"/>
                                                        <w:right w:val="none" w:sz="0" w:space="0" w:color="auto"/>
                                                      </w:divBdr>
                                                      <w:divsChild>
                                                        <w:div w:id="175073500">
                                                          <w:marLeft w:val="0"/>
                                                          <w:marRight w:val="0"/>
                                                          <w:marTop w:val="0"/>
                                                          <w:marBottom w:val="345"/>
                                                          <w:divBdr>
                                                            <w:top w:val="none" w:sz="0" w:space="0" w:color="auto"/>
                                                            <w:left w:val="none" w:sz="0" w:space="0" w:color="auto"/>
                                                            <w:bottom w:val="none" w:sz="0" w:space="0" w:color="auto"/>
                                                            <w:right w:val="none" w:sz="0" w:space="0" w:color="auto"/>
                                                          </w:divBdr>
                                                          <w:divsChild>
                                                            <w:div w:id="846208229">
                                                              <w:marLeft w:val="0"/>
                                                              <w:marRight w:val="0"/>
                                                              <w:marTop w:val="0"/>
                                                              <w:marBottom w:val="0"/>
                                                              <w:divBdr>
                                                                <w:top w:val="none" w:sz="0" w:space="0" w:color="auto"/>
                                                                <w:left w:val="none" w:sz="0" w:space="0" w:color="auto"/>
                                                                <w:bottom w:val="none" w:sz="0" w:space="0" w:color="auto"/>
                                                                <w:right w:val="none" w:sz="0" w:space="0" w:color="auto"/>
                                                              </w:divBdr>
                                                              <w:divsChild>
                                                                <w:div w:id="214454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210330">
                                                          <w:marLeft w:val="0"/>
                                                          <w:marRight w:val="0"/>
                                                          <w:marTop w:val="0"/>
                                                          <w:marBottom w:val="0"/>
                                                          <w:divBdr>
                                                            <w:top w:val="none" w:sz="0" w:space="0" w:color="auto"/>
                                                            <w:left w:val="none" w:sz="0" w:space="0" w:color="auto"/>
                                                            <w:bottom w:val="none" w:sz="0" w:space="0" w:color="auto"/>
                                                            <w:right w:val="none" w:sz="0" w:space="0" w:color="auto"/>
                                                          </w:divBdr>
                                                          <w:divsChild>
                                                            <w:div w:id="1824811758">
                                                              <w:marLeft w:val="0"/>
                                                              <w:marRight w:val="0"/>
                                                              <w:marTop w:val="0"/>
                                                              <w:marBottom w:val="345"/>
                                                              <w:divBdr>
                                                                <w:top w:val="none" w:sz="0" w:space="0" w:color="auto"/>
                                                                <w:left w:val="none" w:sz="0" w:space="0" w:color="auto"/>
                                                                <w:bottom w:val="none" w:sz="0" w:space="0" w:color="auto"/>
                                                                <w:right w:val="none" w:sz="0" w:space="0" w:color="auto"/>
                                                              </w:divBdr>
                                                              <w:divsChild>
                                                                <w:div w:id="18991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image" Target="media/image8.png"/><Relationship Id="rId39" Type="http://schemas.openxmlformats.org/officeDocument/2006/relationships/hyperlink" Target="http://www.health.state.mn.us/divs/eh/meth/lab/guidance.pdf" TargetMode="External"/><Relationship Id="rId21" Type="http://schemas.openxmlformats.org/officeDocument/2006/relationships/footer" Target="footer6.xml"/><Relationship Id="rId34" Type="http://schemas.openxmlformats.org/officeDocument/2006/relationships/hyperlink" Target="https://www.ncbi.nlm.nih.gov/pubmed/22424953" TargetMode="External"/><Relationship Id="rId42" Type="http://schemas.openxmlformats.org/officeDocument/2006/relationships/hyperlink" Target="http://www.health.nsw.gov.au/environment/hazard/Documents/clan-lab-guidelines.pdf" TargetMode="External"/><Relationship Id="rId47" Type="http://schemas.openxmlformats.org/officeDocument/2006/relationships/hyperlink" Target="http://www.ncbi.nlm.nih.gov/pubmed/?term=Chokjamsai%20M%5BAuthor%5D&amp;cauthor=true&amp;cauthor_uid=11075983" TargetMode="External"/><Relationship Id="rId50" Type="http://schemas.openxmlformats.org/officeDocument/2006/relationships/hyperlink" Target="https://www.dea.gov/resource-center/meth-lab-maps.shtml" TargetMode="External"/><Relationship Id="rId55" Type="http://schemas.openxmlformats.org/officeDocument/2006/relationships/oleObject" Target="embeddings/oleObject1.bin"/><Relationship Id="rId63" Type="http://schemas.openxmlformats.org/officeDocument/2006/relationships/oleObject" Target="embeddings/oleObject3.bin"/><Relationship Id="rId68" Type="http://schemas.openxmlformats.org/officeDocument/2006/relationships/header" Target="header4.xm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yperlink" Target="http://www.cdc.gov/growthcharts/data/set1clinical/cj41l022.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hyperlink" Target="https://www.ag.gov.au/CrimeAndCorruption/Drugs/Documents/Clandestinedruglaboratoryremediationguidelines.pdf" TargetMode="External"/><Relationship Id="rId37" Type="http://schemas.openxmlformats.org/officeDocument/2006/relationships/hyperlink" Target="https://toxnet.nlm.nih.gov/newtoxnet/hsdb.htm" TargetMode="External"/><Relationship Id="rId40" Type="http://schemas.openxmlformats.org/officeDocument/2006/relationships/hyperlink" Target="https://www.health.govt.nz/system/files/documents/publications/guidelines-remediation-clandestine-meth-lab-sites.pdf" TargetMode="External"/><Relationship Id="rId45" Type="http://schemas.openxmlformats.org/officeDocument/2006/relationships/hyperlink" Target="https://www.aiha.org/get-involved/VolunteerGroups/Documents/2012%20AIHce%20RT%20225_Serrano.pdf" TargetMode="External"/><Relationship Id="rId53" Type="http://schemas.openxmlformats.org/officeDocument/2006/relationships/hyperlink" Target="http://health.utah.gov/meth/Pages/DeconStandard.html" TargetMode="External"/><Relationship Id="rId58" Type="http://schemas.openxmlformats.org/officeDocument/2006/relationships/image" Target="media/image13.png"/><Relationship Id="rId66" Type="http://schemas.openxmlformats.org/officeDocument/2006/relationships/hyperlink" Target="https://www.epa.gov/sites/production/files/2015-09/documents/part_e_final_revision_10-03-07.pdf" TargetMode="Externa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5.png"/><Relationship Id="rId28" Type="http://schemas.openxmlformats.org/officeDocument/2006/relationships/hyperlink" Target="https://www.aiha.org/get-involved/VolunteerGroups/Documents/2012%20AIHce%20RT%20225_Serrano.pdf" TargetMode="External"/><Relationship Id="rId36" Type="http://schemas.openxmlformats.org/officeDocument/2006/relationships/hyperlink" Target="http://www.enrisks.com.au/wp-content/uploads/2012/12/Derivation-of-Risk-Based-Guidelines-for-Website.pdf" TargetMode="External"/><Relationship Id="rId49" Type="http://schemas.openxmlformats.org/officeDocument/2006/relationships/hyperlink" Target="http://www.dea.gov/resources/img/redbook.pdf" TargetMode="External"/><Relationship Id="rId57" Type="http://schemas.openxmlformats.org/officeDocument/2006/relationships/image" Target="media/image12.png"/><Relationship Id="rId61" Type="http://schemas.openxmlformats.org/officeDocument/2006/relationships/image" Target="media/image15.wmf"/><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aic.gov.au/media_library/publications/rpp/93/rpp093.pdf" TargetMode="External"/><Relationship Id="rId44" Type="http://schemas.openxmlformats.org/officeDocument/2006/relationships/hyperlink" Target="https://toxnet.nlm.nih.gov/cgi-bin/sis/search2/f?./temp/~X9TGVu:2:@od@@/cgi-bin/sis/search2/d?./temp/~XL7gOL:0@" TargetMode="External"/><Relationship Id="rId52" Type="http://schemas.openxmlformats.org/officeDocument/2006/relationships/hyperlink" Target="http://www.fda.gov/Drugs/DrugSafety/ucm277770.htm" TargetMode="External"/><Relationship Id="rId60" Type="http://schemas.openxmlformats.org/officeDocument/2006/relationships/oleObject" Target="embeddings/oleObject2.bin"/><Relationship Id="rId65" Type="http://schemas.openxmlformats.org/officeDocument/2006/relationships/hyperlink" Target="http://oehha.ca.gov/media/downloads/crnr/exposureanalysis022709.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image" Target="media/image9.png"/><Relationship Id="rId30" Type="http://schemas.openxmlformats.org/officeDocument/2006/relationships/hyperlink" Target="http://oehha.ca.gov/media/downloads/crnr/methrfdfinal022609.pdf" TargetMode="External"/><Relationship Id="rId35" Type="http://schemas.openxmlformats.org/officeDocument/2006/relationships/hyperlink" Target="https://www.health.gov.au/internet/main/publishing.nsf/Content/A12B57E41EC9F326CA257BF0001F9E7D/$File/Clan-Labs.pdf" TargetMode="External"/><Relationship Id="rId43" Type="http://schemas.openxmlformats.org/officeDocument/2006/relationships/hyperlink" Target="http://oehha.ca.gov/media/downloads/crnr/exposureanalysis022709.pdf" TargetMode="External"/><Relationship Id="rId48" Type="http://schemas.openxmlformats.org/officeDocument/2006/relationships/hyperlink" Target="http://www.ncbi.nlm.nih.gov/pubmed/?term=Thampitak%20S%5BAuthor%5D&amp;cauthor=true&amp;cauthor_uid=11075983" TargetMode="External"/><Relationship Id="rId56" Type="http://schemas.openxmlformats.org/officeDocument/2006/relationships/image" Target="media/image11.wmf"/><Relationship Id="rId64" Type="http://schemas.openxmlformats.org/officeDocument/2006/relationships/image" Target="media/image17.png"/><Relationship Id="rId69" Type="http://schemas.openxmlformats.org/officeDocument/2006/relationships/footer" Target="footer8.xml"/><Relationship Id="rId8" Type="http://schemas.openxmlformats.org/officeDocument/2006/relationships/settings" Target="settings.xml"/><Relationship Id="rId51" Type="http://schemas.openxmlformats.org/officeDocument/2006/relationships/hyperlink" Target="https://www.epa.gov/sites/production/files/documents/meth_lab_guidelines.pdf"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3.xml"/><Relationship Id="rId25" Type="http://schemas.openxmlformats.org/officeDocument/2006/relationships/image" Target="media/image7.png"/><Relationship Id="rId33" Type="http://schemas.openxmlformats.org/officeDocument/2006/relationships/hyperlink" Target="https://www.colorado.gov/pacific/sites/default/files/HM_clean-up-level-support.pdf" TargetMode="External"/><Relationship Id="rId38" Type="http://schemas.openxmlformats.org/officeDocument/2006/relationships/hyperlink" Target="http://www.insightcrime.org/news-briefs/mexico-increases-meth-production" TargetMode="External"/><Relationship Id="rId46" Type="http://schemas.openxmlformats.org/officeDocument/2006/relationships/hyperlink" Target="http://www.ncbi.nlm.nih.gov/pubmed/?term=Sribanditmongkol%20P%5BAuthor%5D&amp;cauthor=true&amp;cauthor_uid=11075983" TargetMode="External"/><Relationship Id="rId59" Type="http://schemas.openxmlformats.org/officeDocument/2006/relationships/image" Target="media/image14.wmf"/><Relationship Id="rId67" Type="http://schemas.openxmlformats.org/officeDocument/2006/relationships/footer" Target="footer7.xml"/><Relationship Id="rId20" Type="http://schemas.openxmlformats.org/officeDocument/2006/relationships/footer" Target="footer5.xml"/><Relationship Id="rId41" Type="http://schemas.openxmlformats.org/officeDocument/2006/relationships/hyperlink" Target="https://medlineplus.gov/ency/article/007480.htm" TargetMode="External"/><Relationship Id="rId54" Type="http://schemas.openxmlformats.org/officeDocument/2006/relationships/image" Target="media/image10.wmf"/><Relationship Id="rId62" Type="http://schemas.openxmlformats.org/officeDocument/2006/relationships/image" Target="media/image16.wmf"/><Relationship Id="rId7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er7.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1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C000"/>
        </a:solidFill>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ESR Document" ma:contentTypeID="0x0101001B273B1BF5370D4A90FE399F3D791D6A00F677E516294E5D4AA9FF708A3AC3309A" ma:contentTypeVersion="13" ma:contentTypeDescription="" ma:contentTypeScope="" ma:versionID="00a67b3c906ae84a27bb3060316656ac">
  <xsd:schema xmlns:xsd="http://www.w3.org/2001/XMLSchema" xmlns:xs="http://www.w3.org/2001/XMLSchema" xmlns:p="http://schemas.microsoft.com/office/2006/metadata/properties" xmlns:ns1="http://schemas.microsoft.com/sharepoint/v3" xmlns:ns2="b6dc5c90-c558-492f-90c8-5a41dc4eaeac" xmlns:ns3="3853bce7-9ce6-41f0-9c94-8eb55bdcceb8" targetNamespace="http://schemas.microsoft.com/office/2006/metadata/properties" ma:root="true" ma:fieldsID="ba4db8e94ada7491f5c93fc59525212f" ns1:_="" ns2:_="" ns3:_="">
    <xsd:import namespace="http://schemas.microsoft.com/sharepoint/v3"/>
    <xsd:import namespace="b6dc5c90-c558-492f-90c8-5a41dc4eaeac"/>
    <xsd:import namespace="3853bce7-9ce6-41f0-9c94-8eb55bdcceb8"/>
    <xsd:element name="properties">
      <xsd:complexType>
        <xsd:sequence>
          <xsd:element name="documentManagement">
            <xsd:complexType>
              <xsd:all>
                <xsd:element ref="ns2:oc233d6eacb0456b9add110d2d7a0f28" minOccurs="0"/>
                <xsd:element ref="ns2:TaxCatchAll" minOccurs="0"/>
                <xsd:element ref="ns2:TaxCatchAllLabel" minOccurs="0"/>
                <xsd:element ref="ns2:Notes1" minOccurs="0"/>
                <xsd:element ref="ns2:_dlc_DocId" minOccurs="0"/>
                <xsd:element ref="ns2:_dlc_DocIdUrl" minOccurs="0"/>
                <xsd:element ref="ns2:_dlc_DocIdPersistId" minOccurs="0"/>
                <xsd:element ref="ns3:m7d65139b68449e9b31078e275ed4b33" minOccurs="0"/>
                <xsd:element ref="ns3:o5665a9ad0db41e6aec2be8d7debeb94" minOccurs="0"/>
                <xsd:element ref="ns3:name2" minOccurs="0"/>
                <xsd:element ref="ns3:na8bf3462f344bddb22ca27bf2a11b72"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23"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24"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dc5c90-c558-492f-90c8-5a41dc4eaeac" elementFormDefault="qualified">
    <xsd:import namespace="http://schemas.microsoft.com/office/2006/documentManagement/types"/>
    <xsd:import namespace="http://schemas.microsoft.com/office/infopath/2007/PartnerControls"/>
    <xsd:element name="oc233d6eacb0456b9add110d2d7a0f28" ma:index="8" nillable="true" ma:taxonomy="true" ma:internalName="oc233d6eacb0456b9add110d2d7a0f28" ma:taxonomyFieldName="ESRLocation" ma:displayName="ESR Location" ma:default="" ma:fieldId="{8c233d6e-acb0-456b-9add-110d2d7a0f28}" ma:taxonomyMulti="true" ma:sspId="134ad5ce-0d3f-4454-b13b-5b7ba3ee0a22" ma:termSetId="6b23b0fe-71f8-4381-9e69-f3ad9a9ec9a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1fabdac0-8c21-4a6c-819f-50c2c8457b0f}" ma:internalName="TaxCatchAll" ma:showField="CatchAllData" ma:web="b6dc5c90-c558-492f-90c8-5a41dc4eaea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1fabdac0-8c21-4a6c-819f-50c2c8457b0f}" ma:internalName="TaxCatchAllLabel" ma:readOnly="true" ma:showField="CatchAllDataLabel" ma:web="b6dc5c90-c558-492f-90c8-5a41dc4eaeac">
      <xsd:complexType>
        <xsd:complexContent>
          <xsd:extension base="dms:MultiChoiceLookup">
            <xsd:sequence>
              <xsd:element name="Value" type="dms:Lookup" maxOccurs="unbounded" minOccurs="0" nillable="true"/>
            </xsd:sequence>
          </xsd:extension>
        </xsd:complexContent>
      </xsd:complexType>
    </xsd:element>
    <xsd:element name="Notes1" ma:index="12" nillable="true" ma:displayName="Notes" ma:internalName="Notes1">
      <xsd:simpleType>
        <xsd:restriction base="dms:Note">
          <xsd:maxLength value="255"/>
        </xsd:restriction>
      </xsd:simple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853bce7-9ce6-41f0-9c94-8eb55bdcceb8" elementFormDefault="qualified">
    <xsd:import namespace="http://schemas.microsoft.com/office/2006/documentManagement/types"/>
    <xsd:import namespace="http://schemas.microsoft.com/office/infopath/2007/PartnerControls"/>
    <xsd:element name="m7d65139b68449e9b31078e275ed4b33" ma:index="17" nillable="true" ma:taxonomy="true" ma:internalName="m7d65139b68449e9b31078e275ed4b33" ma:taxonomyFieldName="Theme" ma:displayName="Theme" ma:default="" ma:fieldId="{67d65139-b684-49e9-b310-78e275ed4b33}" ma:taxonomyMulti="true" ma:sspId="134ad5ce-0d3f-4454-b13b-5b7ba3ee0a22" ma:termSetId="8b195cc2-8d18-4852-a594-135bc96ef228" ma:anchorId="00000000-0000-0000-0000-000000000000" ma:open="false" ma:isKeyword="false">
      <xsd:complexType>
        <xsd:sequence>
          <xsd:element ref="pc:Terms" minOccurs="0" maxOccurs="1"/>
        </xsd:sequence>
      </xsd:complexType>
    </xsd:element>
    <xsd:element name="o5665a9ad0db41e6aec2be8d7debeb94" ma:index="19" ma:taxonomy="true" ma:internalName="o5665a9ad0db41e6aec2be8d7debeb94" ma:taxonomyFieldName="Classification" ma:displayName="Classification" ma:default="" ma:fieldId="{85665a9a-d0db-41e6-aec2-be8d7debeb94}" ma:sspId="134ad5ce-0d3f-4454-b13b-5b7ba3ee0a22" ma:termSetId="7870d886-17f8-4eb9-84a4-70154db47f13" ma:anchorId="00000000-0000-0000-0000-000000000000" ma:open="false" ma:isKeyword="false">
      <xsd:complexType>
        <xsd:sequence>
          <xsd:element ref="pc:Terms" minOccurs="0" maxOccurs="1"/>
        </xsd:sequence>
      </xsd:complexType>
    </xsd:element>
    <xsd:element name="name2" ma:index="20" nillable="true" ma:displayName="Associated documents" ma:description="Any documents related to the policy" ma:format="Hyperlink" ma:internalName="name2">
      <xsd:complexType>
        <xsd:complexContent>
          <xsd:extension base="dms:URL">
            <xsd:sequence>
              <xsd:element name="Url" type="dms:ValidUrl" minOccurs="0" nillable="true"/>
              <xsd:element name="Description" type="xsd:string" nillable="true"/>
            </xsd:sequence>
          </xsd:extension>
        </xsd:complexContent>
      </xsd:complexType>
    </xsd:element>
    <xsd:element name="na8bf3462f344bddb22ca27bf2a11b72" ma:index="22" ma:taxonomy="true" ma:internalName="na8bf3462f344bddb22ca27bf2a11b72" ma:taxonomyFieldName="Business_x0020_owner" ma:displayName="Business owner" ma:default="" ma:fieldId="{7a8bf346-2f34-4bdd-b22c-a27bf2a11b72}" ma:sspId="134ad5ce-0d3f-4454-b13b-5b7ba3ee0a22" ma:termSetId="79caff14-7a92-4f91-97c3-1c7e1e0fca1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1 xmlns="b6dc5c90-c558-492f-90c8-5a41dc4eaeac">A standard client report template. Can be altered to fit with a client's reporting needs ie: body font size changed to 12pt for MoH, so we meet our reporting obligations.</Notes1>
    <o5665a9ad0db41e6aec2be8d7debeb94 xmlns="3853bce7-9ce6-41f0-9c94-8eb55bdcceb8">
      <Terms xmlns="http://schemas.microsoft.com/office/infopath/2007/PartnerControls">
        <TermInfo xmlns="http://schemas.microsoft.com/office/infopath/2007/PartnerControls">
          <TermName xmlns="http://schemas.microsoft.com/office/infopath/2007/PartnerControls">Stationery</TermName>
          <TermId xmlns="http://schemas.microsoft.com/office/infopath/2007/PartnerControls">d83555d2-b388-4c26-810e-f0fce81b4949</TermId>
        </TermInfo>
      </Terms>
    </o5665a9ad0db41e6aec2be8d7debeb94>
    <name2 xmlns="3853bce7-9ce6-41f0-9c94-8eb55bdcceb8">
      <Url xsi:nil="true"/>
      <Description xsi:nil="true"/>
    </name2>
    <PublishingStartDate xmlns="http://schemas.microsoft.com/sharepoint/v3" xsi:nil="true"/>
    <PublishingExpirationDate xmlns="http://schemas.microsoft.com/sharepoint/v3" xsi:nil="true"/>
    <oc233d6eacb0456b9add110d2d7a0f28 xmlns="b6dc5c90-c558-492f-90c8-5a41dc4eaeac">
      <Terms xmlns="http://schemas.microsoft.com/office/infopath/2007/PartnerControls">
        <TermInfo xmlns="http://schemas.microsoft.com/office/infopath/2007/PartnerControls">
          <TermName xmlns="http://schemas.microsoft.com/office/infopath/2007/PartnerControls">All of ESR</TermName>
          <TermId xmlns="http://schemas.microsoft.com/office/infopath/2007/PartnerControls">3c9beac0-128d-4f13-bfba-1dea4038ee05</TermId>
        </TermInfo>
      </Terms>
    </oc233d6eacb0456b9add110d2d7a0f28>
    <_dlc_DocId xmlns="b6dc5c90-c558-492f-90c8-5a41dc4eaeac">ESRCMS-19-443</_dlc_DocId>
    <TaxCatchAll xmlns="b6dc5c90-c558-492f-90c8-5a41dc4eaeac">
      <Value>117</Value>
      <Value>11</Value>
      <Value>19</Value>
      <Value>70</Value>
    </TaxCatchAll>
    <_dlc_DocIdUrl xmlns="b6dc5c90-c558-492f-90c8-5a41dc4eaeac">
      <Url>http://connect.esr.cri.nz/_layouts/15/DocIdRedir.aspx?ID=ESRCMS-19-443</Url>
      <Description>ESRCMS-19-443</Description>
    </_dlc_DocIdUrl>
    <m7d65139b68449e9b31078e275ed4b33 xmlns="3853bce7-9ce6-41f0-9c94-8eb55bdcceb8">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2d591019-aa08-464a-8377-748b73bbaaea</TermId>
        </TermInfo>
      </Terms>
    </m7d65139b68449e9b31078e275ed4b33>
    <na8bf3462f344bddb22ca27bf2a11b72 xmlns="3853bce7-9ce6-41f0-9c94-8eb55bdcceb8">
      <Terms xmlns="http://schemas.microsoft.com/office/infopath/2007/PartnerControls">
        <TermInfo xmlns="http://schemas.microsoft.com/office/infopath/2007/PartnerControls">
          <TermName xmlns="http://schemas.microsoft.com/office/infopath/2007/PartnerControls">People ＆ Communications</TermName>
          <TermId xmlns="http://schemas.microsoft.com/office/infopath/2007/PartnerControls">0e234b59-b9c8-4086-94d0-46357e6205a9</TermId>
        </TermInfo>
      </Terms>
    </na8bf3462f344bddb22ca27bf2a11b7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5458D-F2C3-4522-AD3A-9CEB8E0D0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6dc5c90-c558-492f-90c8-5a41dc4eaeac"/>
    <ds:schemaRef ds:uri="3853bce7-9ce6-41f0-9c94-8eb55bdcce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EF5A5F-B40E-41CF-89C6-C57B697C16BE}">
  <ds:schemaRefs>
    <ds:schemaRef ds:uri="http://schemas.microsoft.com/office/2006/metadata/properties"/>
    <ds:schemaRef ds:uri="http://schemas.microsoft.com/office/infopath/2007/PartnerControls"/>
    <ds:schemaRef ds:uri="b6dc5c90-c558-492f-90c8-5a41dc4eaeac"/>
    <ds:schemaRef ds:uri="3853bce7-9ce6-41f0-9c94-8eb55bdcceb8"/>
    <ds:schemaRef ds:uri="http://schemas.microsoft.com/sharepoint/v3"/>
  </ds:schemaRefs>
</ds:datastoreItem>
</file>

<file path=customXml/itemProps3.xml><?xml version="1.0" encoding="utf-8"?>
<ds:datastoreItem xmlns:ds="http://schemas.openxmlformats.org/officeDocument/2006/customXml" ds:itemID="{B2D22FCE-0505-43E3-ACD7-FBAECD4EF4FD}">
  <ds:schemaRefs>
    <ds:schemaRef ds:uri="http://schemas.microsoft.com/sharepoint/v3/contenttype/forms"/>
  </ds:schemaRefs>
</ds:datastoreItem>
</file>

<file path=customXml/itemProps4.xml><?xml version="1.0" encoding="utf-8"?>
<ds:datastoreItem xmlns:ds="http://schemas.openxmlformats.org/officeDocument/2006/customXml" ds:itemID="{90C27E00-17D6-41C3-8A27-84821C615D4A}">
  <ds:schemaRefs>
    <ds:schemaRef ds:uri="http://schemas.microsoft.com/sharepoint/events"/>
  </ds:schemaRefs>
</ds:datastoreItem>
</file>

<file path=customXml/itemProps5.xml><?xml version="1.0" encoding="utf-8"?>
<ds:datastoreItem xmlns:ds="http://schemas.openxmlformats.org/officeDocument/2006/customXml" ds:itemID="{CADB8C11-F988-42F5-9FD9-AF930995F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15568</Words>
  <Characters>88740</Characters>
  <Application>Microsoft Office Word</Application>
  <DocSecurity>0</DocSecurity>
  <Lines>739</Lines>
  <Paragraphs>208</Paragraphs>
  <ScaleCrop>false</ScaleCrop>
  <HeadingPairs>
    <vt:vector size="2" baseType="variant">
      <vt:variant>
        <vt:lpstr>Title</vt:lpstr>
      </vt:variant>
      <vt:variant>
        <vt:i4>1</vt:i4>
      </vt:variant>
    </vt:vector>
  </HeadingPairs>
  <TitlesOfParts>
    <vt:vector size="1" baseType="lpstr">
      <vt:lpstr>Review of Remediation Standards for Clandestine Methamphetamine Laboratories: Risk Assessment recommendations for a New Zealand Standard</vt:lpstr>
    </vt:vector>
  </TitlesOfParts>
  <Company/>
  <LinksUpToDate>false</LinksUpToDate>
  <CharactersWithSpaces>104100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Remediation Standards for Clandestine Methamphetamine Laboratories: Risk Assessment recommendations for a New Zealand Standard</dc:title>
  <dc:subject/>
  <dc:creator>Chris Nokes</dc:creator>
  <cp:keywords/>
  <dc:description/>
  <cp:lastModifiedBy>User</cp:lastModifiedBy>
  <cp:revision>2</cp:revision>
  <cp:lastPrinted>2016-12-14T04:00:00Z</cp:lastPrinted>
  <dcterms:created xsi:type="dcterms:W3CDTF">2017-03-16T01:08:00Z</dcterms:created>
  <dcterms:modified xsi:type="dcterms:W3CDTF">2017-03-16T01:08:00Z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70;#Stationery|d83555d2-b388-4c26-810e-f0fce81b4949</vt:lpwstr>
  </property>
  <property fmtid="{D5CDD505-2E9C-101B-9397-08002B2CF9AE}" pid="3" name="Theme">
    <vt:lpwstr>117;#Form|2d591019-aa08-464a-8377-748b73bbaaea</vt:lpwstr>
  </property>
  <property fmtid="{D5CDD505-2E9C-101B-9397-08002B2CF9AE}" pid="4" name="ESRLocation">
    <vt:lpwstr>11;#All of ESR|3c9beac0-128d-4f13-bfba-1dea4038ee05</vt:lpwstr>
  </property>
  <property fmtid="{D5CDD505-2E9C-101B-9397-08002B2CF9AE}" pid="5" name="ContentTypeId">
    <vt:lpwstr>0x0101001B273B1BF5370D4A90FE399F3D791D6A00F677E516294E5D4AA9FF708A3AC3309A</vt:lpwstr>
  </property>
  <property fmtid="{D5CDD505-2E9C-101B-9397-08002B2CF9AE}" pid="6" name="Business owner">
    <vt:lpwstr>19;#People ＆ Communications|0e234b59-b9c8-4086-94d0-46357e6205a9</vt:lpwstr>
  </property>
  <property fmtid="{D5CDD505-2E9C-101B-9397-08002B2CF9AE}" pid="7" name="_dlc_DocIdItemGuid">
    <vt:lpwstr>e66041d9-e0c7-481e-b539-850a7acc43c6</vt:lpwstr>
  </property>
</Properties>
</file>