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240" w:rsidRPr="000B287C" w:rsidRDefault="00790240" w:rsidP="00180AEE">
      <w:pPr>
        <w:pStyle w:val="BodyText"/>
        <w:rPr>
          <w:rFonts w:cs="Arial"/>
          <w:szCs w:val="20"/>
        </w:rPr>
      </w:pPr>
      <w:r w:rsidRPr="000B287C">
        <w:rPr>
          <w:rFonts w:cs="Arial"/>
          <w:szCs w:val="20"/>
        </w:rPr>
        <w:t>4 October 2013</w:t>
      </w:r>
    </w:p>
    <w:p w:rsidR="00790240" w:rsidRPr="00470E33" w:rsidRDefault="00790240" w:rsidP="00180AEE">
      <w:pPr>
        <w:pStyle w:val="BodyText"/>
        <w:rPr>
          <w:rFonts w:cs="Arial"/>
          <w:b/>
          <w:sz w:val="22"/>
        </w:rPr>
      </w:pPr>
      <w:r w:rsidRPr="00470E33">
        <w:rPr>
          <w:rFonts w:cs="Arial"/>
          <w:b/>
          <w:sz w:val="22"/>
        </w:rPr>
        <w:t>EMBARGOED: NOT FOR PUBLICATION BEFORE 1.30 PM</w:t>
      </w:r>
    </w:p>
    <w:p w:rsidR="00790240" w:rsidRPr="00957A7D" w:rsidRDefault="00790240" w:rsidP="00180AEE">
      <w:pPr>
        <w:pStyle w:val="BodyText"/>
        <w:rPr>
          <w:rFonts w:cs="Arial"/>
          <w:sz w:val="24"/>
          <w:szCs w:val="24"/>
        </w:rPr>
      </w:pPr>
      <w:r w:rsidRPr="00957A7D">
        <w:rPr>
          <w:rFonts w:cs="Arial"/>
          <w:b/>
          <w:sz w:val="24"/>
          <w:szCs w:val="24"/>
        </w:rPr>
        <w:t>Summary Overview</w:t>
      </w:r>
    </w:p>
    <w:p w:rsidR="00790240" w:rsidRPr="00E71110" w:rsidRDefault="00790240" w:rsidP="00180AEE">
      <w:pPr>
        <w:pStyle w:val="BodyText"/>
        <w:numPr>
          <w:ilvl w:val="0"/>
          <w:numId w:val="15"/>
        </w:numPr>
        <w:ind w:left="284" w:hanging="284"/>
        <w:rPr>
          <w:rFonts w:cs="Arial"/>
          <w:szCs w:val="20"/>
        </w:rPr>
      </w:pPr>
      <w:r>
        <w:rPr>
          <w:rFonts w:cs="Arial"/>
          <w:szCs w:val="20"/>
        </w:rPr>
        <w:t>Coal sales of 4.1 million tonnes (Mt), do</w:t>
      </w:r>
      <w:r w:rsidRPr="00E71110">
        <w:rPr>
          <w:rFonts w:cs="Arial"/>
          <w:szCs w:val="20"/>
        </w:rPr>
        <w:t>wn 1</w:t>
      </w:r>
      <w:r>
        <w:rPr>
          <w:rFonts w:cs="Arial"/>
          <w:szCs w:val="20"/>
        </w:rPr>
        <w:t>1</w:t>
      </w:r>
      <w:r w:rsidRPr="00E71110">
        <w:rPr>
          <w:rFonts w:cs="Arial"/>
          <w:szCs w:val="20"/>
        </w:rPr>
        <w:t>% (201</w:t>
      </w:r>
      <w:r>
        <w:rPr>
          <w:rFonts w:cs="Arial"/>
          <w:szCs w:val="20"/>
        </w:rPr>
        <w:t>2</w:t>
      </w:r>
      <w:r w:rsidRPr="00E71110">
        <w:rPr>
          <w:rFonts w:cs="Arial"/>
          <w:szCs w:val="20"/>
        </w:rPr>
        <w:t xml:space="preserve">: </w:t>
      </w:r>
      <w:r>
        <w:rPr>
          <w:rFonts w:cs="Arial"/>
          <w:szCs w:val="20"/>
        </w:rPr>
        <w:t>4</w:t>
      </w:r>
      <w:r w:rsidRPr="00E71110">
        <w:rPr>
          <w:rFonts w:cs="Arial"/>
          <w:szCs w:val="20"/>
        </w:rPr>
        <w:t>.</w:t>
      </w:r>
      <w:r>
        <w:rPr>
          <w:rFonts w:cs="Arial"/>
          <w:szCs w:val="20"/>
        </w:rPr>
        <w:t>6</w:t>
      </w:r>
      <w:r w:rsidRPr="00E71110">
        <w:rPr>
          <w:rFonts w:cs="Arial"/>
          <w:szCs w:val="20"/>
        </w:rPr>
        <w:t xml:space="preserve"> Mt)</w:t>
      </w:r>
      <w:r>
        <w:rPr>
          <w:rFonts w:cs="Arial"/>
          <w:szCs w:val="20"/>
        </w:rPr>
        <w:t>, in weak commodity markets.</w:t>
      </w:r>
    </w:p>
    <w:p w:rsidR="00790240" w:rsidRPr="009D75D9" w:rsidRDefault="00790240" w:rsidP="00180AEE">
      <w:pPr>
        <w:pStyle w:val="BodyText"/>
        <w:numPr>
          <w:ilvl w:val="0"/>
          <w:numId w:val="15"/>
        </w:numPr>
        <w:ind w:left="284" w:hanging="284"/>
        <w:rPr>
          <w:rFonts w:cs="Arial"/>
          <w:szCs w:val="20"/>
        </w:rPr>
      </w:pPr>
      <w:r>
        <w:rPr>
          <w:rFonts w:cs="Arial"/>
          <w:szCs w:val="20"/>
        </w:rPr>
        <w:t>Revenue of $631.1 million down 35% as a</w:t>
      </w:r>
      <w:r w:rsidRPr="00FD61F0">
        <w:rPr>
          <w:rFonts w:cs="Arial"/>
          <w:szCs w:val="20"/>
        </w:rPr>
        <w:t>verage USD</w:t>
      </w:r>
      <w:r>
        <w:rPr>
          <w:rFonts w:cs="Arial"/>
          <w:szCs w:val="20"/>
        </w:rPr>
        <w:t xml:space="preserve"> prices received fell</w:t>
      </w:r>
      <w:r w:rsidRPr="00CA50ED">
        <w:rPr>
          <w:rFonts w:cs="Arial"/>
          <w:szCs w:val="20"/>
        </w:rPr>
        <w:t xml:space="preserve"> </w:t>
      </w:r>
      <w:r>
        <w:rPr>
          <w:rFonts w:cs="Arial"/>
          <w:szCs w:val="20"/>
        </w:rPr>
        <w:t>34</w:t>
      </w:r>
      <w:r w:rsidRPr="00CA50ED">
        <w:rPr>
          <w:rFonts w:cs="Arial"/>
          <w:szCs w:val="20"/>
        </w:rPr>
        <w:t>%</w:t>
      </w:r>
      <w:r w:rsidRPr="00FD61F0">
        <w:rPr>
          <w:rFonts w:cs="Arial"/>
          <w:szCs w:val="20"/>
        </w:rPr>
        <w:t xml:space="preserve"> for the year.</w:t>
      </w:r>
    </w:p>
    <w:p w:rsidR="00790240" w:rsidRDefault="00790240" w:rsidP="00180AEE">
      <w:pPr>
        <w:pStyle w:val="BodyText"/>
        <w:numPr>
          <w:ilvl w:val="0"/>
          <w:numId w:val="15"/>
        </w:numPr>
        <w:ind w:left="284" w:hanging="284"/>
        <w:rPr>
          <w:rFonts w:cs="Arial"/>
          <w:szCs w:val="20"/>
        </w:rPr>
      </w:pPr>
      <w:r w:rsidRPr="00FD61F0">
        <w:rPr>
          <w:rFonts w:cs="Arial"/>
          <w:szCs w:val="20"/>
        </w:rPr>
        <w:t>Net loss after tax of $</w:t>
      </w:r>
      <w:r>
        <w:rPr>
          <w:rFonts w:cs="Arial"/>
          <w:szCs w:val="20"/>
        </w:rPr>
        <w:t>335.4</w:t>
      </w:r>
      <w:r w:rsidRPr="00FD61F0">
        <w:rPr>
          <w:rFonts w:cs="Arial"/>
          <w:szCs w:val="20"/>
        </w:rPr>
        <w:t xml:space="preserve"> million, compared with a </w:t>
      </w:r>
      <w:r>
        <w:rPr>
          <w:rFonts w:cs="Arial"/>
          <w:szCs w:val="20"/>
        </w:rPr>
        <w:t>loss</w:t>
      </w:r>
      <w:r w:rsidRPr="00FD61F0">
        <w:rPr>
          <w:rFonts w:cs="Arial"/>
          <w:szCs w:val="20"/>
        </w:rPr>
        <w:t xml:space="preserve"> of $</w:t>
      </w:r>
      <w:r>
        <w:rPr>
          <w:rFonts w:cs="Arial"/>
          <w:szCs w:val="20"/>
        </w:rPr>
        <w:t>40</w:t>
      </w:r>
      <w:r w:rsidRPr="00FD61F0">
        <w:rPr>
          <w:rFonts w:cs="Arial"/>
          <w:szCs w:val="20"/>
        </w:rPr>
        <w:t>.</w:t>
      </w:r>
      <w:r>
        <w:rPr>
          <w:rFonts w:cs="Arial"/>
          <w:szCs w:val="20"/>
        </w:rPr>
        <w:t>2</w:t>
      </w:r>
      <w:r w:rsidRPr="00FD61F0">
        <w:rPr>
          <w:rFonts w:cs="Arial"/>
          <w:szCs w:val="20"/>
        </w:rPr>
        <w:t xml:space="preserve"> million in </w:t>
      </w:r>
      <w:r>
        <w:rPr>
          <w:rFonts w:cs="Arial"/>
          <w:szCs w:val="20"/>
        </w:rPr>
        <w:t>the previous year</w:t>
      </w:r>
      <w:r w:rsidRPr="00FD61F0">
        <w:rPr>
          <w:rFonts w:cs="Arial"/>
          <w:szCs w:val="20"/>
        </w:rPr>
        <w:t>.</w:t>
      </w:r>
    </w:p>
    <w:p w:rsidR="00790240" w:rsidRPr="00DD3730" w:rsidRDefault="00790240" w:rsidP="00180AEE">
      <w:pPr>
        <w:pStyle w:val="BodyText"/>
        <w:numPr>
          <w:ilvl w:val="0"/>
          <w:numId w:val="15"/>
        </w:numPr>
        <w:ind w:left="284" w:hanging="284"/>
        <w:rPr>
          <w:rFonts w:cs="Arial"/>
          <w:szCs w:val="20"/>
        </w:rPr>
      </w:pPr>
      <w:r w:rsidRPr="00FD61F0">
        <w:rPr>
          <w:rFonts w:cs="Arial"/>
          <w:szCs w:val="20"/>
        </w:rPr>
        <w:t>Underlying earnings of $</w:t>
      </w:r>
      <w:r>
        <w:rPr>
          <w:rFonts w:cs="Arial"/>
          <w:szCs w:val="20"/>
        </w:rPr>
        <w:t>22.2</w:t>
      </w:r>
      <w:r w:rsidRPr="00FD61F0">
        <w:rPr>
          <w:rFonts w:cs="Arial"/>
          <w:szCs w:val="20"/>
        </w:rPr>
        <w:t xml:space="preserve"> million, down </w:t>
      </w:r>
      <w:r>
        <w:rPr>
          <w:rFonts w:cs="Arial"/>
          <w:szCs w:val="20"/>
        </w:rPr>
        <w:t>78</w:t>
      </w:r>
      <w:r w:rsidRPr="00FD61F0">
        <w:rPr>
          <w:rFonts w:cs="Arial"/>
          <w:szCs w:val="20"/>
        </w:rPr>
        <w:t>% (201</w:t>
      </w:r>
      <w:r>
        <w:rPr>
          <w:rFonts w:cs="Arial"/>
          <w:szCs w:val="20"/>
        </w:rPr>
        <w:t>2</w:t>
      </w:r>
      <w:r w:rsidRPr="00FD61F0">
        <w:rPr>
          <w:rFonts w:cs="Arial"/>
          <w:szCs w:val="20"/>
        </w:rPr>
        <w:t>: $</w:t>
      </w:r>
      <w:r>
        <w:rPr>
          <w:rFonts w:cs="Arial"/>
          <w:szCs w:val="20"/>
        </w:rPr>
        <w:t>99.7</w:t>
      </w:r>
      <w:r w:rsidRPr="00FD61F0">
        <w:rPr>
          <w:rFonts w:cs="Arial"/>
          <w:szCs w:val="20"/>
        </w:rPr>
        <w:t xml:space="preserve"> million).</w:t>
      </w:r>
    </w:p>
    <w:p w:rsidR="00790240" w:rsidRDefault="00790240" w:rsidP="00180AEE">
      <w:pPr>
        <w:pStyle w:val="BodyText"/>
        <w:numPr>
          <w:ilvl w:val="0"/>
          <w:numId w:val="15"/>
        </w:numPr>
        <w:ind w:left="284" w:hanging="284"/>
        <w:rPr>
          <w:rFonts w:cs="Arial"/>
          <w:szCs w:val="20"/>
        </w:rPr>
      </w:pPr>
      <w:r w:rsidRPr="00E71110">
        <w:rPr>
          <w:rFonts w:cs="Arial"/>
          <w:szCs w:val="20"/>
        </w:rPr>
        <w:t>Asset impairm</w:t>
      </w:r>
      <w:r>
        <w:rPr>
          <w:rFonts w:cs="Arial"/>
          <w:szCs w:val="20"/>
        </w:rPr>
        <w:t>e</w:t>
      </w:r>
      <w:r w:rsidRPr="00E71110">
        <w:rPr>
          <w:rFonts w:cs="Arial"/>
          <w:szCs w:val="20"/>
        </w:rPr>
        <w:t xml:space="preserve">nts </w:t>
      </w:r>
      <w:r>
        <w:rPr>
          <w:rFonts w:cs="Arial"/>
          <w:szCs w:val="20"/>
        </w:rPr>
        <w:t xml:space="preserve">of $215.3 million </w:t>
      </w:r>
      <w:r w:rsidRPr="00E71110">
        <w:rPr>
          <w:rFonts w:cs="Arial"/>
          <w:szCs w:val="20"/>
        </w:rPr>
        <w:t>and one-off costs</w:t>
      </w:r>
      <w:r>
        <w:rPr>
          <w:rFonts w:cs="Arial"/>
          <w:szCs w:val="20"/>
        </w:rPr>
        <w:t xml:space="preserve">, including redundancy, restructuring and closure, of $102.2 </w:t>
      </w:r>
      <w:r w:rsidRPr="00E71110">
        <w:rPr>
          <w:rFonts w:cs="Arial"/>
          <w:szCs w:val="20"/>
        </w:rPr>
        <w:t>million</w:t>
      </w:r>
      <w:r>
        <w:rPr>
          <w:rFonts w:cs="Arial"/>
          <w:szCs w:val="20"/>
        </w:rPr>
        <w:t xml:space="preserve"> contributed to underlying earnings adjustments </w:t>
      </w:r>
      <w:r w:rsidRPr="00E71110">
        <w:rPr>
          <w:rFonts w:cs="Arial"/>
          <w:szCs w:val="20"/>
        </w:rPr>
        <w:t>of $</w:t>
      </w:r>
      <w:r>
        <w:rPr>
          <w:rFonts w:cs="Arial"/>
          <w:szCs w:val="20"/>
        </w:rPr>
        <w:t>357.6</w:t>
      </w:r>
      <w:r w:rsidRPr="00E71110">
        <w:rPr>
          <w:rFonts w:cs="Arial"/>
          <w:szCs w:val="20"/>
        </w:rPr>
        <w:t xml:space="preserve"> million</w:t>
      </w:r>
      <w:r>
        <w:rPr>
          <w:rFonts w:cs="Arial"/>
          <w:szCs w:val="20"/>
        </w:rPr>
        <w:t>.</w:t>
      </w:r>
      <w:bookmarkStart w:id="0" w:name="_GoBack"/>
      <w:bookmarkEnd w:id="0"/>
    </w:p>
    <w:p w:rsidR="00790240" w:rsidRPr="00FD61F0" w:rsidRDefault="00790240" w:rsidP="00180AEE">
      <w:pPr>
        <w:pStyle w:val="BodyText"/>
        <w:numPr>
          <w:ilvl w:val="0"/>
          <w:numId w:val="15"/>
        </w:numPr>
        <w:ind w:left="284" w:hanging="284"/>
        <w:rPr>
          <w:rFonts w:cs="Arial"/>
          <w:szCs w:val="20"/>
        </w:rPr>
      </w:pPr>
      <w:r w:rsidRPr="00FD61F0">
        <w:rPr>
          <w:rFonts w:cs="Arial"/>
          <w:szCs w:val="20"/>
        </w:rPr>
        <w:t xml:space="preserve">No dividend declared. </w:t>
      </w:r>
    </w:p>
    <w:tbl>
      <w:tblPr>
        <w:tblW w:w="4946" w:type="pct"/>
        <w:tblBorders>
          <w:top w:val="single" w:sz="12" w:space="0" w:color="000000"/>
          <w:left w:val="single" w:sz="12" w:space="0" w:color="000000"/>
          <w:bottom w:val="single" w:sz="12" w:space="0" w:color="000000"/>
          <w:right w:val="single" w:sz="12" w:space="0" w:color="000000"/>
          <w:insideH w:val="single" w:sz="6" w:space="0" w:color="000000"/>
        </w:tblBorders>
        <w:tblLook w:val="00A0"/>
      </w:tblPr>
      <w:tblGrid>
        <w:gridCol w:w="4461"/>
        <w:gridCol w:w="2028"/>
        <w:gridCol w:w="1743"/>
        <w:gridCol w:w="1739"/>
      </w:tblGrid>
      <w:tr w:rsidR="00790240" w:rsidRPr="00FD61F0" w:rsidTr="006B668D">
        <w:trPr>
          <w:trHeight w:val="385"/>
        </w:trPr>
        <w:tc>
          <w:tcPr>
            <w:tcW w:w="2237" w:type="pct"/>
            <w:tcBorders>
              <w:top w:val="single" w:sz="12" w:space="0" w:color="000000"/>
              <w:bottom w:val="single" w:sz="12" w:space="0" w:color="000000"/>
            </w:tcBorders>
            <w:shd w:val="solid" w:color="808080" w:fill="FFFFFF"/>
            <w:vAlign w:val="center"/>
          </w:tcPr>
          <w:p w:rsidR="00790240" w:rsidRPr="006B668D" w:rsidRDefault="00790240" w:rsidP="006B668D">
            <w:pPr>
              <w:pStyle w:val="BodyText"/>
              <w:spacing w:after="40" w:line="240" w:lineRule="auto"/>
              <w:jc w:val="left"/>
              <w:rPr>
                <w:rFonts w:cs="Arial"/>
                <w:b/>
                <w:bCs/>
                <w:color w:val="FFFFFF"/>
                <w:szCs w:val="20"/>
              </w:rPr>
            </w:pPr>
            <w:r w:rsidRPr="006B668D">
              <w:rPr>
                <w:rFonts w:cs="Arial"/>
                <w:b/>
                <w:color w:val="FFFFFF"/>
                <w:szCs w:val="20"/>
              </w:rPr>
              <w:t xml:space="preserve">Year Ended 30 June 2013 </w:t>
            </w:r>
          </w:p>
        </w:tc>
        <w:tc>
          <w:tcPr>
            <w:tcW w:w="1017" w:type="pct"/>
            <w:tcBorders>
              <w:top w:val="single" w:sz="12" w:space="0" w:color="000000"/>
              <w:bottom w:val="single" w:sz="12" w:space="0" w:color="000000"/>
            </w:tcBorders>
            <w:shd w:val="solid" w:color="808080" w:fill="FFFFFF"/>
          </w:tcPr>
          <w:p w:rsidR="00790240" w:rsidRPr="006B668D" w:rsidRDefault="00790240" w:rsidP="006B668D">
            <w:pPr>
              <w:pStyle w:val="BodyText"/>
              <w:spacing w:line="240" w:lineRule="auto"/>
              <w:jc w:val="right"/>
              <w:rPr>
                <w:rFonts w:cs="Arial"/>
                <w:b/>
                <w:bCs/>
                <w:color w:val="FFFFFF"/>
                <w:szCs w:val="20"/>
              </w:rPr>
            </w:pPr>
            <w:r w:rsidRPr="006B668D">
              <w:rPr>
                <w:rFonts w:cs="Arial"/>
                <w:b/>
                <w:bCs/>
                <w:color w:val="FFFFFF"/>
                <w:szCs w:val="20"/>
              </w:rPr>
              <w:t>NZ$M</w:t>
            </w:r>
          </w:p>
          <w:p w:rsidR="00790240" w:rsidRPr="006B668D" w:rsidRDefault="00790240" w:rsidP="006B668D">
            <w:pPr>
              <w:pStyle w:val="BodyText"/>
              <w:spacing w:line="240" w:lineRule="auto"/>
              <w:jc w:val="right"/>
              <w:rPr>
                <w:rFonts w:cs="Arial"/>
                <w:b/>
                <w:bCs/>
                <w:color w:val="FFFFFF"/>
                <w:szCs w:val="20"/>
              </w:rPr>
            </w:pPr>
            <w:r w:rsidRPr="006B668D">
              <w:rPr>
                <w:rFonts w:cs="Arial"/>
                <w:b/>
                <w:bCs/>
                <w:color w:val="FFFFFF"/>
                <w:szCs w:val="20"/>
              </w:rPr>
              <w:t>2013</w:t>
            </w:r>
          </w:p>
        </w:tc>
        <w:tc>
          <w:tcPr>
            <w:tcW w:w="874" w:type="pct"/>
            <w:tcBorders>
              <w:top w:val="single" w:sz="12" w:space="0" w:color="000000"/>
              <w:bottom w:val="single" w:sz="12" w:space="0" w:color="000000"/>
            </w:tcBorders>
            <w:shd w:val="solid" w:color="808080" w:fill="FFFFFF"/>
          </w:tcPr>
          <w:p w:rsidR="00790240" w:rsidRPr="006B668D" w:rsidRDefault="00790240" w:rsidP="006B668D">
            <w:pPr>
              <w:pStyle w:val="BodyText"/>
              <w:spacing w:line="240" w:lineRule="auto"/>
              <w:jc w:val="right"/>
              <w:rPr>
                <w:rFonts w:cs="Arial"/>
                <w:b/>
                <w:bCs/>
                <w:color w:val="FFFFFF"/>
                <w:szCs w:val="20"/>
              </w:rPr>
            </w:pPr>
            <w:r w:rsidRPr="006B668D">
              <w:rPr>
                <w:rFonts w:cs="Arial"/>
                <w:b/>
                <w:bCs/>
                <w:color w:val="FFFFFF"/>
                <w:szCs w:val="20"/>
              </w:rPr>
              <w:t>NZ$M</w:t>
            </w:r>
          </w:p>
          <w:p w:rsidR="00790240" w:rsidRPr="006B668D" w:rsidRDefault="00790240" w:rsidP="006B668D">
            <w:pPr>
              <w:pStyle w:val="BodyText"/>
              <w:spacing w:line="240" w:lineRule="auto"/>
              <w:jc w:val="right"/>
              <w:rPr>
                <w:rFonts w:cs="Arial"/>
                <w:b/>
                <w:bCs/>
                <w:color w:val="FFFFFF"/>
                <w:szCs w:val="20"/>
              </w:rPr>
            </w:pPr>
            <w:r w:rsidRPr="006B668D">
              <w:rPr>
                <w:rFonts w:cs="Arial"/>
                <w:b/>
                <w:bCs/>
                <w:color w:val="FFFFFF"/>
                <w:szCs w:val="20"/>
              </w:rPr>
              <w:t>2012</w:t>
            </w:r>
          </w:p>
        </w:tc>
        <w:tc>
          <w:tcPr>
            <w:tcW w:w="872" w:type="pct"/>
            <w:tcBorders>
              <w:top w:val="single" w:sz="12" w:space="0" w:color="000000"/>
              <w:bottom w:val="single" w:sz="12" w:space="0" w:color="000000"/>
            </w:tcBorders>
            <w:shd w:val="solid" w:color="808080" w:fill="FFFFFF"/>
          </w:tcPr>
          <w:p w:rsidR="00790240" w:rsidRPr="006B668D" w:rsidRDefault="00790240" w:rsidP="006B668D">
            <w:pPr>
              <w:pStyle w:val="BodyText"/>
              <w:spacing w:line="240" w:lineRule="auto"/>
              <w:jc w:val="right"/>
              <w:rPr>
                <w:rFonts w:cs="Arial"/>
                <w:b/>
                <w:bCs/>
                <w:color w:val="FFFFFF"/>
                <w:szCs w:val="20"/>
              </w:rPr>
            </w:pPr>
          </w:p>
          <w:p w:rsidR="00790240" w:rsidRPr="006B668D" w:rsidRDefault="00790240" w:rsidP="006B668D">
            <w:pPr>
              <w:pStyle w:val="BodyText"/>
              <w:spacing w:line="240" w:lineRule="auto"/>
              <w:jc w:val="right"/>
              <w:rPr>
                <w:rFonts w:cs="Arial"/>
                <w:b/>
                <w:bCs/>
                <w:color w:val="FFFFFF"/>
                <w:szCs w:val="20"/>
              </w:rPr>
            </w:pPr>
            <w:r w:rsidRPr="006B668D">
              <w:rPr>
                <w:rFonts w:cs="Arial"/>
                <w:b/>
                <w:bCs/>
                <w:color w:val="FFFFFF"/>
                <w:szCs w:val="20"/>
              </w:rPr>
              <w:t xml:space="preserve">Change </w:t>
            </w:r>
          </w:p>
        </w:tc>
      </w:tr>
      <w:tr w:rsidR="00790240" w:rsidRPr="00FD61F0" w:rsidTr="006B668D">
        <w:tc>
          <w:tcPr>
            <w:tcW w:w="2237" w:type="pct"/>
          </w:tcPr>
          <w:p w:rsidR="00790240" w:rsidRPr="006B668D" w:rsidRDefault="00790240" w:rsidP="00180AEE">
            <w:pPr>
              <w:pStyle w:val="BodyText"/>
              <w:rPr>
                <w:rFonts w:cs="Arial"/>
                <w:szCs w:val="20"/>
              </w:rPr>
            </w:pPr>
            <w:r w:rsidRPr="006B668D">
              <w:rPr>
                <w:rFonts w:cs="Arial"/>
                <w:szCs w:val="20"/>
              </w:rPr>
              <w:t>Revenue</w:t>
            </w:r>
          </w:p>
        </w:tc>
        <w:tc>
          <w:tcPr>
            <w:tcW w:w="1017" w:type="pct"/>
            <w:vAlign w:val="center"/>
          </w:tcPr>
          <w:p w:rsidR="00790240" w:rsidRPr="006B668D" w:rsidRDefault="00790240" w:rsidP="00790240">
            <w:pPr>
              <w:ind w:firstLineChars="200" w:firstLine="31680"/>
              <w:jc w:val="right"/>
              <w:rPr>
                <w:szCs w:val="20"/>
              </w:rPr>
            </w:pPr>
            <w:r w:rsidRPr="006B668D">
              <w:rPr>
                <w:szCs w:val="20"/>
              </w:rPr>
              <w:t xml:space="preserve">      631.1 </w:t>
            </w:r>
          </w:p>
        </w:tc>
        <w:tc>
          <w:tcPr>
            <w:tcW w:w="874" w:type="pct"/>
            <w:vAlign w:val="center"/>
          </w:tcPr>
          <w:p w:rsidR="00790240" w:rsidRPr="006B668D" w:rsidRDefault="00790240" w:rsidP="00790240">
            <w:pPr>
              <w:ind w:firstLineChars="200" w:firstLine="31680"/>
              <w:jc w:val="right"/>
              <w:rPr>
                <w:rFonts w:cs="Arial"/>
                <w:color w:val="000000"/>
                <w:szCs w:val="20"/>
              </w:rPr>
            </w:pPr>
            <w:r w:rsidRPr="006B668D">
              <w:rPr>
                <w:rFonts w:cs="Arial"/>
                <w:color w:val="000000"/>
                <w:szCs w:val="20"/>
              </w:rPr>
              <w:t>978.4</w:t>
            </w:r>
          </w:p>
        </w:tc>
        <w:tc>
          <w:tcPr>
            <w:tcW w:w="872" w:type="pct"/>
          </w:tcPr>
          <w:p w:rsidR="00790240" w:rsidRPr="006B668D" w:rsidRDefault="00790240" w:rsidP="006B668D">
            <w:pPr>
              <w:jc w:val="right"/>
              <w:rPr>
                <w:szCs w:val="20"/>
              </w:rPr>
            </w:pPr>
            <w:r w:rsidRPr="006B668D">
              <w:rPr>
                <w:szCs w:val="20"/>
              </w:rPr>
              <w:t>-35%</w:t>
            </w:r>
          </w:p>
        </w:tc>
      </w:tr>
      <w:tr w:rsidR="00790240" w:rsidRPr="00FD61F0" w:rsidTr="006B668D">
        <w:tc>
          <w:tcPr>
            <w:tcW w:w="2237" w:type="pct"/>
          </w:tcPr>
          <w:p w:rsidR="00790240" w:rsidRPr="006B668D" w:rsidRDefault="00790240" w:rsidP="00180AEE">
            <w:pPr>
              <w:pStyle w:val="BodyText"/>
              <w:rPr>
                <w:rFonts w:cs="Arial"/>
                <w:szCs w:val="20"/>
              </w:rPr>
            </w:pPr>
            <w:r w:rsidRPr="006B668D">
              <w:rPr>
                <w:rFonts w:cs="Arial"/>
                <w:szCs w:val="20"/>
              </w:rPr>
              <w:t xml:space="preserve">EBITDA </w:t>
            </w:r>
            <w:r w:rsidRPr="006B668D">
              <w:rPr>
                <w:szCs w:val="20"/>
                <w:vertAlign w:val="superscript"/>
              </w:rPr>
              <w:t>[1]</w:t>
            </w:r>
          </w:p>
        </w:tc>
        <w:tc>
          <w:tcPr>
            <w:tcW w:w="1017" w:type="pct"/>
            <w:vAlign w:val="center"/>
          </w:tcPr>
          <w:p w:rsidR="00790240" w:rsidRPr="006B668D" w:rsidRDefault="00790240" w:rsidP="00790240">
            <w:pPr>
              <w:ind w:firstLineChars="200" w:firstLine="31680"/>
              <w:jc w:val="right"/>
              <w:rPr>
                <w:szCs w:val="20"/>
              </w:rPr>
            </w:pPr>
            <w:r w:rsidRPr="006B668D">
              <w:rPr>
                <w:szCs w:val="20"/>
              </w:rPr>
              <w:t xml:space="preserve">      (205.6)</w:t>
            </w:r>
          </w:p>
        </w:tc>
        <w:tc>
          <w:tcPr>
            <w:tcW w:w="874" w:type="pct"/>
            <w:vAlign w:val="center"/>
          </w:tcPr>
          <w:p w:rsidR="00790240" w:rsidRPr="006B668D" w:rsidRDefault="00790240" w:rsidP="00790240">
            <w:pPr>
              <w:ind w:firstLineChars="200" w:firstLine="31680"/>
              <w:jc w:val="right"/>
              <w:rPr>
                <w:rFonts w:cs="Arial"/>
                <w:color w:val="000000"/>
                <w:szCs w:val="20"/>
              </w:rPr>
            </w:pPr>
            <w:r w:rsidRPr="006B668D">
              <w:rPr>
                <w:rFonts w:cs="Arial"/>
                <w:color w:val="000000"/>
                <w:szCs w:val="20"/>
              </w:rPr>
              <w:t>44.9</w:t>
            </w:r>
          </w:p>
        </w:tc>
        <w:tc>
          <w:tcPr>
            <w:tcW w:w="872" w:type="pct"/>
          </w:tcPr>
          <w:p w:rsidR="00790240" w:rsidRPr="006B668D" w:rsidRDefault="00790240" w:rsidP="006B668D">
            <w:pPr>
              <w:jc w:val="right"/>
              <w:rPr>
                <w:szCs w:val="20"/>
              </w:rPr>
            </w:pPr>
          </w:p>
        </w:tc>
      </w:tr>
      <w:tr w:rsidR="00790240" w:rsidRPr="00FD61F0" w:rsidTr="006B668D">
        <w:tc>
          <w:tcPr>
            <w:tcW w:w="2237" w:type="pct"/>
          </w:tcPr>
          <w:p w:rsidR="00790240" w:rsidRPr="006B668D" w:rsidRDefault="00790240" w:rsidP="00180AEE">
            <w:pPr>
              <w:pStyle w:val="BodyText"/>
              <w:rPr>
                <w:rFonts w:cs="Arial"/>
                <w:szCs w:val="20"/>
              </w:rPr>
            </w:pPr>
            <w:r w:rsidRPr="006B668D">
              <w:rPr>
                <w:rFonts w:cs="Arial"/>
                <w:szCs w:val="20"/>
              </w:rPr>
              <w:t xml:space="preserve">EBIT </w:t>
            </w:r>
            <w:r w:rsidRPr="006B668D">
              <w:rPr>
                <w:szCs w:val="20"/>
                <w:vertAlign w:val="superscript"/>
              </w:rPr>
              <w:t>[2]</w:t>
            </w:r>
          </w:p>
        </w:tc>
        <w:tc>
          <w:tcPr>
            <w:tcW w:w="1017" w:type="pct"/>
            <w:vAlign w:val="center"/>
          </w:tcPr>
          <w:p w:rsidR="00790240" w:rsidRPr="006B668D" w:rsidRDefault="00790240" w:rsidP="00790240">
            <w:pPr>
              <w:ind w:firstLineChars="200" w:firstLine="31680"/>
              <w:jc w:val="right"/>
              <w:rPr>
                <w:szCs w:val="20"/>
              </w:rPr>
            </w:pPr>
            <w:r w:rsidRPr="006B668D">
              <w:rPr>
                <w:szCs w:val="20"/>
              </w:rPr>
              <w:t xml:space="preserve">      (274.7)</w:t>
            </w:r>
          </w:p>
        </w:tc>
        <w:tc>
          <w:tcPr>
            <w:tcW w:w="874" w:type="pct"/>
            <w:vAlign w:val="center"/>
          </w:tcPr>
          <w:p w:rsidR="00790240" w:rsidRPr="006B668D" w:rsidRDefault="00790240" w:rsidP="00790240">
            <w:pPr>
              <w:ind w:firstLineChars="200" w:firstLine="31680"/>
              <w:jc w:val="right"/>
              <w:rPr>
                <w:rFonts w:cs="Arial"/>
                <w:color w:val="000000"/>
                <w:szCs w:val="20"/>
              </w:rPr>
            </w:pPr>
            <w:r w:rsidRPr="006B668D">
              <w:rPr>
                <w:rFonts w:cs="Arial"/>
                <w:color w:val="000000"/>
                <w:szCs w:val="20"/>
              </w:rPr>
              <w:t>(27.7)</w:t>
            </w:r>
          </w:p>
        </w:tc>
        <w:tc>
          <w:tcPr>
            <w:tcW w:w="872" w:type="pct"/>
          </w:tcPr>
          <w:p w:rsidR="00790240" w:rsidRPr="006B668D" w:rsidRDefault="00790240" w:rsidP="006B668D">
            <w:pPr>
              <w:jc w:val="right"/>
              <w:rPr>
                <w:szCs w:val="20"/>
              </w:rPr>
            </w:pPr>
          </w:p>
        </w:tc>
      </w:tr>
      <w:tr w:rsidR="00790240" w:rsidRPr="00FD61F0" w:rsidTr="006B668D">
        <w:tc>
          <w:tcPr>
            <w:tcW w:w="2237" w:type="pct"/>
          </w:tcPr>
          <w:p w:rsidR="00790240" w:rsidRPr="006B668D" w:rsidRDefault="00790240" w:rsidP="00180AEE">
            <w:pPr>
              <w:pStyle w:val="BodyText"/>
              <w:rPr>
                <w:rFonts w:cs="Arial"/>
                <w:szCs w:val="20"/>
              </w:rPr>
            </w:pPr>
            <w:r w:rsidRPr="006B668D">
              <w:rPr>
                <w:rFonts w:cs="Arial"/>
                <w:szCs w:val="20"/>
              </w:rPr>
              <w:t>Net (loss)/profit after Tax</w:t>
            </w:r>
          </w:p>
        </w:tc>
        <w:tc>
          <w:tcPr>
            <w:tcW w:w="1017" w:type="pct"/>
            <w:vAlign w:val="center"/>
          </w:tcPr>
          <w:p w:rsidR="00790240" w:rsidRPr="006B668D" w:rsidRDefault="00790240" w:rsidP="00790240">
            <w:pPr>
              <w:ind w:firstLineChars="200" w:firstLine="31680"/>
              <w:jc w:val="right"/>
              <w:rPr>
                <w:szCs w:val="20"/>
              </w:rPr>
            </w:pPr>
            <w:r w:rsidRPr="006B668D">
              <w:rPr>
                <w:szCs w:val="20"/>
              </w:rPr>
              <w:t xml:space="preserve">      (335.4)</w:t>
            </w:r>
          </w:p>
        </w:tc>
        <w:tc>
          <w:tcPr>
            <w:tcW w:w="874" w:type="pct"/>
            <w:vAlign w:val="center"/>
          </w:tcPr>
          <w:p w:rsidR="00790240" w:rsidRPr="006B668D" w:rsidRDefault="00790240" w:rsidP="00790240">
            <w:pPr>
              <w:ind w:firstLineChars="200" w:firstLine="31680"/>
              <w:jc w:val="right"/>
              <w:rPr>
                <w:rFonts w:cs="Arial"/>
                <w:color w:val="000000"/>
                <w:szCs w:val="20"/>
              </w:rPr>
            </w:pPr>
            <w:r w:rsidRPr="006B668D">
              <w:rPr>
                <w:rFonts w:cs="Arial"/>
                <w:color w:val="000000"/>
                <w:szCs w:val="20"/>
              </w:rPr>
              <w:t>(40.2)</w:t>
            </w:r>
          </w:p>
        </w:tc>
        <w:tc>
          <w:tcPr>
            <w:tcW w:w="872" w:type="pct"/>
          </w:tcPr>
          <w:p w:rsidR="00790240" w:rsidRPr="006B668D" w:rsidRDefault="00790240" w:rsidP="006B668D">
            <w:pPr>
              <w:jc w:val="right"/>
              <w:rPr>
                <w:szCs w:val="20"/>
              </w:rPr>
            </w:pPr>
          </w:p>
        </w:tc>
      </w:tr>
      <w:tr w:rsidR="00790240" w:rsidRPr="00FD61F0" w:rsidTr="006B668D">
        <w:tc>
          <w:tcPr>
            <w:tcW w:w="2237" w:type="pct"/>
          </w:tcPr>
          <w:p w:rsidR="00790240" w:rsidRPr="006B668D" w:rsidRDefault="00790240" w:rsidP="006B668D">
            <w:pPr>
              <w:pStyle w:val="BodyText"/>
              <w:spacing w:after="40" w:line="240" w:lineRule="auto"/>
              <w:ind w:left="284" w:hanging="284"/>
              <w:jc w:val="left"/>
              <w:rPr>
                <w:rFonts w:cs="Arial"/>
                <w:szCs w:val="20"/>
              </w:rPr>
            </w:pPr>
            <w:r w:rsidRPr="006B668D">
              <w:rPr>
                <w:rFonts w:cs="Arial"/>
                <w:szCs w:val="20"/>
              </w:rPr>
              <w:t>Total Underlying Earnings adjustments</w:t>
            </w:r>
            <w:r w:rsidRPr="006B668D">
              <w:rPr>
                <w:rFonts w:cs="Arial"/>
                <w:szCs w:val="20"/>
              </w:rPr>
              <w:br/>
              <w:t>(net of tax)</w:t>
            </w:r>
          </w:p>
        </w:tc>
        <w:tc>
          <w:tcPr>
            <w:tcW w:w="1017" w:type="pct"/>
            <w:vAlign w:val="center"/>
          </w:tcPr>
          <w:p w:rsidR="00790240" w:rsidRPr="006B668D" w:rsidRDefault="00790240" w:rsidP="00790240">
            <w:pPr>
              <w:ind w:firstLineChars="200" w:firstLine="31680"/>
              <w:jc w:val="right"/>
              <w:rPr>
                <w:szCs w:val="20"/>
              </w:rPr>
            </w:pPr>
            <w:r w:rsidRPr="006B668D">
              <w:rPr>
                <w:szCs w:val="20"/>
              </w:rPr>
              <w:t xml:space="preserve">  357.6 </w:t>
            </w:r>
          </w:p>
        </w:tc>
        <w:tc>
          <w:tcPr>
            <w:tcW w:w="874" w:type="pct"/>
            <w:vAlign w:val="center"/>
          </w:tcPr>
          <w:p w:rsidR="00790240" w:rsidRPr="006B668D" w:rsidRDefault="00790240" w:rsidP="00790240">
            <w:pPr>
              <w:ind w:firstLineChars="200" w:firstLine="31680"/>
              <w:jc w:val="right"/>
              <w:rPr>
                <w:rFonts w:cs="Arial"/>
                <w:color w:val="000000"/>
                <w:szCs w:val="20"/>
              </w:rPr>
            </w:pPr>
            <w:r w:rsidRPr="006B668D">
              <w:rPr>
                <w:rFonts w:cs="Arial"/>
                <w:color w:val="000000"/>
                <w:szCs w:val="20"/>
              </w:rPr>
              <w:t>139.9</w:t>
            </w:r>
          </w:p>
        </w:tc>
        <w:tc>
          <w:tcPr>
            <w:tcW w:w="872" w:type="pct"/>
          </w:tcPr>
          <w:p w:rsidR="00790240" w:rsidRPr="006B668D" w:rsidRDefault="00790240" w:rsidP="006B668D">
            <w:pPr>
              <w:jc w:val="right"/>
              <w:rPr>
                <w:szCs w:val="20"/>
              </w:rPr>
            </w:pPr>
          </w:p>
        </w:tc>
      </w:tr>
      <w:tr w:rsidR="00790240" w:rsidRPr="00FD61F0" w:rsidTr="006B668D">
        <w:tc>
          <w:tcPr>
            <w:tcW w:w="2237" w:type="pct"/>
          </w:tcPr>
          <w:p w:rsidR="00790240" w:rsidRPr="006B668D" w:rsidRDefault="00790240" w:rsidP="00180AEE">
            <w:pPr>
              <w:pStyle w:val="BodyText"/>
              <w:rPr>
                <w:rFonts w:cs="Arial"/>
                <w:szCs w:val="20"/>
              </w:rPr>
            </w:pPr>
            <w:r w:rsidRPr="006B668D">
              <w:rPr>
                <w:rFonts w:cs="Arial"/>
                <w:szCs w:val="20"/>
              </w:rPr>
              <w:t xml:space="preserve">Underlying Earnings after tax </w:t>
            </w:r>
            <w:r w:rsidRPr="006B668D">
              <w:rPr>
                <w:szCs w:val="20"/>
                <w:vertAlign w:val="superscript"/>
              </w:rPr>
              <w:t>[3]</w:t>
            </w:r>
          </w:p>
        </w:tc>
        <w:tc>
          <w:tcPr>
            <w:tcW w:w="1017" w:type="pct"/>
            <w:vAlign w:val="center"/>
          </w:tcPr>
          <w:p w:rsidR="00790240" w:rsidRPr="006B668D" w:rsidRDefault="00790240" w:rsidP="00790240">
            <w:pPr>
              <w:ind w:firstLineChars="200" w:firstLine="31680"/>
              <w:jc w:val="right"/>
              <w:rPr>
                <w:szCs w:val="20"/>
              </w:rPr>
            </w:pPr>
            <w:r w:rsidRPr="006B668D">
              <w:rPr>
                <w:szCs w:val="20"/>
              </w:rPr>
              <w:t xml:space="preserve">      22.2</w:t>
            </w:r>
          </w:p>
        </w:tc>
        <w:tc>
          <w:tcPr>
            <w:tcW w:w="874" w:type="pct"/>
            <w:vAlign w:val="center"/>
          </w:tcPr>
          <w:p w:rsidR="00790240" w:rsidRPr="006B668D" w:rsidRDefault="00790240" w:rsidP="00790240">
            <w:pPr>
              <w:ind w:firstLineChars="200" w:firstLine="31680"/>
              <w:jc w:val="right"/>
              <w:rPr>
                <w:rFonts w:cs="Arial"/>
                <w:color w:val="000000"/>
                <w:szCs w:val="20"/>
              </w:rPr>
            </w:pPr>
            <w:r w:rsidRPr="006B668D">
              <w:rPr>
                <w:rFonts w:cs="Arial"/>
                <w:color w:val="000000"/>
                <w:szCs w:val="20"/>
              </w:rPr>
              <w:t>99.7</w:t>
            </w:r>
          </w:p>
        </w:tc>
        <w:tc>
          <w:tcPr>
            <w:tcW w:w="872" w:type="pct"/>
          </w:tcPr>
          <w:p w:rsidR="00790240" w:rsidRPr="006B668D" w:rsidRDefault="00790240" w:rsidP="006B668D">
            <w:pPr>
              <w:jc w:val="right"/>
              <w:rPr>
                <w:szCs w:val="20"/>
              </w:rPr>
            </w:pPr>
            <w:r w:rsidRPr="006B668D">
              <w:rPr>
                <w:szCs w:val="20"/>
              </w:rPr>
              <w:t>-78%</w:t>
            </w:r>
          </w:p>
        </w:tc>
      </w:tr>
      <w:tr w:rsidR="00790240" w:rsidRPr="00FD61F0" w:rsidTr="006B668D">
        <w:tc>
          <w:tcPr>
            <w:tcW w:w="2237" w:type="pct"/>
          </w:tcPr>
          <w:p w:rsidR="00790240" w:rsidRPr="006B668D" w:rsidRDefault="00790240" w:rsidP="00180AEE">
            <w:pPr>
              <w:pStyle w:val="BodyText"/>
              <w:rPr>
                <w:rFonts w:cs="Arial"/>
                <w:szCs w:val="20"/>
              </w:rPr>
            </w:pPr>
            <w:r w:rsidRPr="006B668D">
              <w:rPr>
                <w:rFonts w:cs="Arial"/>
                <w:szCs w:val="20"/>
              </w:rPr>
              <w:t>Operating Cashflow</w:t>
            </w:r>
          </w:p>
        </w:tc>
        <w:tc>
          <w:tcPr>
            <w:tcW w:w="1017" w:type="pct"/>
            <w:vAlign w:val="center"/>
          </w:tcPr>
          <w:p w:rsidR="00790240" w:rsidRPr="006B668D" w:rsidRDefault="00790240" w:rsidP="00790240">
            <w:pPr>
              <w:ind w:firstLineChars="200" w:firstLine="31680"/>
              <w:jc w:val="right"/>
              <w:rPr>
                <w:szCs w:val="20"/>
              </w:rPr>
            </w:pPr>
            <w:r w:rsidRPr="006B668D">
              <w:rPr>
                <w:szCs w:val="20"/>
              </w:rPr>
              <w:t xml:space="preserve">      (49.8)</w:t>
            </w:r>
          </w:p>
        </w:tc>
        <w:tc>
          <w:tcPr>
            <w:tcW w:w="874" w:type="pct"/>
            <w:vAlign w:val="center"/>
          </w:tcPr>
          <w:p w:rsidR="00790240" w:rsidRPr="006B668D" w:rsidRDefault="00790240" w:rsidP="00790240">
            <w:pPr>
              <w:ind w:firstLineChars="200" w:firstLine="31680"/>
              <w:jc w:val="right"/>
              <w:rPr>
                <w:rFonts w:cs="Arial"/>
                <w:color w:val="000000"/>
                <w:szCs w:val="20"/>
              </w:rPr>
            </w:pPr>
            <w:r w:rsidRPr="006B668D">
              <w:rPr>
                <w:rFonts w:cs="Arial"/>
                <w:color w:val="000000"/>
                <w:szCs w:val="20"/>
              </w:rPr>
              <w:t>142.2</w:t>
            </w:r>
          </w:p>
        </w:tc>
        <w:tc>
          <w:tcPr>
            <w:tcW w:w="872" w:type="pct"/>
          </w:tcPr>
          <w:p w:rsidR="00790240" w:rsidRPr="006B668D" w:rsidRDefault="00790240" w:rsidP="006B668D">
            <w:pPr>
              <w:jc w:val="right"/>
              <w:rPr>
                <w:szCs w:val="20"/>
              </w:rPr>
            </w:pPr>
          </w:p>
        </w:tc>
      </w:tr>
      <w:tr w:rsidR="00790240" w:rsidRPr="00FD61F0" w:rsidTr="006B668D">
        <w:tc>
          <w:tcPr>
            <w:tcW w:w="2237" w:type="pct"/>
          </w:tcPr>
          <w:p w:rsidR="00790240" w:rsidRPr="006B668D" w:rsidRDefault="00790240" w:rsidP="006B668D">
            <w:pPr>
              <w:pStyle w:val="BodyText"/>
              <w:spacing w:after="40"/>
              <w:ind w:left="284" w:hanging="284"/>
              <w:rPr>
                <w:rFonts w:cs="Arial"/>
                <w:i/>
                <w:szCs w:val="20"/>
              </w:rPr>
            </w:pPr>
            <w:r w:rsidRPr="006B668D">
              <w:rPr>
                <w:rFonts w:cs="Arial"/>
                <w:szCs w:val="20"/>
              </w:rPr>
              <w:t>Dividends Paid</w:t>
            </w:r>
            <w:r w:rsidRPr="006B668D">
              <w:rPr>
                <w:rFonts w:cs="Arial"/>
                <w:i/>
                <w:szCs w:val="20"/>
              </w:rPr>
              <w:t xml:space="preserve"> </w:t>
            </w:r>
          </w:p>
        </w:tc>
        <w:tc>
          <w:tcPr>
            <w:tcW w:w="1017" w:type="pct"/>
            <w:vAlign w:val="center"/>
          </w:tcPr>
          <w:p w:rsidR="00790240" w:rsidRPr="006B668D" w:rsidRDefault="00790240" w:rsidP="00790240">
            <w:pPr>
              <w:ind w:firstLineChars="200" w:firstLine="31680"/>
              <w:jc w:val="right"/>
              <w:rPr>
                <w:szCs w:val="20"/>
              </w:rPr>
            </w:pPr>
            <w:r w:rsidRPr="006B668D">
              <w:rPr>
                <w:szCs w:val="20"/>
              </w:rPr>
              <w:t xml:space="preserve">            Nil   </w:t>
            </w:r>
          </w:p>
        </w:tc>
        <w:tc>
          <w:tcPr>
            <w:tcW w:w="874" w:type="pct"/>
            <w:vAlign w:val="center"/>
          </w:tcPr>
          <w:p w:rsidR="00790240" w:rsidRPr="006B668D" w:rsidRDefault="00790240" w:rsidP="00790240">
            <w:pPr>
              <w:ind w:firstLineChars="200" w:firstLine="31680"/>
              <w:jc w:val="right"/>
              <w:rPr>
                <w:rFonts w:cs="Arial"/>
                <w:color w:val="000000"/>
                <w:szCs w:val="20"/>
              </w:rPr>
            </w:pPr>
            <w:r w:rsidRPr="006B668D">
              <w:rPr>
                <w:rFonts w:cs="Arial"/>
                <w:color w:val="000000"/>
                <w:szCs w:val="20"/>
              </w:rPr>
              <w:t>30</w:t>
            </w:r>
          </w:p>
        </w:tc>
        <w:tc>
          <w:tcPr>
            <w:tcW w:w="872" w:type="pct"/>
          </w:tcPr>
          <w:p w:rsidR="00790240" w:rsidRPr="006B668D" w:rsidRDefault="00790240" w:rsidP="006B668D">
            <w:pPr>
              <w:jc w:val="right"/>
              <w:rPr>
                <w:szCs w:val="20"/>
              </w:rPr>
            </w:pPr>
          </w:p>
        </w:tc>
      </w:tr>
      <w:tr w:rsidR="00790240" w:rsidRPr="00FD61F0" w:rsidTr="006B668D">
        <w:tc>
          <w:tcPr>
            <w:tcW w:w="2237" w:type="pct"/>
          </w:tcPr>
          <w:p w:rsidR="00790240" w:rsidRPr="006B668D" w:rsidRDefault="00790240" w:rsidP="006B668D">
            <w:pPr>
              <w:pStyle w:val="BodyText"/>
              <w:spacing w:after="40"/>
              <w:ind w:left="284" w:hanging="284"/>
              <w:rPr>
                <w:rFonts w:cs="Arial"/>
                <w:szCs w:val="20"/>
              </w:rPr>
            </w:pPr>
            <w:r w:rsidRPr="006B668D">
              <w:rPr>
                <w:rFonts w:cs="Arial"/>
                <w:szCs w:val="20"/>
              </w:rPr>
              <w:t>Shareholders’ Equity</w:t>
            </w:r>
          </w:p>
        </w:tc>
        <w:tc>
          <w:tcPr>
            <w:tcW w:w="1017" w:type="pct"/>
            <w:vAlign w:val="center"/>
          </w:tcPr>
          <w:p w:rsidR="00790240" w:rsidRPr="006B668D" w:rsidRDefault="00790240" w:rsidP="00790240">
            <w:pPr>
              <w:ind w:firstLineChars="200" w:firstLine="31680"/>
              <w:jc w:val="right"/>
              <w:rPr>
                <w:szCs w:val="20"/>
              </w:rPr>
            </w:pPr>
            <w:r w:rsidRPr="006B668D">
              <w:rPr>
                <w:szCs w:val="20"/>
              </w:rPr>
              <w:t>91.6</w:t>
            </w:r>
          </w:p>
        </w:tc>
        <w:tc>
          <w:tcPr>
            <w:tcW w:w="874" w:type="pct"/>
            <w:vAlign w:val="center"/>
          </w:tcPr>
          <w:p w:rsidR="00790240" w:rsidRPr="006B668D" w:rsidRDefault="00790240" w:rsidP="00790240">
            <w:pPr>
              <w:ind w:firstLineChars="200" w:firstLine="31680"/>
              <w:jc w:val="right"/>
              <w:rPr>
                <w:rFonts w:cs="Arial"/>
                <w:color w:val="000000"/>
                <w:szCs w:val="20"/>
              </w:rPr>
            </w:pPr>
            <w:r w:rsidRPr="006B668D">
              <w:rPr>
                <w:rFonts w:cs="Arial"/>
                <w:color w:val="000000"/>
                <w:szCs w:val="20"/>
              </w:rPr>
              <w:t>423.4</w:t>
            </w:r>
          </w:p>
        </w:tc>
        <w:tc>
          <w:tcPr>
            <w:tcW w:w="872" w:type="pct"/>
          </w:tcPr>
          <w:p w:rsidR="00790240" w:rsidRPr="006B668D" w:rsidRDefault="00790240" w:rsidP="006B668D">
            <w:pPr>
              <w:jc w:val="right"/>
              <w:rPr>
                <w:szCs w:val="20"/>
              </w:rPr>
            </w:pPr>
            <w:r w:rsidRPr="006B668D">
              <w:rPr>
                <w:szCs w:val="20"/>
              </w:rPr>
              <w:t>-78%</w:t>
            </w:r>
          </w:p>
        </w:tc>
      </w:tr>
      <w:tr w:rsidR="00790240" w:rsidRPr="00FD61F0" w:rsidTr="006B668D">
        <w:tc>
          <w:tcPr>
            <w:tcW w:w="2237" w:type="pct"/>
          </w:tcPr>
          <w:p w:rsidR="00790240" w:rsidRPr="006B668D" w:rsidRDefault="00790240" w:rsidP="00180AEE">
            <w:pPr>
              <w:pStyle w:val="BodyText"/>
              <w:rPr>
                <w:rFonts w:cs="Arial"/>
                <w:szCs w:val="20"/>
              </w:rPr>
            </w:pPr>
            <w:r w:rsidRPr="006B668D">
              <w:rPr>
                <w:rFonts w:cs="Arial"/>
                <w:szCs w:val="20"/>
              </w:rPr>
              <w:t xml:space="preserve">Return on Equity </w:t>
            </w:r>
            <w:r w:rsidRPr="006B668D">
              <w:rPr>
                <w:szCs w:val="20"/>
                <w:vertAlign w:val="superscript"/>
              </w:rPr>
              <w:t>[4]</w:t>
            </w:r>
          </w:p>
        </w:tc>
        <w:tc>
          <w:tcPr>
            <w:tcW w:w="1017" w:type="pct"/>
            <w:vAlign w:val="center"/>
          </w:tcPr>
          <w:p w:rsidR="00790240" w:rsidRPr="006B668D" w:rsidRDefault="00790240" w:rsidP="00790240">
            <w:pPr>
              <w:ind w:firstLineChars="200" w:firstLine="31680"/>
              <w:jc w:val="right"/>
              <w:rPr>
                <w:szCs w:val="20"/>
              </w:rPr>
            </w:pPr>
            <w:r w:rsidRPr="006B668D">
              <w:rPr>
                <w:szCs w:val="20"/>
              </w:rPr>
              <w:t>-130%</w:t>
            </w:r>
          </w:p>
        </w:tc>
        <w:tc>
          <w:tcPr>
            <w:tcW w:w="874" w:type="pct"/>
            <w:vAlign w:val="center"/>
          </w:tcPr>
          <w:p w:rsidR="00790240" w:rsidRPr="006B668D" w:rsidRDefault="00790240" w:rsidP="00790240">
            <w:pPr>
              <w:ind w:firstLineChars="200" w:firstLine="31680"/>
              <w:jc w:val="right"/>
              <w:rPr>
                <w:rFonts w:cs="Arial"/>
                <w:color w:val="000000"/>
                <w:szCs w:val="20"/>
              </w:rPr>
            </w:pPr>
            <w:r w:rsidRPr="006B668D">
              <w:rPr>
                <w:rFonts w:cs="Arial"/>
                <w:color w:val="000000"/>
                <w:szCs w:val="20"/>
              </w:rPr>
              <w:t>-9%</w:t>
            </w:r>
          </w:p>
        </w:tc>
        <w:tc>
          <w:tcPr>
            <w:tcW w:w="872" w:type="pct"/>
          </w:tcPr>
          <w:p w:rsidR="00790240" w:rsidRPr="006B668D" w:rsidRDefault="00790240" w:rsidP="006B668D">
            <w:pPr>
              <w:jc w:val="right"/>
              <w:rPr>
                <w:szCs w:val="20"/>
              </w:rPr>
            </w:pPr>
          </w:p>
        </w:tc>
      </w:tr>
      <w:tr w:rsidR="00790240" w:rsidRPr="00C3107E" w:rsidTr="006B668D">
        <w:trPr>
          <w:trHeight w:val="247"/>
        </w:trPr>
        <w:tc>
          <w:tcPr>
            <w:tcW w:w="2237" w:type="pct"/>
            <w:tcBorders>
              <w:bottom w:val="single" w:sz="12" w:space="0" w:color="000000"/>
            </w:tcBorders>
          </w:tcPr>
          <w:p w:rsidR="00790240" w:rsidRPr="006B668D" w:rsidRDefault="00790240" w:rsidP="00180AEE">
            <w:pPr>
              <w:pStyle w:val="BodyText"/>
              <w:rPr>
                <w:rFonts w:cs="Arial"/>
                <w:szCs w:val="20"/>
              </w:rPr>
            </w:pPr>
            <w:r w:rsidRPr="006B668D">
              <w:rPr>
                <w:rFonts w:cs="Arial"/>
                <w:szCs w:val="20"/>
              </w:rPr>
              <w:t xml:space="preserve">Gearing Ratio </w:t>
            </w:r>
            <w:r w:rsidRPr="006B668D">
              <w:rPr>
                <w:szCs w:val="20"/>
                <w:vertAlign w:val="superscript"/>
              </w:rPr>
              <w:t>[5]</w:t>
            </w:r>
          </w:p>
        </w:tc>
        <w:tc>
          <w:tcPr>
            <w:tcW w:w="1017" w:type="pct"/>
            <w:tcBorders>
              <w:bottom w:val="single" w:sz="12" w:space="0" w:color="000000"/>
            </w:tcBorders>
            <w:vAlign w:val="center"/>
          </w:tcPr>
          <w:p w:rsidR="00790240" w:rsidRPr="006B668D" w:rsidRDefault="00790240" w:rsidP="00790240">
            <w:pPr>
              <w:ind w:firstLineChars="200" w:firstLine="31680"/>
              <w:jc w:val="right"/>
              <w:rPr>
                <w:szCs w:val="20"/>
              </w:rPr>
            </w:pPr>
            <w:r w:rsidRPr="006B668D">
              <w:rPr>
                <w:szCs w:val="20"/>
              </w:rPr>
              <w:t>81%</w:t>
            </w:r>
          </w:p>
        </w:tc>
        <w:tc>
          <w:tcPr>
            <w:tcW w:w="874" w:type="pct"/>
            <w:tcBorders>
              <w:bottom w:val="single" w:sz="12" w:space="0" w:color="000000"/>
            </w:tcBorders>
            <w:vAlign w:val="center"/>
          </w:tcPr>
          <w:p w:rsidR="00790240" w:rsidRPr="006B668D" w:rsidRDefault="00790240" w:rsidP="00790240">
            <w:pPr>
              <w:ind w:firstLineChars="200" w:firstLine="31680"/>
              <w:jc w:val="right"/>
              <w:rPr>
                <w:rFonts w:cs="Arial"/>
                <w:color w:val="000000"/>
                <w:szCs w:val="20"/>
              </w:rPr>
            </w:pPr>
            <w:r w:rsidRPr="006B668D">
              <w:rPr>
                <w:rFonts w:cs="Arial"/>
                <w:color w:val="000000"/>
                <w:szCs w:val="20"/>
              </w:rPr>
              <w:t>42%</w:t>
            </w:r>
          </w:p>
        </w:tc>
        <w:tc>
          <w:tcPr>
            <w:tcW w:w="872" w:type="pct"/>
            <w:tcBorders>
              <w:bottom w:val="single" w:sz="12" w:space="0" w:color="000000"/>
            </w:tcBorders>
          </w:tcPr>
          <w:p w:rsidR="00790240" w:rsidRPr="006B668D" w:rsidRDefault="00790240" w:rsidP="006B668D">
            <w:pPr>
              <w:jc w:val="right"/>
              <w:rPr>
                <w:szCs w:val="20"/>
              </w:rPr>
            </w:pPr>
          </w:p>
        </w:tc>
      </w:tr>
    </w:tbl>
    <w:p w:rsidR="00790240" w:rsidRPr="00C3107E" w:rsidRDefault="00790240" w:rsidP="00180AEE">
      <w:pPr>
        <w:pStyle w:val="BodyText"/>
        <w:rPr>
          <w:rFonts w:cs="Arial"/>
          <w:b/>
          <w:sz w:val="16"/>
          <w:szCs w:val="16"/>
          <w:highlight w:val="yellow"/>
        </w:rPr>
      </w:pPr>
    </w:p>
    <w:p w:rsidR="00790240" w:rsidRPr="00A041A2" w:rsidRDefault="00790240" w:rsidP="00180AEE">
      <w:pPr>
        <w:pStyle w:val="BodyText"/>
        <w:rPr>
          <w:rFonts w:cs="Arial"/>
          <w:b/>
          <w:sz w:val="16"/>
          <w:szCs w:val="16"/>
        </w:rPr>
      </w:pPr>
      <w:r w:rsidRPr="00A041A2">
        <w:rPr>
          <w:rFonts w:cs="Arial"/>
          <w:b/>
          <w:sz w:val="16"/>
          <w:szCs w:val="16"/>
        </w:rPr>
        <w:t>Definitions:</w:t>
      </w:r>
    </w:p>
    <w:p w:rsidR="00790240" w:rsidRPr="00BC4168" w:rsidRDefault="00790240" w:rsidP="00180AEE">
      <w:pPr>
        <w:pStyle w:val="BodyText"/>
        <w:rPr>
          <w:rFonts w:cs="Arial"/>
          <w:b/>
          <w:sz w:val="16"/>
          <w:szCs w:val="16"/>
        </w:rPr>
      </w:pPr>
      <w:r w:rsidRPr="00BC4168">
        <w:rPr>
          <w:rFonts w:cs="Arial"/>
          <w:sz w:val="16"/>
          <w:szCs w:val="16"/>
        </w:rPr>
        <w:t>(All amounts are NZ$ million unless otherwise stated)</w:t>
      </w:r>
    </w:p>
    <w:p w:rsidR="00790240" w:rsidRPr="00881881" w:rsidRDefault="00790240" w:rsidP="00180AEE">
      <w:pPr>
        <w:pStyle w:val="BodyText"/>
        <w:rPr>
          <w:rFonts w:cs="Arial"/>
          <w:sz w:val="16"/>
          <w:szCs w:val="16"/>
        </w:rPr>
      </w:pPr>
      <w:r>
        <w:rPr>
          <w:rFonts w:cs="Arial"/>
          <w:sz w:val="16"/>
          <w:szCs w:val="16"/>
        </w:rPr>
        <w:t>1     EBITDA:</w:t>
      </w:r>
      <w:r w:rsidRPr="00881881">
        <w:rPr>
          <w:rFonts w:cs="Arial"/>
          <w:sz w:val="16"/>
          <w:szCs w:val="16"/>
        </w:rPr>
        <w:t xml:space="preserve"> </w:t>
      </w:r>
      <w:r>
        <w:rPr>
          <w:rFonts w:cs="Arial"/>
          <w:sz w:val="16"/>
          <w:szCs w:val="16"/>
        </w:rPr>
        <w:t>e</w:t>
      </w:r>
      <w:r w:rsidRPr="00881881">
        <w:rPr>
          <w:rFonts w:cs="Arial"/>
          <w:sz w:val="16"/>
          <w:szCs w:val="16"/>
        </w:rPr>
        <w:t xml:space="preserve">arnings </w:t>
      </w:r>
      <w:r>
        <w:rPr>
          <w:rFonts w:cs="Arial"/>
          <w:sz w:val="16"/>
          <w:szCs w:val="16"/>
        </w:rPr>
        <w:t>b</w:t>
      </w:r>
      <w:r w:rsidRPr="00881881">
        <w:rPr>
          <w:rFonts w:cs="Arial"/>
          <w:sz w:val="16"/>
          <w:szCs w:val="16"/>
        </w:rPr>
        <w:t xml:space="preserve">efore </w:t>
      </w:r>
      <w:r>
        <w:rPr>
          <w:rFonts w:cs="Arial"/>
          <w:sz w:val="16"/>
          <w:szCs w:val="16"/>
        </w:rPr>
        <w:t>i</w:t>
      </w:r>
      <w:r w:rsidRPr="00881881">
        <w:rPr>
          <w:rFonts w:cs="Arial"/>
          <w:sz w:val="16"/>
          <w:szCs w:val="16"/>
        </w:rPr>
        <w:t xml:space="preserve">nterest, </w:t>
      </w:r>
      <w:r>
        <w:rPr>
          <w:rFonts w:cs="Arial"/>
          <w:sz w:val="16"/>
          <w:szCs w:val="16"/>
        </w:rPr>
        <w:t>t</w:t>
      </w:r>
      <w:r w:rsidRPr="00881881">
        <w:rPr>
          <w:rFonts w:cs="Arial"/>
          <w:sz w:val="16"/>
          <w:szCs w:val="16"/>
        </w:rPr>
        <w:t>ax,</w:t>
      </w:r>
      <w:r>
        <w:rPr>
          <w:rFonts w:cs="Arial"/>
          <w:sz w:val="16"/>
          <w:szCs w:val="16"/>
        </w:rPr>
        <w:t xml:space="preserve"> d</w:t>
      </w:r>
      <w:r w:rsidRPr="00881881">
        <w:rPr>
          <w:rFonts w:cs="Arial"/>
          <w:sz w:val="16"/>
          <w:szCs w:val="16"/>
        </w:rPr>
        <w:t xml:space="preserve">epreciation </w:t>
      </w:r>
      <w:r>
        <w:rPr>
          <w:rFonts w:cs="Arial"/>
          <w:sz w:val="16"/>
          <w:szCs w:val="16"/>
        </w:rPr>
        <w:t>and a</w:t>
      </w:r>
      <w:r w:rsidRPr="00881881">
        <w:rPr>
          <w:rFonts w:cs="Arial"/>
          <w:sz w:val="16"/>
          <w:szCs w:val="16"/>
        </w:rPr>
        <w:t>mortisation</w:t>
      </w:r>
      <w:r>
        <w:rPr>
          <w:rFonts w:cs="Arial"/>
          <w:sz w:val="16"/>
          <w:szCs w:val="16"/>
        </w:rPr>
        <w:t xml:space="preserve"> </w:t>
      </w:r>
    </w:p>
    <w:p w:rsidR="00790240" w:rsidRDefault="00790240" w:rsidP="00180AEE">
      <w:pPr>
        <w:pStyle w:val="BodyText"/>
        <w:rPr>
          <w:rFonts w:cs="Arial"/>
          <w:sz w:val="16"/>
          <w:szCs w:val="16"/>
        </w:rPr>
      </w:pPr>
      <w:r>
        <w:rPr>
          <w:rFonts w:cs="Arial"/>
          <w:sz w:val="16"/>
          <w:szCs w:val="16"/>
        </w:rPr>
        <w:t>2     EBIT:</w:t>
      </w:r>
      <w:r w:rsidRPr="00881881">
        <w:rPr>
          <w:rFonts w:cs="Arial"/>
          <w:sz w:val="16"/>
          <w:szCs w:val="16"/>
        </w:rPr>
        <w:t xml:space="preserve"> </w:t>
      </w:r>
      <w:r>
        <w:rPr>
          <w:rFonts w:cs="Arial"/>
          <w:sz w:val="16"/>
          <w:szCs w:val="16"/>
        </w:rPr>
        <w:t>e</w:t>
      </w:r>
      <w:r w:rsidRPr="00881881">
        <w:rPr>
          <w:rFonts w:cs="Arial"/>
          <w:sz w:val="16"/>
          <w:szCs w:val="16"/>
        </w:rPr>
        <w:t xml:space="preserve">arnings </w:t>
      </w:r>
      <w:r>
        <w:rPr>
          <w:rFonts w:cs="Arial"/>
          <w:sz w:val="16"/>
          <w:szCs w:val="16"/>
        </w:rPr>
        <w:t>b</w:t>
      </w:r>
      <w:r w:rsidRPr="00881881">
        <w:rPr>
          <w:rFonts w:cs="Arial"/>
          <w:sz w:val="16"/>
          <w:szCs w:val="16"/>
        </w:rPr>
        <w:t xml:space="preserve">efore </w:t>
      </w:r>
      <w:r>
        <w:rPr>
          <w:rFonts w:cs="Arial"/>
          <w:sz w:val="16"/>
          <w:szCs w:val="16"/>
        </w:rPr>
        <w:t>i</w:t>
      </w:r>
      <w:r w:rsidRPr="00881881">
        <w:rPr>
          <w:rFonts w:cs="Arial"/>
          <w:sz w:val="16"/>
          <w:szCs w:val="16"/>
        </w:rPr>
        <w:t xml:space="preserve">nterest &amp; </w:t>
      </w:r>
      <w:r>
        <w:rPr>
          <w:rFonts w:cs="Arial"/>
          <w:sz w:val="16"/>
          <w:szCs w:val="16"/>
        </w:rPr>
        <w:t>t</w:t>
      </w:r>
      <w:r w:rsidRPr="00881881">
        <w:rPr>
          <w:rFonts w:cs="Arial"/>
          <w:sz w:val="16"/>
          <w:szCs w:val="16"/>
        </w:rPr>
        <w:t>ax</w:t>
      </w:r>
      <w:r w:rsidDel="00400A7A">
        <w:rPr>
          <w:rFonts w:cs="Arial"/>
          <w:sz w:val="16"/>
          <w:szCs w:val="16"/>
        </w:rPr>
        <w:t xml:space="preserve"> </w:t>
      </w:r>
    </w:p>
    <w:p w:rsidR="00790240" w:rsidRDefault="00790240" w:rsidP="00180AEE">
      <w:pPr>
        <w:pStyle w:val="BodyText"/>
        <w:rPr>
          <w:rFonts w:cs="Arial"/>
          <w:sz w:val="16"/>
          <w:szCs w:val="16"/>
        </w:rPr>
      </w:pPr>
      <w:r>
        <w:rPr>
          <w:rFonts w:cs="Arial"/>
          <w:sz w:val="16"/>
          <w:szCs w:val="16"/>
        </w:rPr>
        <w:t xml:space="preserve">3     </w:t>
      </w:r>
      <w:r w:rsidRPr="00A041A2">
        <w:rPr>
          <w:rFonts w:cs="Arial"/>
          <w:sz w:val="16"/>
          <w:szCs w:val="16"/>
        </w:rPr>
        <w:t>Underlying Earnings:</w:t>
      </w:r>
      <w:r>
        <w:rPr>
          <w:rFonts w:cs="Arial"/>
          <w:sz w:val="16"/>
          <w:szCs w:val="16"/>
        </w:rPr>
        <w:t xml:space="preserve"> net profit after tax excluding impairments and large one-off items</w:t>
      </w:r>
    </w:p>
    <w:p w:rsidR="00790240" w:rsidRDefault="00790240" w:rsidP="00180AEE">
      <w:pPr>
        <w:pStyle w:val="BodyText"/>
        <w:rPr>
          <w:rFonts w:cs="Arial"/>
          <w:sz w:val="16"/>
          <w:szCs w:val="16"/>
        </w:rPr>
      </w:pPr>
      <w:r>
        <w:rPr>
          <w:rFonts w:cs="Arial"/>
          <w:sz w:val="16"/>
          <w:szCs w:val="16"/>
        </w:rPr>
        <w:t xml:space="preserve">4     Return on Equity: </w:t>
      </w:r>
      <w:r w:rsidRPr="00C1043A">
        <w:rPr>
          <w:rFonts w:cs="Arial"/>
          <w:sz w:val="16"/>
          <w:szCs w:val="16"/>
        </w:rPr>
        <w:t xml:space="preserve">Net profit after tax / </w:t>
      </w:r>
      <w:r>
        <w:rPr>
          <w:rFonts w:cs="Arial"/>
          <w:sz w:val="16"/>
          <w:szCs w:val="16"/>
        </w:rPr>
        <w:t>a</w:t>
      </w:r>
      <w:r w:rsidRPr="00C1043A">
        <w:rPr>
          <w:rFonts w:cs="Arial"/>
          <w:sz w:val="16"/>
          <w:szCs w:val="16"/>
        </w:rPr>
        <w:t>verage shareholders’ equity</w:t>
      </w:r>
    </w:p>
    <w:p w:rsidR="00790240" w:rsidRDefault="00790240" w:rsidP="00180AEE">
      <w:pPr>
        <w:pStyle w:val="BodyText"/>
        <w:rPr>
          <w:rFonts w:cs="Arial"/>
          <w:sz w:val="16"/>
          <w:szCs w:val="16"/>
        </w:rPr>
      </w:pPr>
      <w:r>
        <w:rPr>
          <w:rFonts w:cs="Arial"/>
          <w:sz w:val="16"/>
          <w:szCs w:val="16"/>
        </w:rPr>
        <w:t>5     Gearing Ratio: n</w:t>
      </w:r>
      <w:r w:rsidRPr="00C1043A">
        <w:rPr>
          <w:rFonts w:cs="Arial"/>
          <w:sz w:val="16"/>
          <w:szCs w:val="16"/>
        </w:rPr>
        <w:t>et debt / (</w:t>
      </w:r>
      <w:r>
        <w:rPr>
          <w:rFonts w:cs="Arial"/>
          <w:sz w:val="16"/>
          <w:szCs w:val="16"/>
        </w:rPr>
        <w:t>n</w:t>
      </w:r>
      <w:r w:rsidRPr="00C1043A">
        <w:rPr>
          <w:rFonts w:cs="Arial"/>
          <w:sz w:val="16"/>
          <w:szCs w:val="16"/>
        </w:rPr>
        <w:t>et debt + equity)</w:t>
      </w:r>
    </w:p>
    <w:p w:rsidR="00790240" w:rsidRDefault="00790240" w:rsidP="00180AEE">
      <w:pPr>
        <w:pStyle w:val="BodyText"/>
        <w:rPr>
          <w:rFonts w:cs="Arial"/>
          <w:sz w:val="16"/>
          <w:szCs w:val="16"/>
        </w:rPr>
      </w:pPr>
    </w:p>
    <w:p w:rsidR="00790240" w:rsidRDefault="00790240" w:rsidP="003D69FA">
      <w:pPr>
        <w:pStyle w:val="BodyText"/>
      </w:pPr>
    </w:p>
    <w:p w:rsidR="00790240" w:rsidRDefault="00790240" w:rsidP="003D69FA">
      <w:pPr>
        <w:pStyle w:val="BodyText"/>
      </w:pPr>
    </w:p>
    <w:p w:rsidR="00790240" w:rsidRDefault="00790240" w:rsidP="003D69FA">
      <w:pPr>
        <w:pStyle w:val="BodyText"/>
      </w:pPr>
    </w:p>
    <w:tbl>
      <w:tblPr>
        <w:tblW w:w="0" w:type="auto"/>
        <w:tblLayout w:type="fixed"/>
        <w:tblCellMar>
          <w:top w:w="170" w:type="dxa"/>
          <w:left w:w="0" w:type="dxa"/>
          <w:bottom w:w="170" w:type="dxa"/>
          <w:right w:w="0" w:type="dxa"/>
        </w:tblCellMar>
        <w:tblLook w:val="01E0"/>
      </w:tblPr>
      <w:tblGrid>
        <w:gridCol w:w="4820"/>
        <w:gridCol w:w="4820"/>
      </w:tblGrid>
      <w:tr w:rsidR="00790240" w:rsidTr="006B668D">
        <w:trPr>
          <w:trHeight w:val="1384"/>
        </w:trPr>
        <w:tc>
          <w:tcPr>
            <w:tcW w:w="4820" w:type="dxa"/>
            <w:vAlign w:val="center"/>
          </w:tcPr>
          <w:p w:rsidR="00790240" w:rsidRDefault="00790240" w:rsidP="00180AEE">
            <w:pPr>
              <w:pStyle w:val="Title"/>
            </w:pPr>
            <w:r>
              <w:t>MEDIA RELEASE</w:t>
            </w:r>
          </w:p>
        </w:tc>
        <w:tc>
          <w:tcPr>
            <w:tcW w:w="4820" w:type="dxa"/>
            <w:vAlign w:val="center"/>
          </w:tcPr>
          <w:p w:rsidR="00790240" w:rsidRDefault="00790240" w:rsidP="006B668D">
            <w:pPr>
              <w:pStyle w:val="Header"/>
              <w:jc w:val="right"/>
            </w:pPr>
            <w:r w:rsidRPr="006B668D">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alt="SolE%20Logo%20SQUARE%20b&amp;w" style="width:75pt;height:67.5pt;visibility:visible">
                  <v:imagedata r:id="rId7" o:title=""/>
                </v:shape>
              </w:pict>
            </w:r>
          </w:p>
        </w:tc>
      </w:tr>
    </w:tbl>
    <w:p w:rsidR="00790240" w:rsidRPr="00BE06C1" w:rsidRDefault="00790240" w:rsidP="00BE06C1">
      <w:pPr>
        <w:pStyle w:val="BodyText"/>
        <w:spacing w:after="60"/>
        <w:rPr>
          <w:sz w:val="22"/>
        </w:rPr>
      </w:pPr>
      <w:r w:rsidRPr="00BE06C1">
        <w:rPr>
          <w:sz w:val="22"/>
        </w:rPr>
        <w:t>__________________________________________</w:t>
      </w:r>
      <w:r>
        <w:rPr>
          <w:sz w:val="22"/>
        </w:rPr>
        <w:t>__</w:t>
      </w:r>
      <w:r w:rsidRPr="00BE06C1">
        <w:rPr>
          <w:sz w:val="22"/>
        </w:rPr>
        <w:t>_____</w:t>
      </w:r>
      <w:r>
        <w:rPr>
          <w:sz w:val="22"/>
        </w:rPr>
        <w:t>__________________________</w:t>
      </w:r>
      <w:r>
        <w:rPr>
          <w:sz w:val="22"/>
        </w:rPr>
        <w:softHyphen/>
      </w:r>
      <w:r>
        <w:rPr>
          <w:sz w:val="22"/>
        </w:rPr>
        <w:softHyphen/>
      </w:r>
      <w:r>
        <w:rPr>
          <w:sz w:val="22"/>
        </w:rPr>
        <w:softHyphen/>
      </w:r>
      <w:r>
        <w:rPr>
          <w:sz w:val="22"/>
        </w:rPr>
        <w:softHyphen/>
        <w:t>_____</w:t>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p>
    <w:p w:rsidR="00790240" w:rsidRDefault="00790240" w:rsidP="00180AEE">
      <w:pPr>
        <w:pStyle w:val="BodyText"/>
        <w:spacing w:after="60"/>
        <w:jc w:val="center"/>
        <w:rPr>
          <w:b/>
          <w:sz w:val="22"/>
        </w:rPr>
      </w:pPr>
    </w:p>
    <w:p w:rsidR="00790240" w:rsidRPr="00957A7D" w:rsidRDefault="00790240" w:rsidP="00180AEE">
      <w:pPr>
        <w:pStyle w:val="BodyText"/>
        <w:spacing w:after="60"/>
        <w:jc w:val="center"/>
        <w:rPr>
          <w:b/>
          <w:sz w:val="22"/>
        </w:rPr>
      </w:pPr>
      <w:r w:rsidRPr="00957A7D">
        <w:rPr>
          <w:b/>
          <w:sz w:val="22"/>
        </w:rPr>
        <w:t xml:space="preserve">Solid Energy asset write downs and one off costs major factors in $335 million loss </w:t>
      </w:r>
    </w:p>
    <w:p w:rsidR="00790240" w:rsidRPr="00957A7D" w:rsidRDefault="00790240" w:rsidP="00180AEE">
      <w:pPr>
        <w:pStyle w:val="BodyText"/>
        <w:spacing w:after="60"/>
        <w:jc w:val="center"/>
        <w:rPr>
          <w:b/>
          <w:sz w:val="22"/>
        </w:rPr>
      </w:pPr>
      <w:r w:rsidRPr="00957A7D">
        <w:rPr>
          <w:b/>
          <w:sz w:val="22"/>
        </w:rPr>
        <w:t>Underlying earnings positive at $22.2 million</w:t>
      </w:r>
    </w:p>
    <w:p w:rsidR="00790240" w:rsidRDefault="00790240" w:rsidP="00180AEE">
      <w:pPr>
        <w:pStyle w:val="BodyText"/>
        <w:spacing w:after="60"/>
        <w:rPr>
          <w:szCs w:val="20"/>
        </w:rPr>
      </w:pPr>
      <w:r>
        <w:rPr>
          <w:szCs w:val="20"/>
        </w:rPr>
        <w:t>Assets write downs of $215.3 million, coupled with $102.2 million in one off-costs of restructuring, redundancy and closures, have contributed to a $335.4 million loss (2012: loss of $40.2 million) for coal producer, Solid Energy, as the company refocuses on its core coal mining capability and improving its productivity and competitiveness.</w:t>
      </w:r>
    </w:p>
    <w:p w:rsidR="00790240" w:rsidRDefault="00790240" w:rsidP="00180AEE">
      <w:pPr>
        <w:pStyle w:val="BodyText"/>
        <w:spacing w:after="60"/>
        <w:rPr>
          <w:szCs w:val="20"/>
        </w:rPr>
      </w:pPr>
    </w:p>
    <w:p w:rsidR="00790240" w:rsidRDefault="00790240" w:rsidP="00180AEE">
      <w:pPr>
        <w:pStyle w:val="BodyText"/>
        <w:spacing w:after="60"/>
        <w:rPr>
          <w:szCs w:val="20"/>
        </w:rPr>
      </w:pPr>
      <w:r>
        <w:rPr>
          <w:szCs w:val="20"/>
        </w:rPr>
        <w:t xml:space="preserve">Underlying earnings dropped 78% to $22.2 million (2012: $99.7 million) which, even though the global coal market is weak, is a less than satisfactory trading performance, says Chairman Mark Ford.  “But we do believe that Solid Energy has a good operating future now that we have focused the business on cash generation, and reduced and contained costs. The carrying values of our coal assets are likely to remain low for some time as we expect that international export prices will remain depressed in the short to medium term. </w:t>
      </w:r>
    </w:p>
    <w:p w:rsidR="00790240" w:rsidRDefault="00790240" w:rsidP="00180AEE">
      <w:pPr>
        <w:pStyle w:val="BodyText"/>
        <w:spacing w:after="60"/>
        <w:rPr>
          <w:szCs w:val="20"/>
        </w:rPr>
      </w:pPr>
    </w:p>
    <w:p w:rsidR="00790240" w:rsidRDefault="00790240" w:rsidP="00180AEE">
      <w:pPr>
        <w:pStyle w:val="BodyText"/>
        <w:spacing w:after="60"/>
        <w:rPr>
          <w:szCs w:val="20"/>
        </w:rPr>
      </w:pPr>
      <w:r>
        <w:rPr>
          <w:szCs w:val="20"/>
        </w:rPr>
        <w:t xml:space="preserve">“The company’s financial recovery will be contingent on continuous improvement across the business coupled with an improvement in international coal markets which could take up to three years.  The impact of change and restructuring on our employees and on regional communities throughout the year has been as severe and as far reaching as any in the company’s 100 year plus history.  While our focus is on paying off our debt and further reducing costs through greater efficiency, we hope to be in a position to reinvest in our key coal mining regions once there is a sustained improvement in the market.” </w:t>
      </w:r>
    </w:p>
    <w:p w:rsidR="00790240" w:rsidRDefault="00790240" w:rsidP="00180AEE">
      <w:pPr>
        <w:pStyle w:val="BodyText"/>
        <w:spacing w:after="60"/>
        <w:rPr>
          <w:szCs w:val="20"/>
        </w:rPr>
      </w:pPr>
    </w:p>
    <w:p w:rsidR="00790240" w:rsidRDefault="00790240" w:rsidP="00180AEE">
      <w:pPr>
        <w:pStyle w:val="BodyText"/>
        <w:spacing w:after="60"/>
        <w:rPr>
          <w:szCs w:val="20"/>
        </w:rPr>
      </w:pPr>
      <w:r>
        <w:rPr>
          <w:szCs w:val="20"/>
        </w:rPr>
        <w:t>Revenue for the year was $631.1 million, down 35% (2012: $978.4 million) as hard coking coal prices on the international spot market dropped from a high of US$221/tonne in early June 2012 to a low of US$130.75/tonne towards the end of June 2013 and the New Zealand dollar remained high at more than 80c against the US dollar for most of the period. Coal sales were down 11% to 4.1 million tonnes (Mt) (2012: 4.6 Mt) as our international steel making customers cut production in response to weaker markets. Coal exports were down 16% on last year to 2.0 Mt (2012: 2.4 Mt) while sales in New Zealand were down slightly to 2.1 Mt (2012: 2.2 Mt).  Average US dollar prices received in the year were down 34% on the previous year.</w:t>
      </w:r>
    </w:p>
    <w:p w:rsidR="00790240" w:rsidRDefault="00790240" w:rsidP="00180AEE">
      <w:pPr>
        <w:pStyle w:val="BodyText"/>
        <w:spacing w:after="60"/>
        <w:rPr>
          <w:szCs w:val="20"/>
        </w:rPr>
      </w:pPr>
    </w:p>
    <w:p w:rsidR="00790240" w:rsidRDefault="00790240" w:rsidP="00810150">
      <w:pPr>
        <w:pStyle w:val="BodyText"/>
        <w:spacing w:after="60"/>
        <w:rPr>
          <w:b/>
          <w:szCs w:val="20"/>
        </w:rPr>
      </w:pPr>
      <w:r>
        <w:rPr>
          <w:szCs w:val="20"/>
        </w:rPr>
        <w:t xml:space="preserve">During the year, Solid Energy restructured its business and closed down or is divesting its renewable energy businesses, coal development projects and surplus assets, with the loss of more than 600 jobs.  The company employed 1,036 permanent and fixed term staff at the end of June 2013 (2012: 1,658).  Since year end the company has confirmed a further 90 redundancies at Huntly East Mine as the economics of underground mining at Huntly do not justify keeping the operation going in its current form.  As of today, Solid Energy employs 902 permanent and fixed term staff.  Since 30 June 2012, 550 employees have been made redundant. </w:t>
      </w:r>
    </w:p>
    <w:p w:rsidR="00790240" w:rsidRDefault="00790240" w:rsidP="009A527A">
      <w:pPr>
        <w:pStyle w:val="BodyText"/>
        <w:spacing w:after="60"/>
        <w:rPr>
          <w:b/>
          <w:sz w:val="22"/>
        </w:rPr>
      </w:pPr>
    </w:p>
    <w:p w:rsidR="00790240" w:rsidRPr="00957A7D" w:rsidRDefault="00790240" w:rsidP="009A527A">
      <w:pPr>
        <w:pStyle w:val="BodyText"/>
        <w:spacing w:after="60"/>
        <w:rPr>
          <w:b/>
          <w:sz w:val="22"/>
        </w:rPr>
      </w:pPr>
      <w:r w:rsidRPr="00957A7D">
        <w:rPr>
          <w:b/>
          <w:sz w:val="22"/>
        </w:rPr>
        <w:t xml:space="preserve">FINANCIAL REVIEW </w:t>
      </w:r>
    </w:p>
    <w:p w:rsidR="00790240" w:rsidRDefault="00790240" w:rsidP="009A527A">
      <w:pPr>
        <w:pStyle w:val="BodyText"/>
        <w:spacing w:after="60"/>
        <w:rPr>
          <w:szCs w:val="20"/>
        </w:rPr>
      </w:pPr>
      <w:r w:rsidRPr="00FD61F0">
        <w:rPr>
          <w:szCs w:val="20"/>
        </w:rPr>
        <w:t>Earnings before Interest and Taxation (EBIT) for the year, after impairments and restructuring costs, was a loss of $</w:t>
      </w:r>
      <w:r>
        <w:rPr>
          <w:szCs w:val="20"/>
        </w:rPr>
        <w:t>274.7</w:t>
      </w:r>
      <w:r w:rsidRPr="00FD61F0">
        <w:rPr>
          <w:szCs w:val="20"/>
        </w:rPr>
        <w:t xml:space="preserve"> million, down </w:t>
      </w:r>
      <w:r>
        <w:rPr>
          <w:szCs w:val="20"/>
        </w:rPr>
        <w:t>f</w:t>
      </w:r>
      <w:r w:rsidRPr="00FD61F0">
        <w:rPr>
          <w:szCs w:val="20"/>
        </w:rPr>
        <w:t xml:space="preserve">rom </w:t>
      </w:r>
      <w:r>
        <w:rPr>
          <w:szCs w:val="20"/>
        </w:rPr>
        <w:t xml:space="preserve">a loss of </w:t>
      </w:r>
      <w:r w:rsidRPr="00FD61F0">
        <w:rPr>
          <w:szCs w:val="20"/>
        </w:rPr>
        <w:t>$</w:t>
      </w:r>
      <w:r>
        <w:rPr>
          <w:szCs w:val="20"/>
        </w:rPr>
        <w:t>27.7</w:t>
      </w:r>
      <w:r w:rsidRPr="00FD61F0">
        <w:rPr>
          <w:szCs w:val="20"/>
        </w:rPr>
        <w:t xml:space="preserve"> million in the </w:t>
      </w:r>
      <w:r>
        <w:rPr>
          <w:szCs w:val="20"/>
        </w:rPr>
        <w:t xml:space="preserve">2012 financial </w:t>
      </w:r>
      <w:r w:rsidRPr="00FD61F0">
        <w:rPr>
          <w:szCs w:val="20"/>
        </w:rPr>
        <w:t>year. Underlying earnings for the year were $</w:t>
      </w:r>
      <w:r>
        <w:rPr>
          <w:szCs w:val="20"/>
        </w:rPr>
        <w:t>22</w:t>
      </w:r>
      <w:r w:rsidRPr="00FD61F0">
        <w:rPr>
          <w:szCs w:val="20"/>
        </w:rPr>
        <w:t>.</w:t>
      </w:r>
      <w:r>
        <w:rPr>
          <w:szCs w:val="20"/>
        </w:rPr>
        <w:t>2</w:t>
      </w:r>
      <w:r w:rsidRPr="00FD61F0">
        <w:rPr>
          <w:szCs w:val="20"/>
        </w:rPr>
        <w:t xml:space="preserve"> million, down </w:t>
      </w:r>
      <w:r>
        <w:rPr>
          <w:szCs w:val="20"/>
        </w:rPr>
        <w:t>78</w:t>
      </w:r>
      <w:r w:rsidRPr="00FD61F0">
        <w:rPr>
          <w:szCs w:val="20"/>
        </w:rPr>
        <w:t>% from $</w:t>
      </w:r>
      <w:r>
        <w:rPr>
          <w:szCs w:val="20"/>
        </w:rPr>
        <w:t>99</w:t>
      </w:r>
      <w:r w:rsidRPr="00FD61F0">
        <w:rPr>
          <w:szCs w:val="20"/>
        </w:rPr>
        <w:t>.</w:t>
      </w:r>
      <w:r>
        <w:rPr>
          <w:szCs w:val="20"/>
        </w:rPr>
        <w:t>7</w:t>
      </w:r>
      <w:r w:rsidRPr="00FD61F0">
        <w:rPr>
          <w:szCs w:val="20"/>
        </w:rPr>
        <w:t xml:space="preserve"> million in the </w:t>
      </w:r>
      <w:r>
        <w:rPr>
          <w:szCs w:val="20"/>
        </w:rPr>
        <w:t>2012</w:t>
      </w:r>
      <w:r w:rsidRPr="00FD61F0">
        <w:rPr>
          <w:szCs w:val="20"/>
        </w:rPr>
        <w:t xml:space="preserve"> financial year.</w:t>
      </w:r>
      <w:r w:rsidDel="007F48E8">
        <w:rPr>
          <w:szCs w:val="20"/>
        </w:rPr>
        <w:t xml:space="preserve"> </w:t>
      </w:r>
    </w:p>
    <w:p w:rsidR="00790240" w:rsidRPr="00FD61F0" w:rsidRDefault="00790240" w:rsidP="009A527A">
      <w:pPr>
        <w:pStyle w:val="BodyText"/>
        <w:spacing w:after="60"/>
      </w:pPr>
    </w:p>
    <w:p w:rsidR="00790240" w:rsidRDefault="00790240" w:rsidP="009A527A">
      <w:pPr>
        <w:spacing w:after="60" w:line="360" w:lineRule="auto"/>
        <w:ind w:left="0" w:firstLine="0"/>
        <w:jc w:val="both"/>
        <w:rPr>
          <w:szCs w:val="20"/>
        </w:rPr>
      </w:pPr>
      <w:r w:rsidRPr="00091979">
        <w:rPr>
          <w:b/>
          <w:szCs w:val="20"/>
        </w:rPr>
        <w:t xml:space="preserve">Prices and Foreign Exchange: </w:t>
      </w:r>
      <w:r>
        <w:rPr>
          <w:b/>
          <w:szCs w:val="20"/>
        </w:rPr>
        <w:t xml:space="preserve"> </w:t>
      </w:r>
      <w:r>
        <w:rPr>
          <w:szCs w:val="20"/>
        </w:rPr>
        <w:t>The combined effect of pricing and foreign exchange decreased EBIT by $211.9 million. International coal prices decreased from early July 2012 and have remained low all year.  As a result average USD prices received were down 34</w:t>
      </w:r>
      <w:r w:rsidRPr="00EF0742">
        <w:rPr>
          <w:szCs w:val="20"/>
        </w:rPr>
        <w:t xml:space="preserve">% on the </w:t>
      </w:r>
      <w:r>
        <w:rPr>
          <w:szCs w:val="20"/>
        </w:rPr>
        <w:t xml:space="preserve">previous </w:t>
      </w:r>
      <w:r w:rsidRPr="00EF0742">
        <w:rPr>
          <w:szCs w:val="20"/>
        </w:rPr>
        <w:t>year,</w:t>
      </w:r>
      <w:r>
        <w:rPr>
          <w:szCs w:val="20"/>
        </w:rPr>
        <w:t xml:space="preserve"> de</w:t>
      </w:r>
      <w:r w:rsidRPr="00EF0742">
        <w:rPr>
          <w:szCs w:val="20"/>
        </w:rPr>
        <w:t>creasing EBIT by $</w:t>
      </w:r>
      <w:r>
        <w:rPr>
          <w:szCs w:val="20"/>
        </w:rPr>
        <w:t>166.3</w:t>
      </w:r>
      <w:r w:rsidRPr="00EF0742">
        <w:rPr>
          <w:szCs w:val="20"/>
        </w:rPr>
        <w:t xml:space="preserve"> million</w:t>
      </w:r>
      <w:r>
        <w:rPr>
          <w:szCs w:val="20"/>
        </w:rPr>
        <w:t>. T</w:t>
      </w:r>
      <w:r w:rsidRPr="00EF0742">
        <w:rPr>
          <w:szCs w:val="20"/>
        </w:rPr>
        <w:t xml:space="preserve">he stronger New Zealand dollar against the US dollar reduced EBIT by </w:t>
      </w:r>
      <w:r>
        <w:rPr>
          <w:szCs w:val="20"/>
        </w:rPr>
        <w:t xml:space="preserve">a further </w:t>
      </w:r>
      <w:r w:rsidRPr="00EF0742">
        <w:rPr>
          <w:szCs w:val="20"/>
        </w:rPr>
        <w:t>$</w:t>
      </w:r>
      <w:r>
        <w:rPr>
          <w:szCs w:val="20"/>
        </w:rPr>
        <w:t>45.6</w:t>
      </w:r>
      <w:r w:rsidRPr="00EF0742">
        <w:rPr>
          <w:szCs w:val="20"/>
        </w:rPr>
        <w:t xml:space="preserve"> million</w:t>
      </w:r>
      <w:r>
        <w:rPr>
          <w:szCs w:val="20"/>
        </w:rPr>
        <w:t xml:space="preserve"> after hedging</w:t>
      </w:r>
      <w:r w:rsidRPr="00EF0742">
        <w:rPr>
          <w:szCs w:val="20"/>
        </w:rPr>
        <w:t>.</w:t>
      </w:r>
    </w:p>
    <w:p w:rsidR="00790240" w:rsidRDefault="00790240" w:rsidP="009A527A">
      <w:pPr>
        <w:spacing w:after="60" w:line="360" w:lineRule="auto"/>
        <w:ind w:left="0" w:firstLine="0"/>
        <w:jc w:val="both"/>
        <w:rPr>
          <w:szCs w:val="20"/>
        </w:rPr>
      </w:pPr>
    </w:p>
    <w:p w:rsidR="00790240" w:rsidRDefault="00790240" w:rsidP="009A527A">
      <w:pPr>
        <w:spacing w:after="60" w:line="360" w:lineRule="auto"/>
        <w:ind w:left="0" w:firstLine="0"/>
        <w:jc w:val="both"/>
        <w:rPr>
          <w:szCs w:val="20"/>
        </w:rPr>
      </w:pPr>
      <w:r w:rsidRPr="001F7F94">
        <w:rPr>
          <w:b/>
          <w:szCs w:val="20"/>
        </w:rPr>
        <w:t>Mix:</w:t>
      </w:r>
      <w:r w:rsidRPr="001F7F94">
        <w:rPr>
          <w:szCs w:val="20"/>
        </w:rPr>
        <w:t xml:space="preserve"> A change in the mix of product sold increased EBIT by $</w:t>
      </w:r>
      <w:r>
        <w:rPr>
          <w:szCs w:val="20"/>
        </w:rPr>
        <w:t>16</w:t>
      </w:r>
      <w:r w:rsidRPr="001F7F94">
        <w:rPr>
          <w:szCs w:val="20"/>
        </w:rPr>
        <w:t>.</w:t>
      </w:r>
      <w:r>
        <w:rPr>
          <w:szCs w:val="20"/>
        </w:rPr>
        <w:t>3</w:t>
      </w:r>
      <w:r w:rsidRPr="001F7F94">
        <w:rPr>
          <w:szCs w:val="20"/>
        </w:rPr>
        <w:t xml:space="preserve"> million, with</w:t>
      </w:r>
      <w:r>
        <w:rPr>
          <w:szCs w:val="20"/>
        </w:rPr>
        <w:t xml:space="preserve"> hard coking coal </w:t>
      </w:r>
      <w:r w:rsidRPr="001F7F94">
        <w:rPr>
          <w:szCs w:val="20"/>
        </w:rPr>
        <w:t xml:space="preserve">sales </w:t>
      </w:r>
      <w:r>
        <w:rPr>
          <w:szCs w:val="20"/>
        </w:rPr>
        <w:t xml:space="preserve">increasing </w:t>
      </w:r>
      <w:r w:rsidRPr="001F7F94">
        <w:rPr>
          <w:szCs w:val="20"/>
        </w:rPr>
        <w:t xml:space="preserve">from </w:t>
      </w:r>
      <w:r>
        <w:rPr>
          <w:szCs w:val="20"/>
        </w:rPr>
        <w:t>55</w:t>
      </w:r>
      <w:r w:rsidRPr="001F7F94">
        <w:rPr>
          <w:szCs w:val="20"/>
        </w:rPr>
        <w:t xml:space="preserve">% to </w:t>
      </w:r>
      <w:r>
        <w:rPr>
          <w:szCs w:val="20"/>
        </w:rPr>
        <w:t>57</w:t>
      </w:r>
      <w:r w:rsidRPr="001F7F94">
        <w:rPr>
          <w:szCs w:val="20"/>
        </w:rPr>
        <w:t>%</w:t>
      </w:r>
      <w:r>
        <w:rPr>
          <w:szCs w:val="20"/>
        </w:rPr>
        <w:t xml:space="preserve"> of total sales as production of semi soft coal from Spring Creek Mine was minimal.  We suspended operations in August 2012, pending a full review of the mine, and put it into care and maintenance in October 2012.</w:t>
      </w:r>
      <w:r w:rsidRPr="001F7F94">
        <w:rPr>
          <w:szCs w:val="20"/>
        </w:rPr>
        <w:t xml:space="preserve"> </w:t>
      </w:r>
    </w:p>
    <w:p w:rsidR="00790240" w:rsidRDefault="00790240" w:rsidP="009A527A">
      <w:pPr>
        <w:spacing w:after="60" w:line="360" w:lineRule="auto"/>
        <w:ind w:left="0" w:firstLine="0"/>
        <w:jc w:val="both"/>
        <w:rPr>
          <w:szCs w:val="20"/>
        </w:rPr>
      </w:pPr>
    </w:p>
    <w:p w:rsidR="00790240" w:rsidRDefault="00790240" w:rsidP="009A527A">
      <w:pPr>
        <w:spacing w:after="60" w:line="360" w:lineRule="auto"/>
        <w:ind w:left="0" w:firstLine="0"/>
        <w:jc w:val="both"/>
        <w:rPr>
          <w:szCs w:val="20"/>
        </w:rPr>
      </w:pPr>
      <w:r>
        <w:rPr>
          <w:b/>
          <w:szCs w:val="20"/>
        </w:rPr>
        <w:t>Volume</w:t>
      </w:r>
      <w:r w:rsidRPr="000D1D4E">
        <w:rPr>
          <w:b/>
          <w:szCs w:val="20"/>
        </w:rPr>
        <w:t xml:space="preserve">: </w:t>
      </w:r>
      <w:r>
        <w:rPr>
          <w:szCs w:val="20"/>
        </w:rPr>
        <w:t xml:space="preserve"> C</w:t>
      </w:r>
      <w:r w:rsidRPr="00FF172A">
        <w:rPr>
          <w:szCs w:val="20"/>
        </w:rPr>
        <w:t>oal</w:t>
      </w:r>
      <w:r>
        <w:rPr>
          <w:szCs w:val="20"/>
        </w:rPr>
        <w:t xml:space="preserve"> sales volumes were 434,000 tonnes lower for the period due to the weakened export coal market and lack of Spring Creek coal. </w:t>
      </w:r>
      <w:r w:rsidRPr="001D7F02">
        <w:rPr>
          <w:szCs w:val="20"/>
        </w:rPr>
        <w:t xml:space="preserve">EBIT </w:t>
      </w:r>
      <w:r>
        <w:rPr>
          <w:szCs w:val="20"/>
        </w:rPr>
        <w:t xml:space="preserve">decreased by </w:t>
      </w:r>
      <w:r w:rsidRPr="001D7F02">
        <w:rPr>
          <w:szCs w:val="20"/>
        </w:rPr>
        <w:t>$</w:t>
      </w:r>
      <w:r>
        <w:rPr>
          <w:szCs w:val="20"/>
        </w:rPr>
        <w:t xml:space="preserve">32.8 </w:t>
      </w:r>
      <w:r w:rsidRPr="001D7F02">
        <w:rPr>
          <w:szCs w:val="20"/>
        </w:rPr>
        <w:t>million</w:t>
      </w:r>
      <w:r>
        <w:rPr>
          <w:szCs w:val="20"/>
        </w:rPr>
        <w:t xml:space="preserve"> as a result</w:t>
      </w:r>
      <w:r w:rsidRPr="001D7F02">
        <w:rPr>
          <w:szCs w:val="20"/>
        </w:rPr>
        <w:t>.</w:t>
      </w:r>
      <w:r>
        <w:rPr>
          <w:szCs w:val="20"/>
        </w:rPr>
        <w:t xml:space="preserve"> </w:t>
      </w:r>
    </w:p>
    <w:p w:rsidR="00790240" w:rsidRDefault="00790240" w:rsidP="009A527A">
      <w:pPr>
        <w:spacing w:after="60" w:line="360" w:lineRule="auto"/>
        <w:ind w:left="0" w:firstLine="0"/>
        <w:jc w:val="both"/>
        <w:rPr>
          <w:b/>
          <w:szCs w:val="20"/>
        </w:rPr>
      </w:pPr>
    </w:p>
    <w:p w:rsidR="00790240" w:rsidRDefault="00790240" w:rsidP="009A527A">
      <w:pPr>
        <w:spacing w:after="60" w:line="360" w:lineRule="auto"/>
        <w:ind w:left="0" w:firstLine="0"/>
        <w:jc w:val="both"/>
        <w:rPr>
          <w:szCs w:val="20"/>
        </w:rPr>
      </w:pPr>
      <w:r>
        <w:rPr>
          <w:b/>
          <w:szCs w:val="20"/>
        </w:rPr>
        <w:t>C</w:t>
      </w:r>
      <w:r w:rsidRPr="000D1D4E">
        <w:rPr>
          <w:b/>
          <w:szCs w:val="20"/>
        </w:rPr>
        <w:t>osts:</w:t>
      </w:r>
      <w:r>
        <w:rPr>
          <w:szCs w:val="20"/>
        </w:rPr>
        <w:t xml:space="preserve"> </w:t>
      </w:r>
      <w:r w:rsidRPr="00266DD5">
        <w:rPr>
          <w:szCs w:val="20"/>
        </w:rPr>
        <w:t>Cost of sales, exploration</w:t>
      </w:r>
      <w:r>
        <w:rPr>
          <w:szCs w:val="20"/>
        </w:rPr>
        <w:t xml:space="preserve"> and other costs decreased </w:t>
      </w:r>
      <w:r w:rsidRPr="00266DD5">
        <w:rPr>
          <w:szCs w:val="20"/>
        </w:rPr>
        <w:t>by $</w:t>
      </w:r>
      <w:r>
        <w:rPr>
          <w:szCs w:val="20"/>
        </w:rPr>
        <w:t>207.8</w:t>
      </w:r>
      <w:r w:rsidRPr="00266DD5">
        <w:rPr>
          <w:szCs w:val="20"/>
        </w:rPr>
        <w:t xml:space="preserve"> million</w:t>
      </w:r>
      <w:r>
        <w:rPr>
          <w:szCs w:val="20"/>
        </w:rPr>
        <w:t xml:space="preserve"> to $680.6 million largely as a result of reduced third party coal purchases ($100.1 million decrease), combined with the effect of lower operational and support costs.</w:t>
      </w:r>
    </w:p>
    <w:p w:rsidR="00790240" w:rsidRDefault="00790240" w:rsidP="009A527A">
      <w:pPr>
        <w:spacing w:after="60" w:line="360" w:lineRule="auto"/>
        <w:ind w:left="0" w:firstLine="0"/>
        <w:jc w:val="both"/>
        <w:rPr>
          <w:szCs w:val="20"/>
        </w:rPr>
      </w:pPr>
    </w:p>
    <w:p w:rsidR="00790240" w:rsidRDefault="00790240" w:rsidP="000C1451">
      <w:pPr>
        <w:spacing w:after="60" w:line="360" w:lineRule="auto"/>
        <w:ind w:left="0" w:firstLine="0"/>
        <w:jc w:val="both"/>
        <w:rPr>
          <w:szCs w:val="20"/>
        </w:rPr>
      </w:pPr>
      <w:r>
        <w:rPr>
          <w:szCs w:val="20"/>
        </w:rPr>
        <w:t xml:space="preserve">Personnel costs decreased by $32.6 million due to restructuring undertaken in the year. Contractor costs decreased by $29.0 million, and repairs and maintenance by $17.8 million as the company reduced activity and brought more work in house.  Professional services fees and litigation costs reduced by $25.6 million largely due to the settlement and legal costs incurred in 2012 as a result of a contractor claim.  Direct </w:t>
      </w:r>
      <w:r w:rsidRPr="00EE31C4">
        <w:rPr>
          <w:szCs w:val="20"/>
        </w:rPr>
        <w:t>and indirect exploration</w:t>
      </w:r>
      <w:r>
        <w:rPr>
          <w:szCs w:val="20"/>
        </w:rPr>
        <w:t>, evaluation and development</w:t>
      </w:r>
      <w:r w:rsidRPr="00EE31C4">
        <w:rPr>
          <w:szCs w:val="20"/>
        </w:rPr>
        <w:t xml:space="preserve"> costs </w:t>
      </w:r>
      <w:r>
        <w:rPr>
          <w:szCs w:val="20"/>
        </w:rPr>
        <w:t>de</w:t>
      </w:r>
      <w:r w:rsidRPr="00EE31C4">
        <w:rPr>
          <w:szCs w:val="20"/>
        </w:rPr>
        <w:t xml:space="preserve">creased </w:t>
      </w:r>
      <w:r>
        <w:rPr>
          <w:szCs w:val="20"/>
        </w:rPr>
        <w:t xml:space="preserve">by $12.1 million </w:t>
      </w:r>
      <w:r w:rsidRPr="00EE31C4">
        <w:rPr>
          <w:szCs w:val="20"/>
        </w:rPr>
        <w:t xml:space="preserve">as the company </w:t>
      </w:r>
      <w:r>
        <w:rPr>
          <w:szCs w:val="20"/>
        </w:rPr>
        <w:t>scaled back to a modest, targeted exploration programme. Emissions Trading Scheme costs decreased by $24.9 million as unit prices continued to decrease. Additional restructuring and redundancy costs of $39.1 million were incurred during the year.</w:t>
      </w:r>
    </w:p>
    <w:p w:rsidR="00790240" w:rsidRDefault="00790240" w:rsidP="000C1451">
      <w:pPr>
        <w:spacing w:after="60" w:line="360" w:lineRule="auto"/>
        <w:ind w:left="0" w:firstLine="0"/>
        <w:jc w:val="both"/>
        <w:rPr>
          <w:szCs w:val="20"/>
        </w:rPr>
      </w:pPr>
    </w:p>
    <w:p w:rsidR="00790240" w:rsidRDefault="00790240" w:rsidP="000C1451">
      <w:pPr>
        <w:spacing w:after="60" w:line="360" w:lineRule="auto"/>
        <w:ind w:left="0" w:firstLine="0"/>
        <w:jc w:val="both"/>
        <w:rPr>
          <w:szCs w:val="20"/>
        </w:rPr>
      </w:pPr>
    </w:p>
    <w:p w:rsidR="00790240" w:rsidRPr="000C1451" w:rsidRDefault="00790240" w:rsidP="000C1451">
      <w:pPr>
        <w:spacing w:after="60" w:line="360" w:lineRule="auto"/>
        <w:ind w:left="0" w:firstLine="0"/>
        <w:jc w:val="both"/>
        <w:rPr>
          <w:szCs w:val="20"/>
        </w:rPr>
      </w:pPr>
      <w:r w:rsidRPr="00B17686">
        <w:rPr>
          <w:b/>
        </w:rPr>
        <w:t>Tax Expense</w:t>
      </w:r>
      <w:r w:rsidRPr="008273DD">
        <w:rPr>
          <w:b/>
        </w:rPr>
        <w:t xml:space="preserve">: </w:t>
      </w:r>
      <w:r w:rsidRPr="008273DD">
        <w:t>The group</w:t>
      </w:r>
      <w:r>
        <w:t xml:space="preserve"> incurred a </w:t>
      </w:r>
      <w:r w:rsidRPr="008273DD">
        <w:t xml:space="preserve">tax expense </w:t>
      </w:r>
      <w:r>
        <w:t>of $40.1 million from writing off deferred tax assets due to their recoverability being uncertain considering the high level of unrecognised losses carried forward and  prices which are forecast to remain low within the foreseeable future.</w:t>
      </w:r>
    </w:p>
    <w:p w:rsidR="00790240" w:rsidRDefault="00790240" w:rsidP="009A527A">
      <w:pPr>
        <w:pStyle w:val="BodyText"/>
        <w:spacing w:after="60"/>
      </w:pPr>
    </w:p>
    <w:p w:rsidR="00790240" w:rsidRDefault="00790240" w:rsidP="000C1451">
      <w:pPr>
        <w:tabs>
          <w:tab w:val="left" w:pos="6285"/>
        </w:tabs>
        <w:spacing w:after="60" w:line="360" w:lineRule="auto"/>
        <w:ind w:left="0" w:firstLine="0"/>
        <w:jc w:val="both"/>
        <w:rPr>
          <w:szCs w:val="20"/>
        </w:rPr>
      </w:pPr>
      <w:r w:rsidRPr="00FD61F0">
        <w:rPr>
          <w:b/>
          <w:szCs w:val="20"/>
        </w:rPr>
        <w:t>Underlying Earnings Adjustments:</w:t>
      </w:r>
      <w:r w:rsidRPr="00FD61F0">
        <w:rPr>
          <w:szCs w:val="20"/>
        </w:rPr>
        <w:t xml:space="preserve"> Underlying earnings for the year were $</w:t>
      </w:r>
      <w:r>
        <w:rPr>
          <w:szCs w:val="20"/>
        </w:rPr>
        <w:t>22</w:t>
      </w:r>
      <w:r w:rsidRPr="00FD61F0">
        <w:rPr>
          <w:szCs w:val="20"/>
        </w:rPr>
        <w:t>.</w:t>
      </w:r>
      <w:r>
        <w:rPr>
          <w:szCs w:val="20"/>
        </w:rPr>
        <w:t>2</w:t>
      </w:r>
      <w:r w:rsidRPr="00FD61F0">
        <w:rPr>
          <w:szCs w:val="20"/>
        </w:rPr>
        <w:t xml:space="preserve"> million, down </w:t>
      </w:r>
      <w:r>
        <w:rPr>
          <w:szCs w:val="20"/>
        </w:rPr>
        <w:t>78</w:t>
      </w:r>
      <w:r w:rsidRPr="00FD61F0">
        <w:rPr>
          <w:szCs w:val="20"/>
        </w:rPr>
        <w:t>% from $</w:t>
      </w:r>
      <w:r>
        <w:rPr>
          <w:szCs w:val="20"/>
        </w:rPr>
        <w:t>99</w:t>
      </w:r>
      <w:r w:rsidRPr="00FD61F0">
        <w:rPr>
          <w:szCs w:val="20"/>
        </w:rPr>
        <w:t>.</w:t>
      </w:r>
      <w:r>
        <w:rPr>
          <w:szCs w:val="20"/>
        </w:rPr>
        <w:t>7</w:t>
      </w:r>
      <w:r w:rsidRPr="00FD61F0">
        <w:rPr>
          <w:szCs w:val="20"/>
        </w:rPr>
        <w:t xml:space="preserve"> million in the </w:t>
      </w:r>
      <w:r>
        <w:rPr>
          <w:szCs w:val="20"/>
        </w:rPr>
        <w:t>2012</w:t>
      </w:r>
      <w:r w:rsidRPr="00FD61F0">
        <w:rPr>
          <w:szCs w:val="20"/>
        </w:rPr>
        <w:t xml:space="preserve"> financial year. The following items have been excluded from net profit after tax in the calculation of underlying earnings for the year:</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tblBorders>
        <w:tblLook w:val="00A0"/>
      </w:tblPr>
      <w:tblGrid>
        <w:gridCol w:w="5433"/>
        <w:gridCol w:w="2000"/>
        <w:gridCol w:w="2647"/>
      </w:tblGrid>
      <w:tr w:rsidR="00790240" w:rsidRPr="00FD61F0" w:rsidTr="006B668D">
        <w:trPr>
          <w:trHeight w:val="345"/>
        </w:trPr>
        <w:tc>
          <w:tcPr>
            <w:tcW w:w="2695" w:type="pct"/>
            <w:tcBorders>
              <w:top w:val="single" w:sz="12" w:space="0" w:color="000000"/>
              <w:bottom w:val="single" w:sz="12" w:space="0" w:color="000000"/>
            </w:tcBorders>
            <w:shd w:val="solid" w:color="808080" w:fill="FFFFFF"/>
          </w:tcPr>
          <w:p w:rsidR="00790240" w:rsidRPr="006B668D" w:rsidRDefault="00790240" w:rsidP="006B668D">
            <w:pPr>
              <w:pStyle w:val="BodyText"/>
              <w:spacing w:before="20" w:after="60" w:line="240" w:lineRule="auto"/>
              <w:ind w:left="284" w:hanging="284"/>
              <w:rPr>
                <w:rFonts w:cs="Arial"/>
                <w:b/>
                <w:bCs/>
                <w:color w:val="FFFFFF"/>
                <w:szCs w:val="20"/>
              </w:rPr>
            </w:pPr>
            <w:r w:rsidRPr="006B668D">
              <w:rPr>
                <w:rFonts w:cs="Arial"/>
                <w:b/>
                <w:bCs/>
                <w:color w:val="FFFFFF"/>
                <w:szCs w:val="20"/>
              </w:rPr>
              <w:t>Year Ended 30 June (NZ$ million)</w:t>
            </w:r>
          </w:p>
        </w:tc>
        <w:tc>
          <w:tcPr>
            <w:tcW w:w="992" w:type="pct"/>
            <w:tcBorders>
              <w:top w:val="single" w:sz="12" w:space="0" w:color="000000"/>
              <w:bottom w:val="single" w:sz="12" w:space="0" w:color="000000"/>
            </w:tcBorders>
            <w:shd w:val="solid" w:color="808080" w:fill="FFFFFF"/>
          </w:tcPr>
          <w:p w:rsidR="00790240" w:rsidRPr="006B668D" w:rsidRDefault="00790240" w:rsidP="006B668D">
            <w:pPr>
              <w:pStyle w:val="BodyText"/>
              <w:spacing w:before="20" w:after="60" w:line="240" w:lineRule="auto"/>
              <w:rPr>
                <w:rFonts w:cs="Arial"/>
                <w:b/>
                <w:bCs/>
                <w:color w:val="FFFFFF"/>
                <w:szCs w:val="20"/>
              </w:rPr>
            </w:pPr>
            <w:r w:rsidRPr="006B668D">
              <w:rPr>
                <w:rFonts w:cs="Arial"/>
                <w:b/>
                <w:bCs/>
                <w:color w:val="FFFFFF"/>
                <w:szCs w:val="20"/>
              </w:rPr>
              <w:t xml:space="preserve">                      2013 </w:t>
            </w:r>
          </w:p>
        </w:tc>
        <w:tc>
          <w:tcPr>
            <w:tcW w:w="1313" w:type="pct"/>
            <w:tcBorders>
              <w:top w:val="single" w:sz="12" w:space="0" w:color="000000"/>
              <w:bottom w:val="single" w:sz="12" w:space="0" w:color="000000"/>
            </w:tcBorders>
            <w:shd w:val="solid" w:color="808080" w:fill="FFFFFF"/>
          </w:tcPr>
          <w:p w:rsidR="00790240" w:rsidRPr="006B668D" w:rsidRDefault="00790240" w:rsidP="006B668D">
            <w:pPr>
              <w:pStyle w:val="BodyText"/>
              <w:spacing w:before="20" w:after="60" w:line="240" w:lineRule="auto"/>
              <w:rPr>
                <w:rFonts w:cs="Arial"/>
                <w:b/>
                <w:bCs/>
                <w:color w:val="FFFFFF"/>
                <w:szCs w:val="20"/>
              </w:rPr>
            </w:pPr>
            <w:r w:rsidRPr="006B668D">
              <w:rPr>
                <w:rFonts w:cs="Arial"/>
                <w:b/>
                <w:bCs/>
                <w:color w:val="FFFFFF"/>
                <w:szCs w:val="20"/>
              </w:rPr>
              <w:t xml:space="preserve">                                 2012</w:t>
            </w:r>
          </w:p>
        </w:tc>
      </w:tr>
      <w:tr w:rsidR="00790240" w:rsidRPr="00FD61F0" w:rsidTr="006B668D">
        <w:tc>
          <w:tcPr>
            <w:tcW w:w="2695" w:type="pct"/>
            <w:vAlign w:val="bottom"/>
          </w:tcPr>
          <w:p w:rsidR="00790240" w:rsidRPr="006B668D" w:rsidRDefault="00790240" w:rsidP="006B668D">
            <w:pPr>
              <w:pStyle w:val="BodyText"/>
              <w:spacing w:before="20" w:after="60" w:line="240" w:lineRule="auto"/>
              <w:ind w:left="284" w:hanging="284"/>
              <w:rPr>
                <w:rFonts w:cs="Arial"/>
                <w:szCs w:val="20"/>
              </w:rPr>
            </w:pPr>
            <w:r w:rsidRPr="006B668D">
              <w:rPr>
                <w:rFonts w:cs="Arial"/>
                <w:b/>
                <w:szCs w:val="20"/>
              </w:rPr>
              <w:t>Impairments</w:t>
            </w:r>
          </w:p>
        </w:tc>
        <w:tc>
          <w:tcPr>
            <w:tcW w:w="992" w:type="pct"/>
          </w:tcPr>
          <w:p w:rsidR="00790240" w:rsidRPr="006B668D" w:rsidRDefault="00790240" w:rsidP="006B668D">
            <w:pPr>
              <w:pStyle w:val="BodyText"/>
              <w:spacing w:before="20" w:after="60" w:line="240" w:lineRule="auto"/>
              <w:ind w:left="284" w:hanging="284"/>
              <w:jc w:val="right"/>
              <w:rPr>
                <w:rFonts w:cs="Arial"/>
                <w:szCs w:val="20"/>
              </w:rPr>
            </w:pPr>
          </w:p>
        </w:tc>
        <w:tc>
          <w:tcPr>
            <w:tcW w:w="1313" w:type="pct"/>
          </w:tcPr>
          <w:p w:rsidR="00790240" w:rsidRPr="006B668D" w:rsidRDefault="00790240" w:rsidP="006B668D">
            <w:pPr>
              <w:pStyle w:val="BodyText"/>
              <w:spacing w:before="20" w:after="60" w:line="240" w:lineRule="auto"/>
              <w:ind w:left="284" w:hanging="284"/>
              <w:jc w:val="right"/>
              <w:rPr>
                <w:rFonts w:cs="Arial"/>
                <w:szCs w:val="20"/>
              </w:rPr>
            </w:pPr>
          </w:p>
        </w:tc>
      </w:tr>
      <w:tr w:rsidR="00790240" w:rsidRPr="00FD61F0" w:rsidTr="006B668D">
        <w:tc>
          <w:tcPr>
            <w:tcW w:w="2695" w:type="pct"/>
            <w:vAlign w:val="bottom"/>
          </w:tcPr>
          <w:p w:rsidR="00790240" w:rsidRPr="006B668D" w:rsidRDefault="00790240" w:rsidP="006B668D">
            <w:pPr>
              <w:pStyle w:val="BodyText"/>
              <w:spacing w:before="20" w:after="60" w:line="240" w:lineRule="auto"/>
              <w:ind w:left="284" w:hanging="284"/>
              <w:rPr>
                <w:rFonts w:cs="Arial"/>
                <w:szCs w:val="20"/>
              </w:rPr>
            </w:pPr>
            <w:r w:rsidRPr="006B668D">
              <w:rPr>
                <w:rFonts w:cs="Arial"/>
                <w:szCs w:val="20"/>
              </w:rPr>
              <w:t>Stockton Mine</w:t>
            </w:r>
          </w:p>
        </w:tc>
        <w:tc>
          <w:tcPr>
            <w:tcW w:w="992" w:type="pct"/>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80.1</w:t>
            </w:r>
          </w:p>
        </w:tc>
        <w:tc>
          <w:tcPr>
            <w:tcW w:w="1313" w:type="pct"/>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w:t>
            </w:r>
          </w:p>
        </w:tc>
      </w:tr>
      <w:tr w:rsidR="00790240" w:rsidRPr="00FD61F0" w:rsidTr="006B668D">
        <w:tc>
          <w:tcPr>
            <w:tcW w:w="2695" w:type="pct"/>
            <w:vAlign w:val="bottom"/>
          </w:tcPr>
          <w:p w:rsidR="00790240" w:rsidRPr="006B668D" w:rsidRDefault="00790240" w:rsidP="006B668D">
            <w:pPr>
              <w:pStyle w:val="BodyText"/>
              <w:spacing w:before="20" w:after="60" w:line="240" w:lineRule="auto"/>
              <w:ind w:left="284" w:hanging="284"/>
              <w:rPr>
                <w:rFonts w:cs="Arial"/>
                <w:szCs w:val="20"/>
              </w:rPr>
            </w:pPr>
            <w:r w:rsidRPr="006B668D">
              <w:rPr>
                <w:rFonts w:cs="Arial"/>
                <w:szCs w:val="20"/>
              </w:rPr>
              <w:t>Spring Creek Mine</w:t>
            </w:r>
          </w:p>
        </w:tc>
        <w:tc>
          <w:tcPr>
            <w:tcW w:w="992" w:type="pct"/>
            <w:vAlign w:val="bottom"/>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53.1</w:t>
            </w:r>
          </w:p>
        </w:tc>
        <w:tc>
          <w:tcPr>
            <w:tcW w:w="1313" w:type="pct"/>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64.3</w:t>
            </w:r>
          </w:p>
        </w:tc>
      </w:tr>
      <w:tr w:rsidR="00790240" w:rsidRPr="00FD61F0" w:rsidTr="006B668D">
        <w:tc>
          <w:tcPr>
            <w:tcW w:w="2695" w:type="pct"/>
            <w:vAlign w:val="bottom"/>
          </w:tcPr>
          <w:p w:rsidR="00790240" w:rsidRPr="006B668D" w:rsidRDefault="00790240" w:rsidP="006B668D">
            <w:pPr>
              <w:pStyle w:val="BodyText"/>
              <w:spacing w:before="20" w:after="60" w:line="240" w:lineRule="auto"/>
              <w:ind w:left="284" w:hanging="284"/>
              <w:rPr>
                <w:rFonts w:cs="Arial"/>
                <w:szCs w:val="20"/>
              </w:rPr>
            </w:pPr>
            <w:r w:rsidRPr="006B668D">
              <w:rPr>
                <w:rFonts w:cs="Arial"/>
                <w:szCs w:val="20"/>
              </w:rPr>
              <w:t>Underground Coal Gasification (UCG)</w:t>
            </w:r>
          </w:p>
        </w:tc>
        <w:tc>
          <w:tcPr>
            <w:tcW w:w="992" w:type="pct"/>
            <w:vAlign w:val="bottom"/>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23.9</w:t>
            </w:r>
          </w:p>
        </w:tc>
        <w:tc>
          <w:tcPr>
            <w:tcW w:w="1313" w:type="pct"/>
          </w:tcPr>
          <w:p w:rsidR="00790240" w:rsidRPr="006B668D" w:rsidRDefault="00790240" w:rsidP="006B668D">
            <w:pPr>
              <w:pStyle w:val="BodyText"/>
              <w:spacing w:before="20" w:after="60" w:line="240" w:lineRule="auto"/>
              <w:ind w:left="284" w:hanging="284"/>
              <w:jc w:val="right"/>
              <w:rPr>
                <w:rFonts w:cs="Arial"/>
                <w:b/>
                <w:szCs w:val="20"/>
              </w:rPr>
            </w:pPr>
            <w:r w:rsidRPr="006B668D">
              <w:rPr>
                <w:rFonts w:cs="Arial"/>
                <w:b/>
                <w:szCs w:val="20"/>
              </w:rPr>
              <w:t>-</w:t>
            </w:r>
          </w:p>
        </w:tc>
      </w:tr>
      <w:tr w:rsidR="00790240" w:rsidRPr="00FD61F0" w:rsidTr="006B668D">
        <w:tc>
          <w:tcPr>
            <w:tcW w:w="2695" w:type="pct"/>
            <w:vAlign w:val="bottom"/>
          </w:tcPr>
          <w:p w:rsidR="00790240" w:rsidRPr="006B668D" w:rsidRDefault="00790240" w:rsidP="006B668D">
            <w:pPr>
              <w:pStyle w:val="BodyText"/>
              <w:spacing w:before="20" w:after="60" w:line="240" w:lineRule="auto"/>
              <w:ind w:left="284" w:hanging="284"/>
              <w:rPr>
                <w:rFonts w:cs="Arial"/>
                <w:szCs w:val="20"/>
              </w:rPr>
            </w:pPr>
            <w:r w:rsidRPr="006B668D">
              <w:rPr>
                <w:rFonts w:cs="Arial"/>
                <w:szCs w:val="20"/>
              </w:rPr>
              <w:t>Briquette Plant</w:t>
            </w:r>
          </w:p>
        </w:tc>
        <w:tc>
          <w:tcPr>
            <w:tcW w:w="992" w:type="pct"/>
            <w:vAlign w:val="bottom"/>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26.2</w:t>
            </w:r>
          </w:p>
        </w:tc>
        <w:tc>
          <w:tcPr>
            <w:tcW w:w="1313" w:type="pct"/>
          </w:tcPr>
          <w:p w:rsidR="00790240" w:rsidRPr="006B668D" w:rsidRDefault="00790240" w:rsidP="006B668D">
            <w:pPr>
              <w:pStyle w:val="BodyText"/>
              <w:spacing w:before="20" w:after="60" w:line="240" w:lineRule="auto"/>
              <w:ind w:left="284" w:hanging="284"/>
              <w:jc w:val="right"/>
              <w:rPr>
                <w:rFonts w:cs="Arial"/>
                <w:b/>
                <w:szCs w:val="20"/>
              </w:rPr>
            </w:pPr>
            <w:r w:rsidRPr="006B668D">
              <w:rPr>
                <w:rFonts w:cs="Arial"/>
                <w:b/>
                <w:szCs w:val="20"/>
              </w:rPr>
              <w:t>-</w:t>
            </w:r>
          </w:p>
        </w:tc>
      </w:tr>
      <w:tr w:rsidR="00790240" w:rsidRPr="00FD61F0" w:rsidTr="006B668D">
        <w:tc>
          <w:tcPr>
            <w:tcW w:w="2695" w:type="pct"/>
            <w:vAlign w:val="bottom"/>
          </w:tcPr>
          <w:p w:rsidR="00790240" w:rsidRPr="006B668D" w:rsidRDefault="00790240" w:rsidP="006B668D">
            <w:pPr>
              <w:pStyle w:val="BodyText"/>
              <w:spacing w:before="20" w:after="60" w:line="240" w:lineRule="auto"/>
              <w:ind w:left="284" w:hanging="284"/>
              <w:rPr>
                <w:rFonts w:cs="Arial"/>
                <w:szCs w:val="20"/>
              </w:rPr>
            </w:pPr>
            <w:r w:rsidRPr="006B668D">
              <w:rPr>
                <w:rFonts w:cs="Arial"/>
                <w:szCs w:val="20"/>
              </w:rPr>
              <w:t>Cobden Bridge (Greymouth)</w:t>
            </w:r>
          </w:p>
        </w:tc>
        <w:tc>
          <w:tcPr>
            <w:tcW w:w="992" w:type="pct"/>
            <w:vAlign w:val="bottom"/>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8.8</w:t>
            </w:r>
          </w:p>
        </w:tc>
        <w:tc>
          <w:tcPr>
            <w:tcW w:w="1313" w:type="pct"/>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w:t>
            </w:r>
          </w:p>
        </w:tc>
      </w:tr>
      <w:tr w:rsidR="00790240" w:rsidRPr="00FD61F0" w:rsidTr="006B668D">
        <w:tc>
          <w:tcPr>
            <w:tcW w:w="2695" w:type="pct"/>
            <w:vAlign w:val="bottom"/>
          </w:tcPr>
          <w:p w:rsidR="00790240" w:rsidRPr="006B668D" w:rsidRDefault="00790240" w:rsidP="006B668D">
            <w:pPr>
              <w:pStyle w:val="BodyText"/>
              <w:spacing w:before="20" w:after="60" w:line="240" w:lineRule="auto"/>
              <w:ind w:left="284" w:hanging="284"/>
              <w:rPr>
                <w:rFonts w:cs="Arial"/>
                <w:szCs w:val="20"/>
              </w:rPr>
            </w:pPr>
            <w:r w:rsidRPr="006B668D">
              <w:rPr>
                <w:rFonts w:cs="Arial"/>
                <w:szCs w:val="20"/>
              </w:rPr>
              <w:t>Biodiesel New Zealand</w:t>
            </w:r>
          </w:p>
        </w:tc>
        <w:tc>
          <w:tcPr>
            <w:tcW w:w="992" w:type="pct"/>
            <w:vAlign w:val="bottom"/>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 xml:space="preserve">         0.6 </w:t>
            </w:r>
          </w:p>
        </w:tc>
        <w:tc>
          <w:tcPr>
            <w:tcW w:w="1313" w:type="pct"/>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9.0</w:t>
            </w:r>
          </w:p>
        </w:tc>
      </w:tr>
      <w:tr w:rsidR="00790240" w:rsidRPr="00FD61F0" w:rsidTr="006B668D">
        <w:tc>
          <w:tcPr>
            <w:tcW w:w="2695" w:type="pct"/>
            <w:vAlign w:val="bottom"/>
          </w:tcPr>
          <w:p w:rsidR="00790240" w:rsidRPr="006B668D" w:rsidRDefault="00790240" w:rsidP="006B668D">
            <w:pPr>
              <w:pStyle w:val="BodyText"/>
              <w:spacing w:before="20" w:after="60" w:line="240" w:lineRule="auto"/>
              <w:ind w:left="284" w:hanging="284"/>
              <w:rPr>
                <w:rFonts w:cs="Arial"/>
                <w:szCs w:val="20"/>
              </w:rPr>
            </w:pPr>
            <w:r w:rsidRPr="006B668D">
              <w:rPr>
                <w:rFonts w:cs="Arial"/>
                <w:szCs w:val="20"/>
              </w:rPr>
              <w:t>Nature’s Flame</w:t>
            </w:r>
          </w:p>
        </w:tc>
        <w:tc>
          <w:tcPr>
            <w:tcW w:w="992" w:type="pct"/>
            <w:vAlign w:val="bottom"/>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4.3</w:t>
            </w:r>
          </w:p>
        </w:tc>
        <w:tc>
          <w:tcPr>
            <w:tcW w:w="1313" w:type="pct"/>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24.5</w:t>
            </w:r>
          </w:p>
        </w:tc>
      </w:tr>
      <w:tr w:rsidR="00790240" w:rsidRPr="009464EB" w:rsidTr="006B668D">
        <w:tc>
          <w:tcPr>
            <w:tcW w:w="2695" w:type="pct"/>
            <w:vAlign w:val="bottom"/>
          </w:tcPr>
          <w:p w:rsidR="00790240" w:rsidRPr="006B668D" w:rsidRDefault="00790240" w:rsidP="006B668D">
            <w:pPr>
              <w:pStyle w:val="BodyText"/>
              <w:spacing w:before="20" w:after="60" w:line="240" w:lineRule="auto"/>
              <w:ind w:left="284" w:hanging="284"/>
              <w:rPr>
                <w:rFonts w:cs="Arial"/>
                <w:szCs w:val="20"/>
              </w:rPr>
            </w:pPr>
            <w:r w:rsidRPr="006B668D">
              <w:rPr>
                <w:rFonts w:cs="Arial"/>
                <w:szCs w:val="20"/>
              </w:rPr>
              <w:t>Switch</w:t>
            </w:r>
          </w:p>
        </w:tc>
        <w:tc>
          <w:tcPr>
            <w:tcW w:w="992" w:type="pct"/>
            <w:vAlign w:val="bottom"/>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w:t>
            </w:r>
          </w:p>
        </w:tc>
        <w:tc>
          <w:tcPr>
            <w:tcW w:w="1313" w:type="pct"/>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1.6</w:t>
            </w:r>
          </w:p>
        </w:tc>
      </w:tr>
      <w:tr w:rsidR="00790240" w:rsidRPr="00FD61F0" w:rsidTr="006B668D">
        <w:tc>
          <w:tcPr>
            <w:tcW w:w="2695" w:type="pct"/>
            <w:vAlign w:val="bottom"/>
          </w:tcPr>
          <w:p w:rsidR="00790240" w:rsidRPr="006B668D" w:rsidRDefault="00790240" w:rsidP="006B668D">
            <w:pPr>
              <w:pStyle w:val="BodyText"/>
              <w:spacing w:before="20" w:after="60" w:line="240" w:lineRule="auto"/>
              <w:ind w:left="284" w:hanging="284"/>
              <w:rPr>
                <w:rFonts w:cs="Arial"/>
                <w:szCs w:val="20"/>
              </w:rPr>
            </w:pPr>
            <w:r w:rsidRPr="006B668D">
              <w:rPr>
                <w:rFonts w:cs="Arial"/>
                <w:szCs w:val="20"/>
              </w:rPr>
              <w:t>Land and Mineral Rights</w:t>
            </w:r>
          </w:p>
        </w:tc>
        <w:tc>
          <w:tcPr>
            <w:tcW w:w="992" w:type="pct"/>
            <w:vAlign w:val="bottom"/>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32.9</w:t>
            </w:r>
          </w:p>
        </w:tc>
        <w:tc>
          <w:tcPr>
            <w:tcW w:w="1313" w:type="pct"/>
          </w:tcPr>
          <w:p w:rsidR="00790240" w:rsidRPr="006B668D" w:rsidRDefault="00790240" w:rsidP="006B668D">
            <w:pPr>
              <w:pStyle w:val="BodyText"/>
              <w:spacing w:before="20" w:after="60" w:line="240" w:lineRule="auto"/>
              <w:ind w:left="284" w:hanging="284"/>
              <w:jc w:val="right"/>
              <w:rPr>
                <w:rFonts w:cs="Arial"/>
                <w:b/>
                <w:szCs w:val="20"/>
              </w:rPr>
            </w:pPr>
            <w:r w:rsidRPr="006B668D">
              <w:rPr>
                <w:rFonts w:cs="Arial"/>
                <w:b/>
                <w:szCs w:val="20"/>
              </w:rPr>
              <w:t>-</w:t>
            </w:r>
          </w:p>
        </w:tc>
      </w:tr>
      <w:tr w:rsidR="00790240" w:rsidRPr="00FD61F0" w:rsidTr="006B668D">
        <w:tc>
          <w:tcPr>
            <w:tcW w:w="2695" w:type="pct"/>
            <w:vAlign w:val="bottom"/>
          </w:tcPr>
          <w:p w:rsidR="00790240" w:rsidRPr="006B668D" w:rsidRDefault="00790240" w:rsidP="006B668D">
            <w:pPr>
              <w:pStyle w:val="BodyText"/>
              <w:spacing w:before="20" w:after="60" w:line="240" w:lineRule="auto"/>
              <w:ind w:left="284" w:hanging="284"/>
              <w:rPr>
                <w:rFonts w:cs="Arial"/>
                <w:szCs w:val="20"/>
              </w:rPr>
            </w:pPr>
            <w:r w:rsidRPr="006B668D">
              <w:rPr>
                <w:rFonts w:cs="Arial"/>
                <w:szCs w:val="20"/>
              </w:rPr>
              <w:t>Huntly East Mine</w:t>
            </w:r>
          </w:p>
        </w:tc>
        <w:tc>
          <w:tcPr>
            <w:tcW w:w="992" w:type="pct"/>
            <w:vAlign w:val="bottom"/>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(14.6)</w:t>
            </w:r>
          </w:p>
        </w:tc>
        <w:tc>
          <w:tcPr>
            <w:tcW w:w="1313" w:type="pct"/>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33.8</w:t>
            </w:r>
          </w:p>
        </w:tc>
      </w:tr>
      <w:tr w:rsidR="00790240" w:rsidRPr="00FD61F0" w:rsidTr="006B668D">
        <w:tc>
          <w:tcPr>
            <w:tcW w:w="2695" w:type="pct"/>
            <w:vAlign w:val="bottom"/>
          </w:tcPr>
          <w:p w:rsidR="00790240" w:rsidRPr="006B668D" w:rsidRDefault="00790240" w:rsidP="006B668D">
            <w:pPr>
              <w:pStyle w:val="BodyText"/>
              <w:spacing w:before="20" w:after="60" w:line="240" w:lineRule="auto"/>
              <w:ind w:left="284" w:hanging="284"/>
              <w:rPr>
                <w:rFonts w:cs="Arial"/>
                <w:szCs w:val="20"/>
              </w:rPr>
            </w:pPr>
            <w:r w:rsidRPr="006B668D">
              <w:rPr>
                <w:rFonts w:cs="Arial"/>
                <w:szCs w:val="20"/>
              </w:rPr>
              <w:t>Coal Seam Gas</w:t>
            </w:r>
          </w:p>
        </w:tc>
        <w:tc>
          <w:tcPr>
            <w:tcW w:w="992" w:type="pct"/>
            <w:vAlign w:val="bottom"/>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w:t>
            </w:r>
          </w:p>
        </w:tc>
        <w:tc>
          <w:tcPr>
            <w:tcW w:w="1313" w:type="pct"/>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18.5</w:t>
            </w:r>
          </w:p>
        </w:tc>
      </w:tr>
      <w:tr w:rsidR="00790240" w:rsidRPr="00FD61F0" w:rsidTr="006B668D">
        <w:tc>
          <w:tcPr>
            <w:tcW w:w="2695" w:type="pct"/>
          </w:tcPr>
          <w:p w:rsidR="00790240" w:rsidRPr="006B668D" w:rsidRDefault="00790240" w:rsidP="006B668D">
            <w:pPr>
              <w:pStyle w:val="BodyText"/>
              <w:spacing w:before="20" w:after="60" w:line="240" w:lineRule="auto"/>
              <w:ind w:left="284" w:hanging="284"/>
              <w:rPr>
                <w:rFonts w:cs="Arial"/>
                <w:szCs w:val="20"/>
              </w:rPr>
            </w:pPr>
            <w:r w:rsidRPr="006B668D">
              <w:rPr>
                <w:rFonts w:cs="Arial"/>
                <w:szCs w:val="20"/>
              </w:rPr>
              <w:t>Ignite loan repayment</w:t>
            </w:r>
          </w:p>
        </w:tc>
        <w:tc>
          <w:tcPr>
            <w:tcW w:w="992" w:type="pct"/>
            <w:vAlign w:val="bottom"/>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w:t>
            </w:r>
          </w:p>
        </w:tc>
        <w:tc>
          <w:tcPr>
            <w:tcW w:w="1313" w:type="pct"/>
          </w:tcPr>
          <w:p w:rsidR="00790240" w:rsidRPr="006B668D" w:rsidRDefault="00790240" w:rsidP="006B668D">
            <w:pPr>
              <w:pStyle w:val="BodyText"/>
              <w:spacing w:before="20" w:after="60" w:line="240" w:lineRule="auto"/>
              <w:ind w:left="284" w:hanging="284"/>
              <w:jc w:val="right"/>
              <w:rPr>
                <w:rFonts w:cs="Arial"/>
                <w:szCs w:val="20"/>
              </w:rPr>
            </w:pPr>
            <w:r w:rsidRPr="006B668D">
              <w:rPr>
                <w:rFonts w:cs="Arial"/>
                <w:szCs w:val="20"/>
              </w:rPr>
              <w:t>(2.5)</w:t>
            </w:r>
          </w:p>
        </w:tc>
      </w:tr>
      <w:tr w:rsidR="00790240" w:rsidRPr="00FD61F0" w:rsidTr="006B668D">
        <w:tc>
          <w:tcPr>
            <w:tcW w:w="2695" w:type="pct"/>
          </w:tcPr>
          <w:p w:rsidR="00790240" w:rsidRPr="006B668D" w:rsidRDefault="00790240" w:rsidP="006B668D">
            <w:pPr>
              <w:pStyle w:val="BodyText"/>
              <w:spacing w:before="20" w:after="60" w:line="240" w:lineRule="auto"/>
              <w:ind w:left="284" w:hanging="284"/>
              <w:rPr>
                <w:rFonts w:cs="Arial"/>
                <w:b/>
                <w:i/>
                <w:szCs w:val="20"/>
              </w:rPr>
            </w:pPr>
            <w:r w:rsidRPr="006B668D">
              <w:rPr>
                <w:rFonts w:cs="Arial"/>
                <w:b/>
                <w:szCs w:val="20"/>
              </w:rPr>
              <w:t>Total Net Impairments</w:t>
            </w:r>
          </w:p>
        </w:tc>
        <w:tc>
          <w:tcPr>
            <w:tcW w:w="992" w:type="pct"/>
            <w:vAlign w:val="bottom"/>
          </w:tcPr>
          <w:p w:rsidR="00790240" w:rsidRPr="006B668D" w:rsidRDefault="00790240" w:rsidP="006B668D">
            <w:pPr>
              <w:pStyle w:val="BodyText"/>
              <w:spacing w:before="20" w:after="60" w:line="240" w:lineRule="auto"/>
              <w:ind w:left="284" w:hanging="284"/>
              <w:jc w:val="right"/>
              <w:rPr>
                <w:rFonts w:cs="Arial"/>
                <w:b/>
                <w:szCs w:val="20"/>
              </w:rPr>
            </w:pPr>
            <w:r w:rsidRPr="006B668D">
              <w:rPr>
                <w:rFonts w:cs="Arial"/>
                <w:b/>
                <w:szCs w:val="20"/>
              </w:rPr>
              <w:t>215.3</w:t>
            </w:r>
          </w:p>
        </w:tc>
        <w:tc>
          <w:tcPr>
            <w:tcW w:w="1313" w:type="pct"/>
          </w:tcPr>
          <w:p w:rsidR="00790240" w:rsidRPr="006B668D" w:rsidRDefault="00790240" w:rsidP="006B668D">
            <w:pPr>
              <w:pStyle w:val="BodyText"/>
              <w:spacing w:before="20" w:after="60" w:line="240" w:lineRule="auto"/>
              <w:ind w:left="284" w:hanging="284"/>
              <w:jc w:val="right"/>
              <w:rPr>
                <w:rFonts w:cs="Arial"/>
                <w:b/>
                <w:szCs w:val="20"/>
              </w:rPr>
            </w:pPr>
            <w:r w:rsidRPr="006B668D">
              <w:rPr>
                <w:rFonts w:cs="Arial"/>
                <w:b/>
                <w:szCs w:val="20"/>
              </w:rPr>
              <w:t>149.2</w:t>
            </w:r>
          </w:p>
        </w:tc>
      </w:tr>
      <w:tr w:rsidR="00790240" w:rsidRPr="00FD61F0" w:rsidTr="006B668D">
        <w:tc>
          <w:tcPr>
            <w:tcW w:w="2695" w:type="pct"/>
          </w:tcPr>
          <w:p w:rsidR="00790240" w:rsidRPr="006B668D" w:rsidRDefault="00790240" w:rsidP="006B668D">
            <w:pPr>
              <w:pStyle w:val="BodyText"/>
              <w:spacing w:before="20" w:after="60" w:line="240" w:lineRule="auto"/>
              <w:ind w:left="284" w:hanging="284"/>
              <w:rPr>
                <w:rFonts w:cs="Arial"/>
                <w:b/>
                <w:szCs w:val="20"/>
              </w:rPr>
            </w:pPr>
            <w:r w:rsidRPr="006B668D">
              <w:rPr>
                <w:rFonts w:cs="Arial"/>
                <w:b/>
                <w:szCs w:val="20"/>
              </w:rPr>
              <w:t>One-Off Items</w:t>
            </w:r>
          </w:p>
        </w:tc>
        <w:tc>
          <w:tcPr>
            <w:tcW w:w="992" w:type="pct"/>
          </w:tcPr>
          <w:p w:rsidR="00790240" w:rsidRPr="006B668D" w:rsidRDefault="00790240" w:rsidP="006B668D">
            <w:pPr>
              <w:spacing w:before="20" w:after="60"/>
              <w:jc w:val="right"/>
              <w:rPr>
                <w:b/>
                <w:szCs w:val="20"/>
              </w:rPr>
            </w:pPr>
          </w:p>
        </w:tc>
        <w:tc>
          <w:tcPr>
            <w:tcW w:w="1313" w:type="pct"/>
          </w:tcPr>
          <w:p w:rsidR="00790240" w:rsidRPr="006B668D" w:rsidRDefault="00790240" w:rsidP="006B668D">
            <w:pPr>
              <w:spacing w:before="20" w:after="60"/>
              <w:jc w:val="right"/>
              <w:rPr>
                <w:b/>
                <w:szCs w:val="20"/>
              </w:rPr>
            </w:pPr>
          </w:p>
        </w:tc>
      </w:tr>
      <w:tr w:rsidR="00790240" w:rsidRPr="00FD61F0" w:rsidTr="006B668D">
        <w:tc>
          <w:tcPr>
            <w:tcW w:w="2695" w:type="pct"/>
          </w:tcPr>
          <w:p w:rsidR="00790240" w:rsidRPr="006B668D" w:rsidRDefault="00790240" w:rsidP="006B668D">
            <w:pPr>
              <w:pStyle w:val="BodyText"/>
              <w:spacing w:after="60" w:line="240" w:lineRule="auto"/>
              <w:ind w:left="284" w:hanging="284"/>
              <w:rPr>
                <w:rFonts w:cs="Arial"/>
                <w:szCs w:val="20"/>
              </w:rPr>
            </w:pPr>
            <w:r w:rsidRPr="006B668D">
              <w:rPr>
                <w:rFonts w:cs="Arial"/>
                <w:szCs w:val="20"/>
              </w:rPr>
              <w:t>Redundancies</w:t>
            </w:r>
          </w:p>
        </w:tc>
        <w:tc>
          <w:tcPr>
            <w:tcW w:w="992" w:type="pct"/>
          </w:tcPr>
          <w:p w:rsidR="00790240" w:rsidRPr="006B668D" w:rsidRDefault="00790240" w:rsidP="006B668D">
            <w:pPr>
              <w:spacing w:after="60"/>
              <w:jc w:val="right"/>
              <w:rPr>
                <w:szCs w:val="20"/>
              </w:rPr>
            </w:pPr>
            <w:r w:rsidRPr="006B668D">
              <w:rPr>
                <w:szCs w:val="20"/>
              </w:rPr>
              <w:t>17.1</w:t>
            </w:r>
          </w:p>
        </w:tc>
        <w:tc>
          <w:tcPr>
            <w:tcW w:w="1313" w:type="pct"/>
          </w:tcPr>
          <w:p w:rsidR="00790240" w:rsidRPr="006B668D" w:rsidRDefault="00790240" w:rsidP="006B668D">
            <w:pPr>
              <w:spacing w:after="60"/>
              <w:jc w:val="right"/>
              <w:rPr>
                <w:szCs w:val="20"/>
              </w:rPr>
            </w:pPr>
            <w:r w:rsidRPr="006B668D">
              <w:rPr>
                <w:szCs w:val="20"/>
              </w:rPr>
              <w:t>-</w:t>
            </w:r>
          </w:p>
        </w:tc>
      </w:tr>
      <w:tr w:rsidR="00790240" w:rsidRPr="00FD61F0" w:rsidTr="006B668D">
        <w:tc>
          <w:tcPr>
            <w:tcW w:w="2695" w:type="pct"/>
          </w:tcPr>
          <w:p w:rsidR="00790240" w:rsidRPr="006B668D" w:rsidRDefault="00790240" w:rsidP="006B668D">
            <w:pPr>
              <w:pStyle w:val="BodyText"/>
              <w:spacing w:after="60" w:line="240" w:lineRule="auto"/>
              <w:ind w:left="284" w:hanging="284"/>
              <w:jc w:val="left"/>
              <w:rPr>
                <w:rFonts w:cs="Arial"/>
                <w:szCs w:val="20"/>
              </w:rPr>
            </w:pPr>
            <w:r w:rsidRPr="006B668D">
              <w:rPr>
                <w:rFonts w:cs="Arial"/>
                <w:szCs w:val="20"/>
              </w:rPr>
              <w:t>Stand-down period and restructuring costs</w:t>
            </w:r>
          </w:p>
        </w:tc>
        <w:tc>
          <w:tcPr>
            <w:tcW w:w="992" w:type="pct"/>
          </w:tcPr>
          <w:p w:rsidR="00790240" w:rsidRPr="006B668D" w:rsidRDefault="00790240" w:rsidP="006B668D">
            <w:pPr>
              <w:spacing w:after="60"/>
              <w:jc w:val="right"/>
              <w:rPr>
                <w:szCs w:val="20"/>
              </w:rPr>
            </w:pPr>
            <w:r w:rsidRPr="006B668D">
              <w:rPr>
                <w:szCs w:val="20"/>
              </w:rPr>
              <w:t>22.0</w:t>
            </w:r>
          </w:p>
        </w:tc>
        <w:tc>
          <w:tcPr>
            <w:tcW w:w="1313" w:type="pct"/>
          </w:tcPr>
          <w:p w:rsidR="00790240" w:rsidRPr="006B668D" w:rsidRDefault="00790240" w:rsidP="006B668D">
            <w:pPr>
              <w:spacing w:after="60"/>
              <w:jc w:val="right"/>
              <w:rPr>
                <w:szCs w:val="20"/>
              </w:rPr>
            </w:pPr>
            <w:r w:rsidRPr="006B668D">
              <w:rPr>
                <w:szCs w:val="20"/>
              </w:rPr>
              <w:t>-</w:t>
            </w:r>
          </w:p>
        </w:tc>
      </w:tr>
      <w:tr w:rsidR="00790240" w:rsidRPr="00FD61F0" w:rsidTr="006B668D">
        <w:tc>
          <w:tcPr>
            <w:tcW w:w="2695" w:type="pct"/>
          </w:tcPr>
          <w:p w:rsidR="00790240" w:rsidRPr="006B668D" w:rsidRDefault="00790240" w:rsidP="006B668D">
            <w:pPr>
              <w:pStyle w:val="BodyText"/>
              <w:spacing w:after="60" w:line="240" w:lineRule="auto"/>
              <w:ind w:left="284" w:hanging="284"/>
              <w:rPr>
                <w:rFonts w:cs="Arial"/>
                <w:b/>
                <w:szCs w:val="20"/>
              </w:rPr>
            </w:pPr>
            <w:r w:rsidRPr="006B668D">
              <w:rPr>
                <w:rFonts w:cs="Arial"/>
                <w:szCs w:val="20"/>
              </w:rPr>
              <w:t>Other restructuring costs</w:t>
            </w:r>
          </w:p>
        </w:tc>
        <w:tc>
          <w:tcPr>
            <w:tcW w:w="992" w:type="pct"/>
          </w:tcPr>
          <w:p w:rsidR="00790240" w:rsidRPr="006B668D" w:rsidRDefault="00790240" w:rsidP="006B668D">
            <w:pPr>
              <w:spacing w:after="60"/>
              <w:jc w:val="right"/>
              <w:rPr>
                <w:b/>
                <w:szCs w:val="20"/>
              </w:rPr>
            </w:pPr>
            <w:r w:rsidRPr="006B668D">
              <w:rPr>
                <w:szCs w:val="20"/>
              </w:rPr>
              <w:t>7.6</w:t>
            </w:r>
          </w:p>
        </w:tc>
        <w:tc>
          <w:tcPr>
            <w:tcW w:w="1313" w:type="pct"/>
          </w:tcPr>
          <w:p w:rsidR="00790240" w:rsidRPr="006B668D" w:rsidRDefault="00790240" w:rsidP="006B668D">
            <w:pPr>
              <w:spacing w:after="60"/>
              <w:jc w:val="right"/>
              <w:rPr>
                <w:szCs w:val="20"/>
              </w:rPr>
            </w:pPr>
            <w:r w:rsidRPr="006B668D">
              <w:rPr>
                <w:szCs w:val="20"/>
              </w:rPr>
              <w:t>-</w:t>
            </w:r>
          </w:p>
        </w:tc>
      </w:tr>
      <w:tr w:rsidR="00790240" w:rsidRPr="00FD61F0" w:rsidTr="006B668D">
        <w:tc>
          <w:tcPr>
            <w:tcW w:w="2695" w:type="pct"/>
          </w:tcPr>
          <w:p w:rsidR="00790240" w:rsidRPr="006B668D" w:rsidRDefault="00790240" w:rsidP="006B668D">
            <w:pPr>
              <w:pStyle w:val="BodyText"/>
              <w:spacing w:after="60" w:line="240" w:lineRule="auto"/>
              <w:ind w:left="284" w:hanging="284"/>
              <w:jc w:val="left"/>
              <w:rPr>
                <w:rFonts w:cs="Arial"/>
                <w:szCs w:val="20"/>
              </w:rPr>
            </w:pPr>
            <w:r w:rsidRPr="006B668D">
              <w:rPr>
                <w:rFonts w:cs="Arial"/>
                <w:szCs w:val="20"/>
              </w:rPr>
              <w:t>Discontinued operations</w:t>
            </w:r>
          </w:p>
        </w:tc>
        <w:tc>
          <w:tcPr>
            <w:tcW w:w="992" w:type="pct"/>
          </w:tcPr>
          <w:p w:rsidR="00790240" w:rsidRPr="006B668D" w:rsidRDefault="00790240" w:rsidP="006B668D">
            <w:pPr>
              <w:spacing w:after="60"/>
              <w:jc w:val="right"/>
              <w:rPr>
                <w:szCs w:val="20"/>
              </w:rPr>
            </w:pPr>
          </w:p>
        </w:tc>
        <w:tc>
          <w:tcPr>
            <w:tcW w:w="1313" w:type="pct"/>
          </w:tcPr>
          <w:p w:rsidR="00790240" w:rsidRPr="006B668D" w:rsidRDefault="00790240" w:rsidP="006B668D">
            <w:pPr>
              <w:spacing w:after="60"/>
              <w:jc w:val="right"/>
              <w:rPr>
                <w:szCs w:val="20"/>
              </w:rPr>
            </w:pPr>
          </w:p>
        </w:tc>
      </w:tr>
      <w:tr w:rsidR="00790240" w:rsidRPr="00FD61F0" w:rsidTr="006B668D">
        <w:tc>
          <w:tcPr>
            <w:tcW w:w="2695" w:type="pct"/>
          </w:tcPr>
          <w:p w:rsidR="00790240" w:rsidRPr="006B668D" w:rsidRDefault="00790240" w:rsidP="006B668D">
            <w:pPr>
              <w:pStyle w:val="BodyText"/>
              <w:spacing w:after="60" w:line="240" w:lineRule="auto"/>
              <w:ind w:left="284" w:hanging="284"/>
              <w:jc w:val="left"/>
              <w:rPr>
                <w:rFonts w:cs="Arial"/>
                <w:szCs w:val="20"/>
              </w:rPr>
            </w:pPr>
            <w:r w:rsidRPr="006B668D">
              <w:rPr>
                <w:rFonts w:cs="Arial"/>
                <w:szCs w:val="20"/>
              </w:rPr>
              <w:t xml:space="preserve">     Renewables </w:t>
            </w:r>
          </w:p>
        </w:tc>
        <w:tc>
          <w:tcPr>
            <w:tcW w:w="992" w:type="pct"/>
          </w:tcPr>
          <w:p w:rsidR="00790240" w:rsidRPr="006B668D" w:rsidRDefault="00790240" w:rsidP="006B668D">
            <w:pPr>
              <w:spacing w:after="60"/>
              <w:jc w:val="right"/>
              <w:rPr>
                <w:szCs w:val="20"/>
              </w:rPr>
            </w:pPr>
            <w:r w:rsidRPr="006B668D">
              <w:rPr>
                <w:szCs w:val="20"/>
              </w:rPr>
              <w:t>5.2</w:t>
            </w:r>
          </w:p>
        </w:tc>
        <w:tc>
          <w:tcPr>
            <w:tcW w:w="1313" w:type="pct"/>
          </w:tcPr>
          <w:p w:rsidR="00790240" w:rsidRPr="006B668D" w:rsidRDefault="00790240" w:rsidP="006B668D">
            <w:pPr>
              <w:spacing w:after="60"/>
              <w:jc w:val="right"/>
              <w:rPr>
                <w:szCs w:val="20"/>
              </w:rPr>
            </w:pPr>
            <w:r w:rsidRPr="006B668D">
              <w:rPr>
                <w:szCs w:val="20"/>
              </w:rPr>
              <w:t>-</w:t>
            </w:r>
          </w:p>
        </w:tc>
      </w:tr>
      <w:tr w:rsidR="00790240" w:rsidRPr="00FD61F0" w:rsidTr="006B668D">
        <w:tc>
          <w:tcPr>
            <w:tcW w:w="2695" w:type="pct"/>
            <w:vAlign w:val="bottom"/>
          </w:tcPr>
          <w:p w:rsidR="00790240" w:rsidRPr="006B668D" w:rsidRDefault="00790240" w:rsidP="006B668D">
            <w:pPr>
              <w:pStyle w:val="BodyText"/>
              <w:spacing w:after="60" w:line="240" w:lineRule="auto"/>
              <w:ind w:left="284" w:hanging="284"/>
              <w:jc w:val="left"/>
              <w:rPr>
                <w:rFonts w:cs="Arial"/>
                <w:szCs w:val="20"/>
              </w:rPr>
            </w:pPr>
            <w:r w:rsidRPr="006B668D">
              <w:rPr>
                <w:rFonts w:cs="Arial"/>
                <w:szCs w:val="20"/>
              </w:rPr>
              <w:t xml:space="preserve">     Coal Developments</w:t>
            </w:r>
          </w:p>
        </w:tc>
        <w:tc>
          <w:tcPr>
            <w:tcW w:w="992" w:type="pct"/>
            <w:vAlign w:val="bottom"/>
          </w:tcPr>
          <w:p w:rsidR="00790240" w:rsidRPr="006B668D" w:rsidRDefault="00790240" w:rsidP="006B668D">
            <w:pPr>
              <w:spacing w:after="60"/>
              <w:jc w:val="right"/>
              <w:rPr>
                <w:szCs w:val="20"/>
              </w:rPr>
            </w:pPr>
            <w:r w:rsidRPr="006B668D">
              <w:rPr>
                <w:szCs w:val="20"/>
              </w:rPr>
              <w:t>14.9</w:t>
            </w:r>
          </w:p>
        </w:tc>
        <w:tc>
          <w:tcPr>
            <w:tcW w:w="1313" w:type="pct"/>
          </w:tcPr>
          <w:p w:rsidR="00790240" w:rsidRPr="00FD61F0" w:rsidRDefault="00790240" w:rsidP="006B668D">
            <w:pPr>
              <w:spacing w:after="60"/>
              <w:jc w:val="right"/>
            </w:pPr>
            <w:r>
              <w:t>-</w:t>
            </w:r>
          </w:p>
        </w:tc>
      </w:tr>
      <w:tr w:rsidR="00790240" w:rsidRPr="00FD61F0" w:rsidTr="006B668D">
        <w:tc>
          <w:tcPr>
            <w:tcW w:w="2695" w:type="pct"/>
            <w:vAlign w:val="bottom"/>
          </w:tcPr>
          <w:p w:rsidR="00790240" w:rsidRPr="006B668D" w:rsidRDefault="00790240" w:rsidP="006B668D">
            <w:pPr>
              <w:pStyle w:val="BodyText"/>
              <w:spacing w:after="60" w:line="240" w:lineRule="auto"/>
              <w:ind w:left="284" w:hanging="284"/>
              <w:jc w:val="left"/>
              <w:rPr>
                <w:rFonts w:cs="Arial"/>
                <w:szCs w:val="20"/>
              </w:rPr>
            </w:pPr>
            <w:r w:rsidRPr="006B668D">
              <w:rPr>
                <w:rFonts w:cs="Arial"/>
                <w:szCs w:val="20"/>
              </w:rPr>
              <w:t xml:space="preserve">     Pike River</w:t>
            </w:r>
          </w:p>
        </w:tc>
        <w:tc>
          <w:tcPr>
            <w:tcW w:w="992" w:type="pct"/>
            <w:vAlign w:val="bottom"/>
          </w:tcPr>
          <w:p w:rsidR="00790240" w:rsidRPr="006B668D" w:rsidRDefault="00790240" w:rsidP="006B668D">
            <w:pPr>
              <w:spacing w:after="60"/>
              <w:jc w:val="right"/>
              <w:rPr>
                <w:szCs w:val="20"/>
              </w:rPr>
            </w:pPr>
            <w:r w:rsidRPr="006B668D">
              <w:rPr>
                <w:szCs w:val="20"/>
              </w:rPr>
              <w:t>4.7</w:t>
            </w:r>
          </w:p>
        </w:tc>
        <w:tc>
          <w:tcPr>
            <w:tcW w:w="1313" w:type="pct"/>
          </w:tcPr>
          <w:p w:rsidR="00790240" w:rsidRDefault="00790240" w:rsidP="006B668D">
            <w:pPr>
              <w:spacing w:after="60"/>
              <w:jc w:val="right"/>
            </w:pPr>
            <w:r>
              <w:t>-</w:t>
            </w:r>
          </w:p>
        </w:tc>
      </w:tr>
      <w:tr w:rsidR="00790240" w:rsidRPr="00FD61F0" w:rsidTr="006B668D">
        <w:tc>
          <w:tcPr>
            <w:tcW w:w="2695" w:type="pct"/>
            <w:vAlign w:val="bottom"/>
          </w:tcPr>
          <w:p w:rsidR="00790240" w:rsidRPr="006B668D" w:rsidRDefault="00790240" w:rsidP="006B668D">
            <w:pPr>
              <w:pStyle w:val="BodyText"/>
              <w:spacing w:after="60" w:line="240" w:lineRule="auto"/>
              <w:ind w:left="284" w:hanging="284"/>
              <w:jc w:val="left"/>
              <w:rPr>
                <w:rFonts w:cs="Arial"/>
                <w:szCs w:val="20"/>
              </w:rPr>
            </w:pPr>
            <w:r w:rsidRPr="006B668D">
              <w:rPr>
                <w:rFonts w:cs="Arial"/>
                <w:szCs w:val="20"/>
              </w:rPr>
              <w:t xml:space="preserve">     Corporate Labour</w:t>
            </w:r>
          </w:p>
        </w:tc>
        <w:tc>
          <w:tcPr>
            <w:tcW w:w="992" w:type="pct"/>
            <w:vAlign w:val="bottom"/>
          </w:tcPr>
          <w:p w:rsidR="00790240" w:rsidRPr="006B668D" w:rsidRDefault="00790240" w:rsidP="006B668D">
            <w:pPr>
              <w:spacing w:after="60"/>
              <w:jc w:val="right"/>
              <w:rPr>
                <w:szCs w:val="20"/>
              </w:rPr>
            </w:pPr>
            <w:r w:rsidRPr="006B668D">
              <w:rPr>
                <w:szCs w:val="20"/>
              </w:rPr>
              <w:t>13.6</w:t>
            </w:r>
          </w:p>
        </w:tc>
        <w:tc>
          <w:tcPr>
            <w:tcW w:w="1313" w:type="pct"/>
          </w:tcPr>
          <w:p w:rsidR="00790240" w:rsidRDefault="00790240" w:rsidP="006B668D">
            <w:pPr>
              <w:spacing w:after="60"/>
              <w:jc w:val="right"/>
            </w:pPr>
            <w:r>
              <w:t>-</w:t>
            </w:r>
          </w:p>
        </w:tc>
      </w:tr>
      <w:tr w:rsidR="00790240" w:rsidRPr="00FD61F0" w:rsidTr="006B668D">
        <w:tc>
          <w:tcPr>
            <w:tcW w:w="2695" w:type="pct"/>
            <w:vAlign w:val="bottom"/>
          </w:tcPr>
          <w:p w:rsidR="00790240" w:rsidRPr="006B668D" w:rsidRDefault="00790240" w:rsidP="006B668D">
            <w:pPr>
              <w:pStyle w:val="BodyText"/>
              <w:spacing w:after="60" w:line="240" w:lineRule="auto"/>
              <w:ind w:left="284" w:hanging="284"/>
              <w:jc w:val="left"/>
              <w:rPr>
                <w:rFonts w:cs="Arial"/>
                <w:szCs w:val="20"/>
              </w:rPr>
            </w:pPr>
            <w:r w:rsidRPr="006B668D">
              <w:rPr>
                <w:rFonts w:cs="Arial"/>
                <w:szCs w:val="20"/>
              </w:rPr>
              <w:t xml:space="preserve">    Capital projects</w:t>
            </w:r>
          </w:p>
        </w:tc>
        <w:tc>
          <w:tcPr>
            <w:tcW w:w="992" w:type="pct"/>
            <w:vAlign w:val="bottom"/>
          </w:tcPr>
          <w:p w:rsidR="00790240" w:rsidRPr="006B668D" w:rsidRDefault="00790240" w:rsidP="006B668D">
            <w:pPr>
              <w:spacing w:after="60"/>
              <w:jc w:val="right"/>
              <w:rPr>
                <w:szCs w:val="20"/>
              </w:rPr>
            </w:pPr>
            <w:r w:rsidRPr="006B668D">
              <w:rPr>
                <w:szCs w:val="20"/>
              </w:rPr>
              <w:t>10.5</w:t>
            </w:r>
          </w:p>
        </w:tc>
        <w:tc>
          <w:tcPr>
            <w:tcW w:w="1313" w:type="pct"/>
          </w:tcPr>
          <w:p w:rsidR="00790240" w:rsidRDefault="00790240" w:rsidP="006B668D">
            <w:pPr>
              <w:spacing w:after="60"/>
              <w:jc w:val="right"/>
            </w:pPr>
            <w:r>
              <w:t>-</w:t>
            </w:r>
          </w:p>
        </w:tc>
      </w:tr>
      <w:tr w:rsidR="00790240" w:rsidRPr="00FD61F0" w:rsidTr="006B668D">
        <w:tc>
          <w:tcPr>
            <w:tcW w:w="2695" w:type="pct"/>
            <w:vAlign w:val="bottom"/>
          </w:tcPr>
          <w:p w:rsidR="00790240" w:rsidRPr="006B668D" w:rsidRDefault="00790240" w:rsidP="006B668D">
            <w:pPr>
              <w:pStyle w:val="BodyText"/>
              <w:spacing w:after="60" w:line="240" w:lineRule="auto"/>
              <w:ind w:left="284" w:hanging="284"/>
              <w:jc w:val="left"/>
              <w:rPr>
                <w:rFonts w:cs="Arial"/>
                <w:szCs w:val="20"/>
              </w:rPr>
            </w:pPr>
            <w:r w:rsidRPr="006B668D">
              <w:rPr>
                <w:rFonts w:cs="Arial"/>
                <w:szCs w:val="20"/>
              </w:rPr>
              <w:t>Stores write downs</w:t>
            </w:r>
          </w:p>
        </w:tc>
        <w:tc>
          <w:tcPr>
            <w:tcW w:w="992" w:type="pct"/>
            <w:vAlign w:val="bottom"/>
          </w:tcPr>
          <w:p w:rsidR="00790240" w:rsidRPr="006B668D" w:rsidRDefault="00790240" w:rsidP="006B668D">
            <w:pPr>
              <w:spacing w:after="60"/>
              <w:jc w:val="right"/>
              <w:rPr>
                <w:szCs w:val="20"/>
              </w:rPr>
            </w:pPr>
            <w:r w:rsidRPr="006B668D">
              <w:rPr>
                <w:szCs w:val="20"/>
              </w:rPr>
              <w:t>-</w:t>
            </w:r>
          </w:p>
        </w:tc>
        <w:tc>
          <w:tcPr>
            <w:tcW w:w="1313" w:type="pct"/>
          </w:tcPr>
          <w:p w:rsidR="00790240" w:rsidRPr="00FD61F0" w:rsidRDefault="00790240" w:rsidP="006B668D">
            <w:pPr>
              <w:spacing w:after="60"/>
              <w:jc w:val="right"/>
            </w:pPr>
            <w:r w:rsidRPr="006B668D">
              <w:rPr>
                <w:szCs w:val="20"/>
              </w:rPr>
              <w:t>7.9</w:t>
            </w:r>
          </w:p>
        </w:tc>
      </w:tr>
      <w:tr w:rsidR="00790240" w:rsidRPr="00FD61F0" w:rsidTr="006B668D">
        <w:tc>
          <w:tcPr>
            <w:tcW w:w="2695" w:type="pct"/>
            <w:vAlign w:val="bottom"/>
          </w:tcPr>
          <w:p w:rsidR="00790240" w:rsidRPr="006B668D" w:rsidRDefault="00790240" w:rsidP="006B668D">
            <w:pPr>
              <w:pStyle w:val="BodyText"/>
              <w:spacing w:after="60" w:line="240" w:lineRule="auto"/>
              <w:ind w:left="284" w:hanging="284"/>
              <w:jc w:val="left"/>
              <w:rPr>
                <w:rFonts w:cs="Arial"/>
                <w:szCs w:val="20"/>
              </w:rPr>
            </w:pPr>
            <w:r w:rsidRPr="006B668D">
              <w:rPr>
                <w:rFonts w:cs="Arial"/>
                <w:szCs w:val="20"/>
              </w:rPr>
              <w:t xml:space="preserve">Onerous leases </w:t>
            </w:r>
          </w:p>
        </w:tc>
        <w:tc>
          <w:tcPr>
            <w:tcW w:w="992" w:type="pct"/>
            <w:vAlign w:val="bottom"/>
          </w:tcPr>
          <w:p w:rsidR="00790240" w:rsidRPr="006B668D" w:rsidRDefault="00790240" w:rsidP="006B668D">
            <w:pPr>
              <w:spacing w:after="60"/>
              <w:jc w:val="right"/>
              <w:rPr>
                <w:szCs w:val="20"/>
              </w:rPr>
            </w:pPr>
            <w:r w:rsidRPr="006B668D">
              <w:rPr>
                <w:szCs w:val="20"/>
              </w:rPr>
              <w:t>6.6</w:t>
            </w:r>
          </w:p>
        </w:tc>
        <w:tc>
          <w:tcPr>
            <w:tcW w:w="1313" w:type="pct"/>
          </w:tcPr>
          <w:p w:rsidR="00790240" w:rsidRPr="00FD61F0" w:rsidRDefault="00790240" w:rsidP="006B668D">
            <w:pPr>
              <w:spacing w:after="60"/>
              <w:jc w:val="right"/>
            </w:pPr>
            <w:r>
              <w:t>1.6</w:t>
            </w:r>
          </w:p>
        </w:tc>
      </w:tr>
      <w:tr w:rsidR="00790240" w:rsidRPr="00FD61F0" w:rsidTr="006B668D">
        <w:tc>
          <w:tcPr>
            <w:tcW w:w="2695" w:type="pct"/>
          </w:tcPr>
          <w:p w:rsidR="00790240" w:rsidRPr="006B668D" w:rsidRDefault="00790240" w:rsidP="006B668D">
            <w:pPr>
              <w:pStyle w:val="BodyText"/>
              <w:spacing w:after="60" w:line="240" w:lineRule="auto"/>
              <w:ind w:left="284" w:hanging="284"/>
              <w:jc w:val="left"/>
              <w:rPr>
                <w:rFonts w:cs="Arial"/>
                <w:szCs w:val="20"/>
              </w:rPr>
            </w:pPr>
            <w:r w:rsidRPr="006B668D">
              <w:rPr>
                <w:rFonts w:cs="Arial"/>
                <w:szCs w:val="20"/>
              </w:rPr>
              <w:t>Contractor Claim Settlement</w:t>
            </w:r>
          </w:p>
        </w:tc>
        <w:tc>
          <w:tcPr>
            <w:tcW w:w="992" w:type="pct"/>
            <w:vAlign w:val="center"/>
          </w:tcPr>
          <w:p w:rsidR="00790240" w:rsidRPr="00FD61F0" w:rsidRDefault="00790240" w:rsidP="006B668D">
            <w:pPr>
              <w:spacing w:after="60"/>
              <w:jc w:val="right"/>
            </w:pPr>
            <w:r w:rsidRPr="00FD61F0">
              <w:t>-</w:t>
            </w:r>
          </w:p>
        </w:tc>
        <w:tc>
          <w:tcPr>
            <w:tcW w:w="1313" w:type="pct"/>
          </w:tcPr>
          <w:p w:rsidR="00790240" w:rsidRPr="00FD61F0" w:rsidRDefault="00790240" w:rsidP="006B668D">
            <w:pPr>
              <w:spacing w:after="60"/>
              <w:jc w:val="right"/>
            </w:pPr>
            <w:r>
              <w:t>12.5</w:t>
            </w:r>
          </w:p>
        </w:tc>
      </w:tr>
      <w:tr w:rsidR="00790240" w:rsidRPr="00FD61F0" w:rsidTr="006B668D">
        <w:tc>
          <w:tcPr>
            <w:tcW w:w="2695" w:type="pct"/>
            <w:vAlign w:val="center"/>
          </w:tcPr>
          <w:p w:rsidR="00790240" w:rsidRPr="006B668D" w:rsidRDefault="00790240" w:rsidP="006B668D">
            <w:pPr>
              <w:pStyle w:val="BodyText"/>
              <w:spacing w:before="20" w:after="60" w:line="240" w:lineRule="auto"/>
              <w:jc w:val="left"/>
              <w:rPr>
                <w:rFonts w:cs="Arial"/>
                <w:b/>
                <w:szCs w:val="20"/>
              </w:rPr>
            </w:pPr>
            <w:r w:rsidRPr="006B668D">
              <w:rPr>
                <w:rFonts w:cs="Arial"/>
                <w:b/>
                <w:szCs w:val="20"/>
              </w:rPr>
              <w:t>Total One-Off Items</w:t>
            </w:r>
          </w:p>
        </w:tc>
        <w:tc>
          <w:tcPr>
            <w:tcW w:w="992" w:type="pct"/>
            <w:vAlign w:val="center"/>
          </w:tcPr>
          <w:p w:rsidR="00790240" w:rsidRPr="006B668D" w:rsidRDefault="00790240" w:rsidP="006B668D">
            <w:pPr>
              <w:spacing w:before="20" w:after="60"/>
              <w:jc w:val="right"/>
              <w:rPr>
                <w:rFonts w:cs="Arial"/>
                <w:b/>
                <w:szCs w:val="20"/>
              </w:rPr>
            </w:pPr>
            <w:r w:rsidRPr="006B668D">
              <w:rPr>
                <w:b/>
              </w:rPr>
              <w:t>102.2</w:t>
            </w:r>
          </w:p>
        </w:tc>
        <w:tc>
          <w:tcPr>
            <w:tcW w:w="1313" w:type="pct"/>
            <w:vAlign w:val="center"/>
          </w:tcPr>
          <w:p w:rsidR="00790240" w:rsidRPr="006B668D" w:rsidRDefault="00790240" w:rsidP="006B668D">
            <w:pPr>
              <w:spacing w:before="20" w:after="60"/>
              <w:jc w:val="right"/>
              <w:rPr>
                <w:b/>
              </w:rPr>
            </w:pPr>
            <w:r w:rsidRPr="006B668D">
              <w:rPr>
                <w:b/>
              </w:rPr>
              <w:t>22.0</w:t>
            </w:r>
          </w:p>
        </w:tc>
      </w:tr>
      <w:tr w:rsidR="00790240" w:rsidRPr="00FD61F0" w:rsidTr="006B668D">
        <w:tc>
          <w:tcPr>
            <w:tcW w:w="2695" w:type="pct"/>
            <w:vAlign w:val="center"/>
          </w:tcPr>
          <w:p w:rsidR="00790240" w:rsidRPr="006B668D" w:rsidRDefault="00790240" w:rsidP="006B668D">
            <w:pPr>
              <w:pStyle w:val="BodyText"/>
              <w:spacing w:before="20" w:after="60" w:line="240" w:lineRule="auto"/>
              <w:jc w:val="left"/>
              <w:rPr>
                <w:rFonts w:cs="Arial"/>
                <w:szCs w:val="20"/>
              </w:rPr>
            </w:pPr>
            <w:r w:rsidRPr="006B668D">
              <w:rPr>
                <w:rFonts w:cs="Arial"/>
                <w:szCs w:val="20"/>
              </w:rPr>
              <w:t>Tax on Impairments and One-off Items</w:t>
            </w:r>
          </w:p>
        </w:tc>
        <w:tc>
          <w:tcPr>
            <w:tcW w:w="992" w:type="pct"/>
            <w:vAlign w:val="center"/>
          </w:tcPr>
          <w:p w:rsidR="00790240" w:rsidRPr="00351BB8" w:rsidRDefault="00790240" w:rsidP="006B668D">
            <w:pPr>
              <w:spacing w:before="20" w:after="60"/>
              <w:jc w:val="right"/>
            </w:pPr>
            <w:r w:rsidRPr="00351BB8">
              <w:t>-</w:t>
            </w:r>
          </w:p>
        </w:tc>
        <w:tc>
          <w:tcPr>
            <w:tcW w:w="1313" w:type="pct"/>
            <w:vAlign w:val="center"/>
          </w:tcPr>
          <w:p w:rsidR="00790240" w:rsidRPr="00351BB8" w:rsidRDefault="00790240" w:rsidP="006B668D">
            <w:pPr>
              <w:spacing w:before="20" w:after="60"/>
              <w:jc w:val="right"/>
            </w:pPr>
            <w:r w:rsidRPr="00351BB8">
              <w:t>(46.5)</w:t>
            </w:r>
          </w:p>
        </w:tc>
      </w:tr>
      <w:tr w:rsidR="00790240" w:rsidRPr="00FD61F0" w:rsidTr="006B668D">
        <w:tc>
          <w:tcPr>
            <w:tcW w:w="2695" w:type="pct"/>
          </w:tcPr>
          <w:p w:rsidR="00790240" w:rsidRPr="006B668D" w:rsidRDefault="00790240" w:rsidP="006B668D">
            <w:pPr>
              <w:pStyle w:val="BodyText"/>
              <w:spacing w:before="20" w:after="60" w:line="240" w:lineRule="auto"/>
              <w:jc w:val="left"/>
              <w:rPr>
                <w:rFonts w:cs="Arial"/>
                <w:b/>
                <w:szCs w:val="20"/>
              </w:rPr>
            </w:pPr>
            <w:r w:rsidRPr="006B668D">
              <w:rPr>
                <w:rFonts w:cs="Arial"/>
                <w:b/>
                <w:szCs w:val="20"/>
              </w:rPr>
              <w:t>Total Underlying Earnings Adjustments pre deferred tax write off</w:t>
            </w:r>
          </w:p>
        </w:tc>
        <w:tc>
          <w:tcPr>
            <w:tcW w:w="992" w:type="pct"/>
            <w:vAlign w:val="center"/>
          </w:tcPr>
          <w:p w:rsidR="00790240" w:rsidRPr="006B668D" w:rsidRDefault="00790240" w:rsidP="006B668D">
            <w:pPr>
              <w:pStyle w:val="BodyText"/>
              <w:spacing w:before="20" w:after="60" w:line="240" w:lineRule="auto"/>
              <w:ind w:left="284" w:hanging="284"/>
              <w:jc w:val="right"/>
              <w:rPr>
                <w:rFonts w:cs="Arial"/>
                <w:b/>
                <w:szCs w:val="20"/>
              </w:rPr>
            </w:pPr>
            <w:r w:rsidRPr="006B668D">
              <w:rPr>
                <w:rFonts w:cs="Arial"/>
                <w:b/>
                <w:szCs w:val="20"/>
              </w:rPr>
              <w:t xml:space="preserve">    317.5</w:t>
            </w:r>
          </w:p>
        </w:tc>
        <w:tc>
          <w:tcPr>
            <w:tcW w:w="1313" w:type="pct"/>
            <w:vAlign w:val="center"/>
          </w:tcPr>
          <w:p w:rsidR="00790240" w:rsidRPr="006B668D" w:rsidRDefault="00790240" w:rsidP="006B668D">
            <w:pPr>
              <w:spacing w:before="20" w:after="60"/>
              <w:jc w:val="right"/>
              <w:rPr>
                <w:b/>
              </w:rPr>
            </w:pPr>
            <w:r w:rsidRPr="006B668D">
              <w:rPr>
                <w:b/>
              </w:rPr>
              <w:t>124.7</w:t>
            </w:r>
          </w:p>
        </w:tc>
      </w:tr>
      <w:tr w:rsidR="00790240" w:rsidRPr="00FD61F0" w:rsidTr="006B668D">
        <w:tc>
          <w:tcPr>
            <w:tcW w:w="2695" w:type="pct"/>
          </w:tcPr>
          <w:p w:rsidR="00790240" w:rsidRPr="006B668D" w:rsidRDefault="00790240" w:rsidP="006B668D">
            <w:pPr>
              <w:pStyle w:val="BodyText"/>
              <w:spacing w:before="20" w:after="60" w:line="240" w:lineRule="auto"/>
              <w:ind w:left="284" w:hanging="284"/>
              <w:jc w:val="left"/>
              <w:rPr>
                <w:rFonts w:cs="Arial"/>
                <w:b/>
                <w:szCs w:val="20"/>
              </w:rPr>
            </w:pPr>
            <w:r w:rsidRPr="006B668D">
              <w:rPr>
                <w:rFonts w:cs="Arial"/>
                <w:b/>
                <w:szCs w:val="20"/>
              </w:rPr>
              <w:t>Deferred tax write off</w:t>
            </w:r>
          </w:p>
        </w:tc>
        <w:tc>
          <w:tcPr>
            <w:tcW w:w="992" w:type="pct"/>
            <w:vAlign w:val="center"/>
          </w:tcPr>
          <w:p w:rsidR="00790240" w:rsidRPr="006B668D" w:rsidRDefault="00790240" w:rsidP="006B668D">
            <w:pPr>
              <w:spacing w:before="20" w:after="60"/>
              <w:jc w:val="right"/>
              <w:rPr>
                <w:b/>
              </w:rPr>
            </w:pPr>
            <w:r w:rsidRPr="006B668D">
              <w:rPr>
                <w:b/>
              </w:rPr>
              <w:t>40.1</w:t>
            </w:r>
          </w:p>
        </w:tc>
        <w:tc>
          <w:tcPr>
            <w:tcW w:w="1313" w:type="pct"/>
          </w:tcPr>
          <w:p w:rsidR="00790240" w:rsidRPr="006B668D" w:rsidRDefault="00790240" w:rsidP="006B668D">
            <w:pPr>
              <w:spacing w:before="20" w:after="60"/>
              <w:jc w:val="right"/>
              <w:rPr>
                <w:b/>
                <w:szCs w:val="20"/>
              </w:rPr>
            </w:pPr>
            <w:r w:rsidRPr="006B668D">
              <w:rPr>
                <w:b/>
                <w:szCs w:val="20"/>
              </w:rPr>
              <w:t>15.2</w:t>
            </w:r>
          </w:p>
        </w:tc>
      </w:tr>
      <w:tr w:rsidR="00790240" w:rsidRPr="00FD61F0" w:rsidTr="006B668D">
        <w:tc>
          <w:tcPr>
            <w:tcW w:w="2695" w:type="pct"/>
          </w:tcPr>
          <w:p w:rsidR="00790240" w:rsidRPr="006B668D" w:rsidRDefault="00790240" w:rsidP="006B668D">
            <w:pPr>
              <w:pStyle w:val="BodyText"/>
              <w:spacing w:before="20" w:after="60" w:line="240" w:lineRule="auto"/>
              <w:jc w:val="left"/>
              <w:rPr>
                <w:rFonts w:cs="Arial"/>
                <w:b/>
                <w:szCs w:val="20"/>
              </w:rPr>
            </w:pPr>
            <w:r w:rsidRPr="006B668D">
              <w:rPr>
                <w:rFonts w:cs="Arial"/>
                <w:b/>
                <w:szCs w:val="20"/>
              </w:rPr>
              <w:t xml:space="preserve">Total Underlying Earnings Adjustments </w:t>
            </w:r>
          </w:p>
        </w:tc>
        <w:tc>
          <w:tcPr>
            <w:tcW w:w="992" w:type="pct"/>
            <w:vAlign w:val="bottom"/>
          </w:tcPr>
          <w:p w:rsidR="00790240" w:rsidRPr="006B668D" w:rsidRDefault="00790240" w:rsidP="006B668D">
            <w:pPr>
              <w:pStyle w:val="BodyText"/>
              <w:spacing w:before="20" w:after="60" w:line="240" w:lineRule="auto"/>
              <w:ind w:left="284" w:hanging="284"/>
              <w:jc w:val="right"/>
              <w:rPr>
                <w:rFonts w:cs="Arial"/>
                <w:b/>
                <w:szCs w:val="20"/>
              </w:rPr>
            </w:pPr>
            <w:r w:rsidRPr="006B668D">
              <w:rPr>
                <w:rFonts w:cs="Arial"/>
                <w:b/>
                <w:szCs w:val="20"/>
              </w:rPr>
              <w:t xml:space="preserve">   357.6</w:t>
            </w:r>
          </w:p>
        </w:tc>
        <w:tc>
          <w:tcPr>
            <w:tcW w:w="1313" w:type="pct"/>
            <w:vAlign w:val="center"/>
          </w:tcPr>
          <w:p w:rsidR="00790240" w:rsidRPr="006B668D" w:rsidRDefault="00790240" w:rsidP="006B668D">
            <w:pPr>
              <w:spacing w:before="20" w:after="60"/>
              <w:jc w:val="right"/>
              <w:rPr>
                <w:b/>
              </w:rPr>
            </w:pPr>
            <w:r w:rsidRPr="006B668D">
              <w:rPr>
                <w:b/>
              </w:rPr>
              <w:t>139.9</w:t>
            </w:r>
          </w:p>
        </w:tc>
      </w:tr>
      <w:tr w:rsidR="00790240" w:rsidRPr="00FD61F0" w:rsidTr="006B668D">
        <w:tc>
          <w:tcPr>
            <w:tcW w:w="2695" w:type="pct"/>
          </w:tcPr>
          <w:p w:rsidR="00790240" w:rsidRPr="006B668D" w:rsidRDefault="00790240" w:rsidP="006B668D">
            <w:pPr>
              <w:pStyle w:val="BodyText"/>
              <w:spacing w:before="20" w:after="60" w:line="240" w:lineRule="auto"/>
              <w:ind w:left="284" w:hanging="284"/>
              <w:rPr>
                <w:rFonts w:cs="Arial"/>
                <w:b/>
                <w:szCs w:val="20"/>
              </w:rPr>
            </w:pPr>
            <w:r w:rsidRPr="006B668D">
              <w:rPr>
                <w:rFonts w:cs="Arial"/>
                <w:b/>
                <w:szCs w:val="20"/>
              </w:rPr>
              <w:t>NPAT as reported</w:t>
            </w:r>
          </w:p>
        </w:tc>
        <w:tc>
          <w:tcPr>
            <w:tcW w:w="992" w:type="pct"/>
          </w:tcPr>
          <w:p w:rsidR="00790240" w:rsidRPr="006B668D" w:rsidRDefault="00790240" w:rsidP="006B668D">
            <w:pPr>
              <w:spacing w:before="20" w:after="60"/>
              <w:jc w:val="right"/>
              <w:rPr>
                <w:b/>
                <w:szCs w:val="20"/>
              </w:rPr>
            </w:pPr>
            <w:r w:rsidRPr="006B668D">
              <w:rPr>
                <w:b/>
                <w:szCs w:val="20"/>
              </w:rPr>
              <w:t>(335.4)</w:t>
            </w:r>
          </w:p>
        </w:tc>
        <w:tc>
          <w:tcPr>
            <w:tcW w:w="1313" w:type="pct"/>
          </w:tcPr>
          <w:p w:rsidR="00790240" w:rsidRPr="006B668D" w:rsidRDefault="00790240" w:rsidP="006B668D">
            <w:pPr>
              <w:spacing w:before="20" w:after="60"/>
              <w:jc w:val="right"/>
              <w:rPr>
                <w:b/>
                <w:szCs w:val="20"/>
              </w:rPr>
            </w:pPr>
            <w:r w:rsidRPr="006B668D">
              <w:rPr>
                <w:b/>
                <w:szCs w:val="20"/>
              </w:rPr>
              <w:t>(40.2)</w:t>
            </w:r>
          </w:p>
        </w:tc>
      </w:tr>
      <w:tr w:rsidR="00790240" w:rsidRPr="00FD61F0" w:rsidTr="006B668D">
        <w:tc>
          <w:tcPr>
            <w:tcW w:w="2695" w:type="pct"/>
            <w:tcBorders>
              <w:bottom w:val="single" w:sz="12" w:space="0" w:color="000000"/>
            </w:tcBorders>
          </w:tcPr>
          <w:p w:rsidR="00790240" w:rsidRPr="006B668D" w:rsidRDefault="00790240" w:rsidP="006B668D">
            <w:pPr>
              <w:pStyle w:val="BodyText"/>
              <w:spacing w:before="20" w:after="60" w:line="240" w:lineRule="auto"/>
              <w:ind w:left="284" w:hanging="284"/>
              <w:rPr>
                <w:rFonts w:cs="Arial"/>
                <w:b/>
                <w:szCs w:val="20"/>
              </w:rPr>
            </w:pPr>
            <w:r w:rsidRPr="006B668D">
              <w:rPr>
                <w:rFonts w:cs="Arial"/>
                <w:b/>
                <w:szCs w:val="20"/>
              </w:rPr>
              <w:t>Underlying Earnings</w:t>
            </w:r>
          </w:p>
        </w:tc>
        <w:tc>
          <w:tcPr>
            <w:tcW w:w="992" w:type="pct"/>
            <w:tcBorders>
              <w:bottom w:val="single" w:sz="12" w:space="0" w:color="000000"/>
            </w:tcBorders>
          </w:tcPr>
          <w:p w:rsidR="00790240" w:rsidRPr="006B668D" w:rsidRDefault="00790240" w:rsidP="006B668D">
            <w:pPr>
              <w:spacing w:before="20" w:after="60"/>
              <w:jc w:val="right"/>
              <w:rPr>
                <w:b/>
                <w:szCs w:val="20"/>
              </w:rPr>
            </w:pPr>
            <w:r w:rsidRPr="006B668D">
              <w:rPr>
                <w:b/>
                <w:szCs w:val="20"/>
              </w:rPr>
              <w:t>22.2</w:t>
            </w:r>
          </w:p>
        </w:tc>
        <w:tc>
          <w:tcPr>
            <w:tcW w:w="1313" w:type="pct"/>
            <w:tcBorders>
              <w:bottom w:val="single" w:sz="12" w:space="0" w:color="000000"/>
            </w:tcBorders>
          </w:tcPr>
          <w:p w:rsidR="00790240" w:rsidRPr="006B668D" w:rsidRDefault="00790240" w:rsidP="006B668D">
            <w:pPr>
              <w:spacing w:before="20" w:after="60"/>
              <w:jc w:val="right"/>
              <w:rPr>
                <w:b/>
                <w:szCs w:val="20"/>
              </w:rPr>
            </w:pPr>
            <w:r w:rsidRPr="006B668D">
              <w:rPr>
                <w:b/>
                <w:szCs w:val="20"/>
              </w:rPr>
              <w:t>99.7</w:t>
            </w:r>
          </w:p>
        </w:tc>
      </w:tr>
    </w:tbl>
    <w:p w:rsidR="00790240" w:rsidRDefault="00790240" w:rsidP="009A527A">
      <w:pPr>
        <w:spacing w:after="60" w:line="360" w:lineRule="auto"/>
        <w:ind w:left="0" w:firstLine="0"/>
        <w:jc w:val="both"/>
      </w:pPr>
    </w:p>
    <w:p w:rsidR="00790240" w:rsidRDefault="00790240" w:rsidP="009A527A">
      <w:pPr>
        <w:spacing w:after="60" w:line="360" w:lineRule="auto"/>
        <w:ind w:left="0" w:firstLine="0"/>
        <w:jc w:val="both"/>
      </w:pPr>
      <w:r w:rsidRPr="00FD61F0">
        <w:t>An impairment of $</w:t>
      </w:r>
      <w:r>
        <w:t>80.1 million</w:t>
      </w:r>
      <w:r w:rsidRPr="00FD61F0">
        <w:t xml:space="preserve"> was </w:t>
      </w:r>
      <w:r>
        <w:t xml:space="preserve">booked for </w:t>
      </w:r>
      <w:r w:rsidRPr="004A2829">
        <w:rPr>
          <w:b/>
        </w:rPr>
        <w:t>Stockton Mine</w:t>
      </w:r>
      <w:r w:rsidRPr="00FD61F0">
        <w:t xml:space="preserve"> </w:t>
      </w:r>
      <w:r>
        <w:t>as the company has adopted lower future price assumptions, impacting the assessment of future value. The prolonged market downturn has resulted in weak prices which are expected to continue in the medium term.  Combined with a high New Zealand dollar, this has impacted the assessment of asset carrying values.</w:t>
      </w:r>
    </w:p>
    <w:p w:rsidR="00790240" w:rsidRPr="00FD61F0" w:rsidRDefault="00790240" w:rsidP="009A527A">
      <w:pPr>
        <w:spacing w:after="60" w:line="360" w:lineRule="auto"/>
        <w:ind w:left="0" w:firstLine="0"/>
        <w:jc w:val="both"/>
      </w:pPr>
    </w:p>
    <w:p w:rsidR="00790240" w:rsidRDefault="00790240" w:rsidP="009A527A">
      <w:pPr>
        <w:spacing w:after="60" w:line="360" w:lineRule="auto"/>
        <w:ind w:left="0" w:firstLine="0"/>
        <w:jc w:val="both"/>
      </w:pPr>
      <w:r w:rsidRPr="00FD61F0">
        <w:t xml:space="preserve">The decision to place </w:t>
      </w:r>
      <w:r w:rsidRPr="004A2829">
        <w:rPr>
          <w:b/>
        </w:rPr>
        <w:t>Spring Creek Mine</w:t>
      </w:r>
      <w:r w:rsidRPr="00FD61F0">
        <w:t xml:space="preserve"> in</w:t>
      </w:r>
      <w:r>
        <w:t>to</w:t>
      </w:r>
      <w:r w:rsidRPr="00FD61F0">
        <w:t xml:space="preserve"> care and maintenance on 25 October</w:t>
      </w:r>
      <w:r>
        <w:t xml:space="preserve"> 2012</w:t>
      </w:r>
      <w:r w:rsidRPr="00FD61F0">
        <w:t xml:space="preserve">, as well as </w:t>
      </w:r>
      <w:r>
        <w:t xml:space="preserve">soft </w:t>
      </w:r>
      <w:r w:rsidRPr="00FD61F0">
        <w:t>global coal markets, resulted in additional impairments of $</w:t>
      </w:r>
      <w:r>
        <w:t>53.1</w:t>
      </w:r>
      <w:r w:rsidRPr="00FD61F0">
        <w:t xml:space="preserve"> million</w:t>
      </w:r>
      <w:r>
        <w:t xml:space="preserve"> for the mine</w:t>
      </w:r>
      <w:r w:rsidRPr="00FD61F0">
        <w:t xml:space="preserve">. </w:t>
      </w:r>
      <w:r>
        <w:t>An impairment of $8.8 million was also recognised for Cobden Bridge, with the value of this leased rail bridge asset no longer fully supported by Spring Creek Mine or other near-term coal developments.</w:t>
      </w:r>
    </w:p>
    <w:p w:rsidR="00790240" w:rsidRDefault="00790240" w:rsidP="009A527A">
      <w:pPr>
        <w:spacing w:after="60" w:line="360" w:lineRule="auto"/>
        <w:ind w:left="0" w:firstLine="0"/>
        <w:jc w:val="both"/>
      </w:pPr>
    </w:p>
    <w:p w:rsidR="00790240" w:rsidRDefault="00790240" w:rsidP="009A527A">
      <w:pPr>
        <w:pStyle w:val="BodyText"/>
        <w:spacing w:after="60"/>
      </w:pPr>
      <w:r>
        <w:t xml:space="preserve">Notwithstanding the successful trials of our </w:t>
      </w:r>
      <w:r w:rsidRPr="004A2829">
        <w:rPr>
          <w:b/>
        </w:rPr>
        <w:t>Underground Coal Gasification</w:t>
      </w:r>
      <w:r w:rsidRPr="00FD61F0">
        <w:t xml:space="preserve"> </w:t>
      </w:r>
      <w:r>
        <w:t xml:space="preserve">pilot </w:t>
      </w:r>
      <w:r w:rsidRPr="00FD61F0">
        <w:t>plant</w:t>
      </w:r>
      <w:r>
        <w:t xml:space="preserve"> in Huntly</w:t>
      </w:r>
      <w:r w:rsidRPr="00FD61F0">
        <w:t xml:space="preserve">, </w:t>
      </w:r>
      <w:r>
        <w:t>the plant was shut-down</w:t>
      </w:r>
      <w:r w:rsidRPr="00FD61F0">
        <w:t>, result</w:t>
      </w:r>
      <w:r>
        <w:t>ing</w:t>
      </w:r>
      <w:r w:rsidRPr="00FD61F0">
        <w:t xml:space="preserve"> in an impairment of </w:t>
      </w:r>
      <w:r>
        <w:t xml:space="preserve">costs to date of </w:t>
      </w:r>
      <w:r w:rsidRPr="00FD61F0">
        <w:t>$</w:t>
      </w:r>
      <w:r>
        <w:t>23</w:t>
      </w:r>
      <w:r w:rsidRPr="00FD61F0">
        <w:t>.</w:t>
      </w:r>
      <w:r>
        <w:t>9</w:t>
      </w:r>
      <w:r w:rsidRPr="00FD61F0">
        <w:t xml:space="preserve"> million. The </w:t>
      </w:r>
      <w:r w:rsidRPr="004A2829">
        <w:rPr>
          <w:b/>
        </w:rPr>
        <w:t>Mataura domestic-scale briquette plant</w:t>
      </w:r>
      <w:r w:rsidRPr="00FD61F0">
        <w:t xml:space="preserve"> </w:t>
      </w:r>
      <w:r>
        <w:t xml:space="preserve">was commissioned in May 2013.  The technology provider GTL Energy has just completed an operating trial period, with the results currently being analysed. With the refocus of the company’s strategy away from immediate lignite developments, a decision has been made to impair the briquette plant by $26.2 million. </w:t>
      </w:r>
    </w:p>
    <w:p w:rsidR="00790240" w:rsidRDefault="00790240" w:rsidP="009A527A">
      <w:pPr>
        <w:pStyle w:val="BodyText"/>
        <w:spacing w:after="60"/>
      </w:pPr>
    </w:p>
    <w:p w:rsidR="00790240" w:rsidRDefault="00790240" w:rsidP="009A527A">
      <w:pPr>
        <w:spacing w:after="60" w:line="360" w:lineRule="auto"/>
        <w:ind w:left="0" w:firstLine="0"/>
        <w:jc w:val="both"/>
      </w:pPr>
      <w:r>
        <w:t xml:space="preserve">Difficult domestic trading conditions and cessation of exporting to Europe have resulted in a $4.3 million impairment to </w:t>
      </w:r>
      <w:r w:rsidRPr="004A2829">
        <w:rPr>
          <w:b/>
        </w:rPr>
        <w:t>Nature’s Flame</w:t>
      </w:r>
      <w:r>
        <w:t xml:space="preserve">. The business is being marketed for sale.  The sale of </w:t>
      </w:r>
      <w:r w:rsidRPr="004A2829">
        <w:rPr>
          <w:b/>
        </w:rPr>
        <w:t>Biodiesel New Zealand</w:t>
      </w:r>
      <w:r>
        <w:rPr>
          <w:b/>
        </w:rPr>
        <w:t xml:space="preserve"> Ltd</w:t>
      </w:r>
      <w:r w:rsidRPr="004A2829">
        <w:rPr>
          <w:b/>
        </w:rPr>
        <w:t>’s</w:t>
      </w:r>
      <w:r>
        <w:t xml:space="preserve"> </w:t>
      </w:r>
      <w:r w:rsidRPr="00FD61F0">
        <w:t>agricultural division</w:t>
      </w:r>
      <w:r>
        <w:t xml:space="preserve"> in November 2012 resulted in an impairment</w:t>
      </w:r>
      <w:r w:rsidRPr="00FD61F0">
        <w:t xml:space="preserve"> </w:t>
      </w:r>
      <w:r>
        <w:t>of the remaining assets of $0.6 million.</w:t>
      </w:r>
      <w:r w:rsidRPr="00FD61F0">
        <w:t xml:space="preserve"> </w:t>
      </w:r>
    </w:p>
    <w:p w:rsidR="00790240" w:rsidRDefault="00790240" w:rsidP="009A527A">
      <w:pPr>
        <w:spacing w:after="60" w:line="360" w:lineRule="auto"/>
        <w:ind w:left="0" w:firstLine="0"/>
        <w:jc w:val="both"/>
      </w:pPr>
    </w:p>
    <w:p w:rsidR="00790240" w:rsidRDefault="00790240" w:rsidP="009A527A">
      <w:pPr>
        <w:spacing w:after="60" w:line="360" w:lineRule="auto"/>
        <w:ind w:left="0" w:firstLine="0"/>
        <w:jc w:val="both"/>
      </w:pPr>
      <w:r>
        <w:t xml:space="preserve">After reviewing </w:t>
      </w:r>
      <w:r w:rsidRPr="00FD61F0">
        <w:t>existing land holdings</w:t>
      </w:r>
      <w:r>
        <w:t xml:space="preserve"> including associated mineral rights against their current market value</w:t>
      </w:r>
      <w:r w:rsidRPr="00FD61F0">
        <w:t>, impairments of $</w:t>
      </w:r>
      <w:r>
        <w:t>32</w:t>
      </w:r>
      <w:r w:rsidRPr="00FD61F0">
        <w:t>.</w:t>
      </w:r>
      <w:r>
        <w:t>9</w:t>
      </w:r>
      <w:r w:rsidRPr="00FD61F0">
        <w:t xml:space="preserve"> million </w:t>
      </w:r>
      <w:r>
        <w:t>have been booked for</w:t>
      </w:r>
      <w:r w:rsidRPr="00FD61F0">
        <w:t xml:space="preserve"> land now deemed surplus to requirements.</w:t>
      </w:r>
    </w:p>
    <w:p w:rsidR="00790240" w:rsidRPr="00FD61F0" w:rsidRDefault="00790240" w:rsidP="009A527A">
      <w:pPr>
        <w:spacing w:after="60" w:line="360" w:lineRule="auto"/>
        <w:ind w:left="0" w:firstLine="0"/>
        <w:jc w:val="both"/>
      </w:pPr>
    </w:p>
    <w:p w:rsidR="00790240" w:rsidRDefault="00790240" w:rsidP="009A527A">
      <w:pPr>
        <w:pStyle w:val="BodyText"/>
        <w:spacing w:after="60"/>
      </w:pPr>
      <w:r>
        <w:t xml:space="preserve">Completion of supply negotiations with </w:t>
      </w:r>
      <w:r w:rsidRPr="004A2829">
        <w:rPr>
          <w:b/>
        </w:rPr>
        <w:t>Huntly East Mine’s</w:t>
      </w:r>
      <w:r>
        <w:t xml:space="preserve"> major customers, along with a revised business model for the North Island operations, resulted in impairment reversals of $21.0 million for Huntly East Mine. This was offset by an impairment of $6.4 million for spend on the ventilation shaft in July and August 2012 before the project was cancelled. </w:t>
      </w:r>
    </w:p>
    <w:p w:rsidR="00790240" w:rsidRDefault="00790240" w:rsidP="009A527A">
      <w:pPr>
        <w:pStyle w:val="BodyText"/>
        <w:spacing w:after="60"/>
        <w:rPr>
          <w:rFonts w:cs="Arial"/>
          <w:szCs w:val="20"/>
        </w:rPr>
      </w:pPr>
    </w:p>
    <w:p w:rsidR="00790240" w:rsidRDefault="00790240" w:rsidP="009A527A">
      <w:pPr>
        <w:pStyle w:val="BodyText"/>
        <w:spacing w:after="60"/>
        <w:rPr>
          <w:rFonts w:cs="Arial"/>
          <w:szCs w:val="20"/>
        </w:rPr>
      </w:pPr>
      <w:r w:rsidRPr="00FD61F0">
        <w:rPr>
          <w:rFonts w:cs="Arial"/>
          <w:szCs w:val="20"/>
        </w:rPr>
        <w:t>Restructuring costs including redundancies, wages and operational costs paid during consultation periods, and contractor demobilisation payments totalled $</w:t>
      </w:r>
      <w:r>
        <w:rPr>
          <w:rFonts w:cs="Arial"/>
          <w:szCs w:val="20"/>
        </w:rPr>
        <w:t>46.7</w:t>
      </w:r>
      <w:r w:rsidRPr="00FD61F0">
        <w:rPr>
          <w:rFonts w:cs="Arial"/>
          <w:szCs w:val="20"/>
        </w:rPr>
        <w:t xml:space="preserve"> million.  </w:t>
      </w:r>
    </w:p>
    <w:p w:rsidR="00790240" w:rsidRDefault="00790240" w:rsidP="009A527A">
      <w:pPr>
        <w:pStyle w:val="BodyText"/>
        <w:spacing w:after="60"/>
        <w:rPr>
          <w:rFonts w:cs="Arial"/>
          <w:szCs w:val="20"/>
        </w:rPr>
      </w:pPr>
    </w:p>
    <w:p w:rsidR="00790240" w:rsidRDefault="00790240" w:rsidP="009A527A">
      <w:pPr>
        <w:pStyle w:val="BodyText"/>
        <w:spacing w:after="60"/>
        <w:rPr>
          <w:rFonts w:cs="Arial"/>
          <w:szCs w:val="20"/>
        </w:rPr>
      </w:pPr>
      <w:r>
        <w:rPr>
          <w:rFonts w:cs="Arial"/>
          <w:szCs w:val="20"/>
        </w:rPr>
        <w:t xml:space="preserve">The costs of operating unprofitable or non-operating business units until they are closed or divested resulted in additional costs of $24.8 million. Labour costs incurred for corporate staff who have now been made redundant totalled $13.6 million. A number of projects were closed down during the period resulting in costs of $10.5 million being written off. </w:t>
      </w:r>
    </w:p>
    <w:p w:rsidR="00790240" w:rsidRDefault="00790240" w:rsidP="009A527A">
      <w:pPr>
        <w:pStyle w:val="BodyText"/>
        <w:spacing w:after="60"/>
        <w:rPr>
          <w:rFonts w:cs="Arial"/>
          <w:szCs w:val="20"/>
        </w:rPr>
      </w:pPr>
    </w:p>
    <w:p w:rsidR="00790240" w:rsidRDefault="00790240" w:rsidP="009A527A">
      <w:pPr>
        <w:pStyle w:val="BodyText"/>
        <w:spacing w:after="60"/>
        <w:rPr>
          <w:rFonts w:cs="Arial"/>
          <w:szCs w:val="20"/>
        </w:rPr>
      </w:pPr>
      <w:r>
        <w:rPr>
          <w:rFonts w:cs="Arial"/>
          <w:szCs w:val="20"/>
        </w:rPr>
        <w:t xml:space="preserve">Onerous leases of $6.6 million were recognised in relation to plant deemed surplus to requirements after downsizing of operations. </w:t>
      </w:r>
    </w:p>
    <w:p w:rsidR="00790240" w:rsidRPr="0062227C" w:rsidRDefault="00790240" w:rsidP="009A527A">
      <w:pPr>
        <w:spacing w:after="60" w:line="360" w:lineRule="auto"/>
        <w:ind w:left="0" w:firstLine="0"/>
        <w:jc w:val="center"/>
        <w:rPr>
          <w:sz w:val="4"/>
          <w:szCs w:val="4"/>
        </w:rPr>
      </w:pPr>
    </w:p>
    <w:p w:rsidR="00790240" w:rsidRDefault="00790240" w:rsidP="009A527A">
      <w:pPr>
        <w:spacing w:after="60" w:line="360" w:lineRule="auto"/>
        <w:ind w:left="0" w:firstLine="0"/>
        <w:jc w:val="both"/>
      </w:pPr>
      <w:r w:rsidRPr="00BA6B80">
        <w:rPr>
          <w:b/>
        </w:rPr>
        <w:t xml:space="preserve">Capital Management and Funding: </w:t>
      </w:r>
      <w:r w:rsidRPr="002E4257">
        <w:t>Solid Energy’s total</w:t>
      </w:r>
      <w:r w:rsidRPr="00BA6B80">
        <w:t xml:space="preserve"> assets at </w:t>
      </w:r>
      <w:r>
        <w:t>30 June 2013 were $859</w:t>
      </w:r>
      <w:r w:rsidRPr="008273DD">
        <w:t xml:space="preserve"> </w:t>
      </w:r>
      <w:r>
        <w:t>million</w:t>
      </w:r>
      <w:r w:rsidRPr="008273DD">
        <w:t>,</w:t>
      </w:r>
      <w:r>
        <w:t xml:space="preserve"> down $308 million on the same time last year due to impairments. Net</w:t>
      </w:r>
      <w:r w:rsidRPr="008273DD">
        <w:t xml:space="preserve"> </w:t>
      </w:r>
      <w:r>
        <w:t xml:space="preserve">bank </w:t>
      </w:r>
      <w:r w:rsidRPr="008273DD">
        <w:t xml:space="preserve">debt </w:t>
      </w:r>
      <w:r>
        <w:t xml:space="preserve">and bonds </w:t>
      </w:r>
      <w:r w:rsidRPr="008273DD">
        <w:t xml:space="preserve">at the end of the period </w:t>
      </w:r>
      <w:r>
        <w:t>were</w:t>
      </w:r>
      <w:r w:rsidRPr="008273DD">
        <w:t xml:space="preserve"> $</w:t>
      </w:r>
      <w:r>
        <w:t>381</w:t>
      </w:r>
      <w:r w:rsidRPr="008273DD">
        <w:t xml:space="preserve"> million (</w:t>
      </w:r>
      <w:r>
        <w:t xml:space="preserve">June </w:t>
      </w:r>
      <w:r w:rsidRPr="008273DD">
        <w:t>201</w:t>
      </w:r>
      <w:r>
        <w:t>2</w:t>
      </w:r>
      <w:r w:rsidRPr="008273DD">
        <w:t>: $2</w:t>
      </w:r>
      <w:r>
        <w:t>95</w:t>
      </w:r>
      <w:r w:rsidRPr="008273DD">
        <w:t xml:space="preserve"> million)</w:t>
      </w:r>
      <w:r>
        <w:t xml:space="preserve">, comprising drawn </w:t>
      </w:r>
      <w:r w:rsidRPr="008273DD">
        <w:t xml:space="preserve">bank </w:t>
      </w:r>
      <w:r>
        <w:t>facilities</w:t>
      </w:r>
      <w:r w:rsidRPr="008273DD">
        <w:t xml:space="preserve"> </w:t>
      </w:r>
      <w:r>
        <w:t xml:space="preserve">net of cash </w:t>
      </w:r>
      <w:r w:rsidRPr="008273DD">
        <w:t>of $</w:t>
      </w:r>
      <w:r>
        <w:t>286</w:t>
      </w:r>
      <w:r w:rsidRPr="008273DD">
        <w:t xml:space="preserve"> million</w:t>
      </w:r>
      <w:r>
        <w:t xml:space="preserve"> and </w:t>
      </w:r>
      <w:r w:rsidRPr="008273DD">
        <w:t>Medium</w:t>
      </w:r>
      <w:r>
        <w:t xml:space="preserve"> Term </w:t>
      </w:r>
      <w:r w:rsidRPr="008273DD">
        <w:t>Note issues of $</w:t>
      </w:r>
      <w:r>
        <w:t>95</w:t>
      </w:r>
      <w:r w:rsidRPr="008273DD">
        <w:t xml:space="preserve"> million</w:t>
      </w:r>
      <w:r>
        <w:t>. G</w:t>
      </w:r>
      <w:r w:rsidRPr="008273DD">
        <w:t>earing</w:t>
      </w:r>
      <w:r>
        <w:t xml:space="preserve"> increased</w:t>
      </w:r>
      <w:r w:rsidRPr="008273DD">
        <w:t xml:space="preserve"> to </w:t>
      </w:r>
      <w:r>
        <w:t>81% after asset impairments as the company strategically repositioned in response to weakened export coal markets. This resulted in a decrease in shareholders’ equity of $332 million to $91.6 million.</w:t>
      </w:r>
    </w:p>
    <w:p w:rsidR="00790240" w:rsidRPr="007762AA" w:rsidRDefault="00790240" w:rsidP="009A527A">
      <w:pPr>
        <w:spacing w:after="60" w:line="360" w:lineRule="auto"/>
        <w:ind w:left="0" w:firstLine="0"/>
        <w:jc w:val="both"/>
      </w:pPr>
    </w:p>
    <w:p w:rsidR="00790240" w:rsidRDefault="00790240" w:rsidP="009A527A">
      <w:pPr>
        <w:pStyle w:val="BodyText"/>
        <w:spacing w:after="60"/>
        <w:rPr>
          <w:szCs w:val="20"/>
        </w:rPr>
      </w:pPr>
      <w:r w:rsidRPr="004C4E64">
        <w:rPr>
          <w:b/>
        </w:rPr>
        <w:t xml:space="preserve">Cashflows: </w:t>
      </w:r>
      <w:r w:rsidRPr="004C4E64">
        <w:t>Cashflows from operations were negative $</w:t>
      </w:r>
      <w:r>
        <w:t>49</w:t>
      </w:r>
      <w:r w:rsidRPr="004C4E64">
        <w:t>.</w:t>
      </w:r>
      <w:r>
        <w:t>8</w:t>
      </w:r>
      <w:r w:rsidRPr="004C4E64">
        <w:t xml:space="preserve"> million compared to inflows of $142.2 million in 2012, with $3</w:t>
      </w:r>
      <w:r>
        <w:t>27.0</w:t>
      </w:r>
      <w:r w:rsidRPr="004C4E64">
        <w:t xml:space="preserve"> million in decreased cash receipts </w:t>
      </w:r>
      <w:r>
        <w:t>largely as a result of</w:t>
      </w:r>
      <w:r w:rsidRPr="004C4E64">
        <w:t xml:space="preserve"> lower prices.  Capital investment totalled $</w:t>
      </w:r>
      <w:r>
        <w:t>55</w:t>
      </w:r>
      <w:r w:rsidRPr="004C4E64">
        <w:t>.</w:t>
      </w:r>
      <w:r>
        <w:t>4</w:t>
      </w:r>
      <w:r w:rsidRPr="004C4E64">
        <w:t xml:space="preserve"> million compared with $16</w:t>
      </w:r>
      <w:r>
        <w:t>4</w:t>
      </w:r>
      <w:r w:rsidRPr="004C4E64">
        <w:t xml:space="preserve">.0 million for the 2012 financial year. Of this, </w:t>
      </w:r>
      <w:r>
        <w:t>approximately</w:t>
      </w:r>
      <w:r w:rsidRPr="004C4E64">
        <w:t xml:space="preserve"> $2</w:t>
      </w:r>
      <w:r>
        <w:t>2</w:t>
      </w:r>
      <w:r w:rsidRPr="004C4E64">
        <w:t xml:space="preserve"> million related to spend </w:t>
      </w:r>
      <w:r>
        <w:t>at</w:t>
      </w:r>
      <w:r w:rsidRPr="004C4E64">
        <w:t xml:space="preserve"> </w:t>
      </w:r>
      <w:r w:rsidRPr="004C4E64">
        <w:rPr>
          <w:szCs w:val="20"/>
        </w:rPr>
        <w:t>S</w:t>
      </w:r>
      <w:r>
        <w:rPr>
          <w:szCs w:val="20"/>
        </w:rPr>
        <w:t xml:space="preserve">pring Creek </w:t>
      </w:r>
      <w:r w:rsidRPr="004C4E64">
        <w:rPr>
          <w:szCs w:val="20"/>
        </w:rPr>
        <w:t xml:space="preserve">and </w:t>
      </w:r>
      <w:r>
        <w:rPr>
          <w:szCs w:val="20"/>
        </w:rPr>
        <w:t xml:space="preserve">Huntly </w:t>
      </w:r>
      <w:r w:rsidRPr="004C4E64">
        <w:rPr>
          <w:szCs w:val="20"/>
        </w:rPr>
        <w:t>East Mine</w:t>
      </w:r>
      <w:r>
        <w:rPr>
          <w:szCs w:val="20"/>
        </w:rPr>
        <w:t>s</w:t>
      </w:r>
      <w:r w:rsidRPr="004C4E64">
        <w:rPr>
          <w:szCs w:val="20"/>
        </w:rPr>
        <w:t xml:space="preserve"> before development work</w:t>
      </w:r>
      <w:r>
        <w:rPr>
          <w:szCs w:val="20"/>
        </w:rPr>
        <w:t xml:space="preserve"> was halted</w:t>
      </w:r>
      <w:r w:rsidRPr="004C4E64">
        <w:rPr>
          <w:szCs w:val="20"/>
        </w:rPr>
        <w:t>.</w:t>
      </w:r>
    </w:p>
    <w:p w:rsidR="00790240" w:rsidRPr="004C4E64" w:rsidRDefault="00790240" w:rsidP="009A527A">
      <w:pPr>
        <w:pStyle w:val="BodyText"/>
        <w:spacing w:after="60"/>
        <w:rPr>
          <w:szCs w:val="24"/>
        </w:rPr>
      </w:pPr>
    </w:p>
    <w:p w:rsidR="00790240" w:rsidRDefault="00790240" w:rsidP="009A527A">
      <w:pPr>
        <w:pStyle w:val="BodyText"/>
        <w:spacing w:after="60"/>
        <w:rPr>
          <w:b/>
        </w:rPr>
      </w:pPr>
      <w:r w:rsidRPr="00BA6B80">
        <w:rPr>
          <w:b/>
        </w:rPr>
        <w:t xml:space="preserve">Production: </w:t>
      </w:r>
      <w:r>
        <w:rPr>
          <w:szCs w:val="20"/>
        </w:rPr>
        <w:t xml:space="preserve">Coal production for the </w:t>
      </w:r>
      <w:r w:rsidRPr="001D72CC">
        <w:rPr>
          <w:szCs w:val="20"/>
        </w:rPr>
        <w:t xml:space="preserve">year was </w:t>
      </w:r>
      <w:r>
        <w:rPr>
          <w:szCs w:val="20"/>
        </w:rPr>
        <w:t>3</w:t>
      </w:r>
      <w:r w:rsidRPr="001D72CC">
        <w:rPr>
          <w:szCs w:val="20"/>
        </w:rPr>
        <w:t>.</w:t>
      </w:r>
      <w:r>
        <w:rPr>
          <w:szCs w:val="20"/>
        </w:rPr>
        <w:t xml:space="preserve">9 </w:t>
      </w:r>
      <w:r w:rsidRPr="001D72CC">
        <w:rPr>
          <w:szCs w:val="20"/>
        </w:rPr>
        <w:t xml:space="preserve">Mt, down </w:t>
      </w:r>
      <w:r>
        <w:rPr>
          <w:szCs w:val="20"/>
        </w:rPr>
        <w:t>6</w:t>
      </w:r>
      <w:r w:rsidRPr="001D72CC">
        <w:rPr>
          <w:szCs w:val="20"/>
        </w:rPr>
        <w:t xml:space="preserve">% on the previous year as Spring Creek </w:t>
      </w:r>
      <w:r>
        <w:rPr>
          <w:szCs w:val="20"/>
        </w:rPr>
        <w:t>Mine was placed i</w:t>
      </w:r>
      <w:r w:rsidRPr="001D72CC">
        <w:rPr>
          <w:szCs w:val="20"/>
        </w:rPr>
        <w:t xml:space="preserve">n </w:t>
      </w:r>
      <w:r>
        <w:rPr>
          <w:szCs w:val="20"/>
        </w:rPr>
        <w:t>c</w:t>
      </w:r>
      <w:r w:rsidRPr="001D72CC">
        <w:rPr>
          <w:szCs w:val="20"/>
        </w:rPr>
        <w:t xml:space="preserve">are and </w:t>
      </w:r>
      <w:r>
        <w:rPr>
          <w:szCs w:val="20"/>
        </w:rPr>
        <w:t>m</w:t>
      </w:r>
      <w:r w:rsidRPr="001D72CC">
        <w:rPr>
          <w:szCs w:val="20"/>
        </w:rPr>
        <w:t xml:space="preserve">aintenance. </w:t>
      </w:r>
    </w:p>
    <w:p w:rsidR="00790240" w:rsidRDefault="00790240" w:rsidP="00E4340A">
      <w:pPr>
        <w:pStyle w:val="BodyText"/>
      </w:pPr>
    </w:p>
    <w:p w:rsidR="00790240" w:rsidRDefault="00790240" w:rsidP="00AE5B88">
      <w:pPr>
        <w:pStyle w:val="ContactDetails"/>
      </w:pPr>
      <w:r>
        <w:t>For further information contact:</w:t>
      </w:r>
    </w:p>
    <w:p w:rsidR="00790240" w:rsidRDefault="00790240" w:rsidP="00AE5B88">
      <w:pPr>
        <w:pStyle w:val="ContactDetails"/>
      </w:pPr>
    </w:p>
    <w:p w:rsidR="00790240" w:rsidRDefault="00790240" w:rsidP="00AE5B88">
      <w:pPr>
        <w:pStyle w:val="ContactDetails"/>
      </w:pPr>
      <w:r>
        <w:t>Vicki Blyth</w:t>
      </w:r>
      <w:r>
        <w:tab/>
        <w:t>Telephone: 03 345 6000</w:t>
      </w:r>
    </w:p>
    <w:p w:rsidR="00790240" w:rsidRDefault="00790240" w:rsidP="00AE5B88">
      <w:pPr>
        <w:pStyle w:val="ContactDetails"/>
      </w:pPr>
      <w:r>
        <w:t>Stakeholder Relations Manager</w:t>
      </w:r>
      <w:r>
        <w:tab/>
        <w:t>Mobile: 021 670 250</w:t>
      </w:r>
    </w:p>
    <w:p w:rsidR="00790240" w:rsidRDefault="00790240" w:rsidP="00AE5B88">
      <w:pPr>
        <w:pStyle w:val="ContactDetails"/>
      </w:pPr>
      <w:r>
        <w:t>Solid Energy New Zealand Limited</w:t>
      </w:r>
    </w:p>
    <w:sectPr w:rsidR="00790240" w:rsidSect="000C1451">
      <w:footerReference w:type="default" r:id="rId8"/>
      <w:headerReference w:type="first" r:id="rId9"/>
      <w:footerReference w:type="first" r:id="rId10"/>
      <w:pgSz w:w="11906" w:h="16838" w:code="9"/>
      <w:pgMar w:top="1361" w:right="1021" w:bottom="1361" w:left="102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240" w:rsidRDefault="00790240" w:rsidP="00DE78F1">
      <w:pPr>
        <w:pStyle w:val="Header"/>
      </w:pPr>
      <w:r>
        <w:separator/>
      </w:r>
    </w:p>
  </w:endnote>
  <w:endnote w:type="continuationSeparator" w:id="0">
    <w:p w:rsidR="00790240" w:rsidRDefault="00790240" w:rsidP="00DE78F1">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40" w:rsidRPr="00B359A3" w:rsidRDefault="00790240" w:rsidP="00B359A3">
    <w:pPr>
      <w:pStyle w:val="Footer"/>
      <w:pBdr>
        <w:top w:val="single" w:sz="4" w:space="4" w:color="auto"/>
      </w:pBdr>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40" w:rsidRDefault="00790240" w:rsidP="006A1F10">
    <w:pPr>
      <w:pStyle w:val="Footer"/>
      <w:pBdr>
        <w:top w:val="single" w:sz="4" w:space="4" w:color="auto"/>
      </w:pBdr>
    </w:pPr>
    <w:r>
      <w:t>Solid Energy New Zealand Limited</w:t>
    </w:r>
  </w:p>
  <w:p w:rsidR="00790240" w:rsidRDefault="00790240" w:rsidP="006A1F10">
    <w:pPr>
      <w:pStyle w:val="Footer"/>
    </w:pPr>
    <w:r>
      <w:t>15 Show Place, Christchurch 8024</w:t>
    </w:r>
    <w:r>
      <w:tab/>
    </w:r>
    <w:r>
      <w:tab/>
      <w:t>Telephone: (03) 345 6000</w:t>
    </w:r>
  </w:p>
  <w:p w:rsidR="00790240" w:rsidRPr="006A1F10" w:rsidRDefault="00790240" w:rsidP="006A1F10">
    <w:pPr>
      <w:pStyle w:val="Footer"/>
    </w:pPr>
    <w:r>
      <w:t>PO Box 1303, Christchurch 8140</w:t>
    </w:r>
    <w:r>
      <w:tab/>
    </w:r>
    <w:r>
      <w:tab/>
      <w:t>Facsimile: (03) 345 6016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240" w:rsidRDefault="00790240" w:rsidP="00DE78F1">
      <w:pPr>
        <w:pStyle w:val="Header"/>
      </w:pPr>
      <w:r>
        <w:separator/>
      </w:r>
    </w:p>
  </w:footnote>
  <w:footnote w:type="continuationSeparator" w:id="0">
    <w:p w:rsidR="00790240" w:rsidRDefault="00790240" w:rsidP="00DE78F1">
      <w:pPr>
        <w:pStyle w:val="Heade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40" w:type="dxa"/>
      <w:tblBorders>
        <w:bottom w:val="single" w:sz="4" w:space="0" w:color="auto"/>
      </w:tblBorders>
      <w:tblLayout w:type="fixed"/>
      <w:tblCellMar>
        <w:top w:w="170" w:type="dxa"/>
        <w:left w:w="0" w:type="dxa"/>
        <w:bottom w:w="170" w:type="dxa"/>
        <w:right w:w="0" w:type="dxa"/>
      </w:tblCellMar>
      <w:tblLook w:val="01E0"/>
    </w:tblPr>
    <w:tblGrid>
      <w:gridCol w:w="6521"/>
      <w:gridCol w:w="3119"/>
    </w:tblGrid>
    <w:tr w:rsidR="00790240" w:rsidTr="006B668D">
      <w:tc>
        <w:tcPr>
          <w:tcW w:w="6521" w:type="dxa"/>
          <w:tcBorders>
            <w:bottom w:val="single" w:sz="4" w:space="0" w:color="auto"/>
          </w:tcBorders>
          <w:vAlign w:val="center"/>
        </w:tcPr>
        <w:p w:rsidR="00790240" w:rsidRPr="006B668D" w:rsidRDefault="00790240" w:rsidP="0010282D">
          <w:pPr>
            <w:pStyle w:val="Title"/>
            <w:rPr>
              <w:sz w:val="40"/>
              <w:szCs w:val="40"/>
            </w:rPr>
          </w:pPr>
          <w:r w:rsidRPr="006B668D">
            <w:rPr>
              <w:sz w:val="40"/>
              <w:szCs w:val="40"/>
            </w:rPr>
            <w:t>Solid Energy Results for Year</w:t>
          </w:r>
        </w:p>
        <w:p w:rsidR="00790240" w:rsidRDefault="00790240" w:rsidP="0010282D">
          <w:pPr>
            <w:pStyle w:val="Title"/>
          </w:pPr>
          <w:r w:rsidRPr="006B668D">
            <w:rPr>
              <w:sz w:val="40"/>
              <w:szCs w:val="40"/>
            </w:rPr>
            <w:t>Ended 30 June 2013</w:t>
          </w:r>
        </w:p>
      </w:tc>
      <w:tc>
        <w:tcPr>
          <w:tcW w:w="3119" w:type="dxa"/>
          <w:tcBorders>
            <w:bottom w:val="single" w:sz="4" w:space="0" w:color="auto"/>
          </w:tcBorders>
          <w:vAlign w:val="center"/>
        </w:tcPr>
        <w:p w:rsidR="00790240" w:rsidRDefault="00790240" w:rsidP="006B668D">
          <w:pPr>
            <w:pStyle w:val="Header"/>
            <w:jc w:val="right"/>
          </w:pPr>
          <w:r w:rsidRPr="006B668D">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SolE%20Logo%20SQUARE%20b&amp;w" style="width:72.75pt;height:66.75pt;visibility:visible">
                <v:imagedata r:id="rId1" o:title=""/>
              </v:shape>
            </w:pict>
          </w:r>
        </w:p>
      </w:tc>
    </w:tr>
  </w:tbl>
  <w:p w:rsidR="00790240" w:rsidRDefault="007902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8F094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17854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D36B1F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88281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17A21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122C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01AF4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D237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0FE54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04CC8E0"/>
    <w:lvl w:ilvl="0">
      <w:start w:val="1"/>
      <w:numFmt w:val="bullet"/>
      <w:lvlText w:val=""/>
      <w:lvlJc w:val="left"/>
      <w:pPr>
        <w:tabs>
          <w:tab w:val="num" w:pos="360"/>
        </w:tabs>
        <w:ind w:left="360" w:hanging="360"/>
      </w:pPr>
      <w:rPr>
        <w:rFonts w:ascii="Symbol" w:hAnsi="Symbol" w:hint="default"/>
      </w:rPr>
    </w:lvl>
  </w:abstractNum>
  <w:abstractNum w:abstractNumId="10">
    <w:nsid w:val="17FD7CE8"/>
    <w:multiLevelType w:val="hybridMultilevel"/>
    <w:tmpl w:val="33466CB8"/>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hint="default"/>
      </w:rPr>
    </w:lvl>
    <w:lvl w:ilvl="8" w:tplc="14090005" w:tentative="1">
      <w:start w:val="1"/>
      <w:numFmt w:val="bullet"/>
      <w:lvlText w:val=""/>
      <w:lvlJc w:val="left"/>
      <w:pPr>
        <w:ind w:left="6764" w:hanging="360"/>
      </w:pPr>
      <w:rPr>
        <w:rFonts w:ascii="Wingdings" w:hAnsi="Wingdings" w:hint="default"/>
      </w:rPr>
    </w:lvl>
  </w:abstractNum>
  <w:num w:numId="1">
    <w:abstractNumId w:val="9"/>
  </w:num>
  <w:num w:numId="2">
    <w:abstractNumId w:val="8"/>
  </w:num>
  <w:num w:numId="3">
    <w:abstractNumId w:val="9"/>
  </w:num>
  <w:num w:numId="4">
    <w:abstractNumId w:val="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2149"/>
    <w:rsid w:val="000747D7"/>
    <w:rsid w:val="00091979"/>
    <w:rsid w:val="000A0C7B"/>
    <w:rsid w:val="000B16E3"/>
    <w:rsid w:val="000B287C"/>
    <w:rsid w:val="000C1451"/>
    <w:rsid w:val="000C1D79"/>
    <w:rsid w:val="000D1D4E"/>
    <w:rsid w:val="0010282D"/>
    <w:rsid w:val="00120BE1"/>
    <w:rsid w:val="00127069"/>
    <w:rsid w:val="001319FA"/>
    <w:rsid w:val="00147646"/>
    <w:rsid w:val="00180AEE"/>
    <w:rsid w:val="00184E93"/>
    <w:rsid w:val="001A5FAD"/>
    <w:rsid w:val="001D72CC"/>
    <w:rsid w:val="001D7F02"/>
    <w:rsid w:val="001E1837"/>
    <w:rsid w:val="001F7F94"/>
    <w:rsid w:val="00223CF8"/>
    <w:rsid w:val="00235CF1"/>
    <w:rsid w:val="002533BB"/>
    <w:rsid w:val="00266DD5"/>
    <w:rsid w:val="002D40F0"/>
    <w:rsid w:val="002E4257"/>
    <w:rsid w:val="00351BB8"/>
    <w:rsid w:val="00372E01"/>
    <w:rsid w:val="003776F6"/>
    <w:rsid w:val="003C6823"/>
    <w:rsid w:val="003D69FA"/>
    <w:rsid w:val="00400A7A"/>
    <w:rsid w:val="00413754"/>
    <w:rsid w:val="004251BC"/>
    <w:rsid w:val="00441B22"/>
    <w:rsid w:val="00444A24"/>
    <w:rsid w:val="00470E33"/>
    <w:rsid w:val="00472B15"/>
    <w:rsid w:val="00476659"/>
    <w:rsid w:val="0047765C"/>
    <w:rsid w:val="00480D19"/>
    <w:rsid w:val="004A2829"/>
    <w:rsid w:val="004A3B1F"/>
    <w:rsid w:val="004C4E64"/>
    <w:rsid w:val="004E4249"/>
    <w:rsid w:val="004E62E0"/>
    <w:rsid w:val="00532E85"/>
    <w:rsid w:val="00543B71"/>
    <w:rsid w:val="00560908"/>
    <w:rsid w:val="00574212"/>
    <w:rsid w:val="00575755"/>
    <w:rsid w:val="00585C65"/>
    <w:rsid w:val="005E3EF5"/>
    <w:rsid w:val="00621600"/>
    <w:rsid w:val="0062227C"/>
    <w:rsid w:val="006A1F10"/>
    <w:rsid w:val="006B33A5"/>
    <w:rsid w:val="006B668D"/>
    <w:rsid w:val="006C5CD3"/>
    <w:rsid w:val="007069B1"/>
    <w:rsid w:val="007762AA"/>
    <w:rsid w:val="00781E11"/>
    <w:rsid w:val="00790240"/>
    <w:rsid w:val="007A5633"/>
    <w:rsid w:val="007A70FE"/>
    <w:rsid w:val="007F48E8"/>
    <w:rsid w:val="00800B39"/>
    <w:rsid w:val="00810150"/>
    <w:rsid w:val="008273DD"/>
    <w:rsid w:val="0084094F"/>
    <w:rsid w:val="00881881"/>
    <w:rsid w:val="00891A57"/>
    <w:rsid w:val="008929C6"/>
    <w:rsid w:val="00897024"/>
    <w:rsid w:val="008A1D07"/>
    <w:rsid w:val="008E2149"/>
    <w:rsid w:val="008F4393"/>
    <w:rsid w:val="008F6309"/>
    <w:rsid w:val="009056A7"/>
    <w:rsid w:val="009464EB"/>
    <w:rsid w:val="00947E03"/>
    <w:rsid w:val="00950859"/>
    <w:rsid w:val="00957A7D"/>
    <w:rsid w:val="00964015"/>
    <w:rsid w:val="0099211F"/>
    <w:rsid w:val="00994224"/>
    <w:rsid w:val="009A527A"/>
    <w:rsid w:val="009B72E5"/>
    <w:rsid w:val="009C2817"/>
    <w:rsid w:val="009D75D9"/>
    <w:rsid w:val="00A041A2"/>
    <w:rsid w:val="00A3316C"/>
    <w:rsid w:val="00AD33C4"/>
    <w:rsid w:val="00AE5B88"/>
    <w:rsid w:val="00B17686"/>
    <w:rsid w:val="00B359A3"/>
    <w:rsid w:val="00B36472"/>
    <w:rsid w:val="00B544C1"/>
    <w:rsid w:val="00BA6B80"/>
    <w:rsid w:val="00BB022F"/>
    <w:rsid w:val="00BC4168"/>
    <w:rsid w:val="00BE06C1"/>
    <w:rsid w:val="00C1043A"/>
    <w:rsid w:val="00C3107E"/>
    <w:rsid w:val="00CA50ED"/>
    <w:rsid w:val="00CB60B1"/>
    <w:rsid w:val="00CD7748"/>
    <w:rsid w:val="00D363BB"/>
    <w:rsid w:val="00D847DF"/>
    <w:rsid w:val="00DD3730"/>
    <w:rsid w:val="00DD4291"/>
    <w:rsid w:val="00DE5FD2"/>
    <w:rsid w:val="00DE78F1"/>
    <w:rsid w:val="00E00CD4"/>
    <w:rsid w:val="00E4340A"/>
    <w:rsid w:val="00E702CC"/>
    <w:rsid w:val="00E71110"/>
    <w:rsid w:val="00ED40CC"/>
    <w:rsid w:val="00EE31C4"/>
    <w:rsid w:val="00EF0742"/>
    <w:rsid w:val="00F16378"/>
    <w:rsid w:val="00F5167E"/>
    <w:rsid w:val="00F74B99"/>
    <w:rsid w:val="00F877B1"/>
    <w:rsid w:val="00FD61F0"/>
    <w:rsid w:val="00FF17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semiHidden="0" w:uiPriority="0" w:unhideWhenUsed="0" w:qFormat="1"/>
    <w:lsdException w:name="annotation reference" w:locked="1" w:semiHidden="0" w:uiPriority="0" w:unhideWhenUsed="0"/>
    <w:lsdException w:name="List Bullet"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List Continue"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EE"/>
    <w:pPr>
      <w:spacing w:after="40"/>
      <w:ind w:left="284" w:hanging="284"/>
    </w:pPr>
    <w:rPr>
      <w:rFonts w:ascii="Arial" w:hAnsi="Arial"/>
      <w:sz w:val="20"/>
      <w:szCs w:val="24"/>
      <w:lang w:val="en-NZ" w:eastAsia="en-US"/>
    </w:rPr>
  </w:style>
  <w:style w:type="paragraph" w:styleId="Heading1">
    <w:name w:val="heading 1"/>
    <w:basedOn w:val="zzBodyBase"/>
    <w:next w:val="BodyText"/>
    <w:link w:val="Heading1Char"/>
    <w:uiPriority w:val="99"/>
    <w:qFormat/>
    <w:rsid w:val="008A1D07"/>
    <w:pPr>
      <w:keepNext/>
      <w:keepLines/>
      <w:jc w:val="center"/>
      <w:outlineLvl w:val="0"/>
    </w:pPr>
    <w:rPr>
      <w:rFonts w:cs="Arial"/>
      <w:b/>
      <w:bCs/>
      <w:szCs w:val="32"/>
    </w:rPr>
  </w:style>
  <w:style w:type="paragraph" w:styleId="Heading2">
    <w:name w:val="heading 2"/>
    <w:basedOn w:val="zzBodyBase"/>
    <w:next w:val="BodyText"/>
    <w:link w:val="Heading2Char"/>
    <w:uiPriority w:val="99"/>
    <w:qFormat/>
    <w:rsid w:val="008A1D07"/>
    <w:pPr>
      <w:keepNext/>
      <w:keepLines/>
      <w:outlineLvl w:val="1"/>
    </w:pPr>
    <w:rPr>
      <w:rFonts w:cs="Arial"/>
      <w:b/>
      <w:bCs/>
      <w:iCs/>
      <w:szCs w:val="28"/>
    </w:rPr>
  </w:style>
  <w:style w:type="paragraph" w:styleId="Heading3">
    <w:name w:val="heading 3"/>
    <w:basedOn w:val="zzBodyBase"/>
    <w:next w:val="BodyText"/>
    <w:link w:val="Heading3Char"/>
    <w:uiPriority w:val="99"/>
    <w:qFormat/>
    <w:rsid w:val="00E4340A"/>
    <w:pPr>
      <w:keepNext/>
      <w:keepLines/>
      <w:outlineLvl w:val="2"/>
    </w:pPr>
    <w:rPr>
      <w:rFonts w:cs="Arial"/>
      <w:b/>
      <w:bCs/>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FB1"/>
    <w:rPr>
      <w:rFonts w:asciiTheme="majorHAnsi" w:eastAsiaTheme="majorEastAsia" w:hAnsiTheme="majorHAnsi" w:cstheme="majorBidi"/>
      <w:b/>
      <w:bCs/>
      <w:kern w:val="32"/>
      <w:sz w:val="32"/>
      <w:szCs w:val="32"/>
      <w:lang w:val="en-NZ" w:eastAsia="en-US"/>
    </w:rPr>
  </w:style>
  <w:style w:type="character" w:customStyle="1" w:styleId="Heading2Char">
    <w:name w:val="Heading 2 Char"/>
    <w:basedOn w:val="DefaultParagraphFont"/>
    <w:link w:val="Heading2"/>
    <w:uiPriority w:val="9"/>
    <w:semiHidden/>
    <w:rsid w:val="00DD6FB1"/>
    <w:rPr>
      <w:rFonts w:asciiTheme="majorHAnsi" w:eastAsiaTheme="majorEastAsia" w:hAnsiTheme="majorHAnsi" w:cstheme="majorBidi"/>
      <w:b/>
      <w:bCs/>
      <w:i/>
      <w:iCs/>
      <w:sz w:val="28"/>
      <w:szCs w:val="28"/>
      <w:lang w:val="en-NZ" w:eastAsia="en-US"/>
    </w:rPr>
  </w:style>
  <w:style w:type="character" w:customStyle="1" w:styleId="Heading3Char">
    <w:name w:val="Heading 3 Char"/>
    <w:basedOn w:val="DefaultParagraphFont"/>
    <w:link w:val="Heading3"/>
    <w:uiPriority w:val="9"/>
    <w:semiHidden/>
    <w:rsid w:val="00DD6FB1"/>
    <w:rPr>
      <w:rFonts w:asciiTheme="majorHAnsi" w:eastAsiaTheme="majorEastAsia" w:hAnsiTheme="majorHAnsi" w:cstheme="majorBidi"/>
      <w:b/>
      <w:bCs/>
      <w:sz w:val="26"/>
      <w:szCs w:val="26"/>
      <w:lang w:val="en-NZ" w:eastAsia="en-US"/>
    </w:rPr>
  </w:style>
  <w:style w:type="paragraph" w:styleId="Caption">
    <w:name w:val="caption"/>
    <w:basedOn w:val="Normal"/>
    <w:next w:val="Normal"/>
    <w:uiPriority w:val="99"/>
    <w:qFormat/>
    <w:rsid w:val="0084094F"/>
    <w:rPr>
      <w:b/>
      <w:bCs/>
      <w:szCs w:val="20"/>
    </w:rPr>
  </w:style>
  <w:style w:type="paragraph" w:styleId="Header">
    <w:name w:val="header"/>
    <w:basedOn w:val="zzBodyBase"/>
    <w:link w:val="HeaderChar"/>
    <w:uiPriority w:val="99"/>
    <w:rsid w:val="004E62E0"/>
    <w:pPr>
      <w:tabs>
        <w:tab w:val="center" w:pos="4320"/>
        <w:tab w:val="right" w:pos="8640"/>
      </w:tabs>
      <w:spacing w:line="240" w:lineRule="auto"/>
      <w:jc w:val="left"/>
    </w:pPr>
  </w:style>
  <w:style w:type="character" w:customStyle="1" w:styleId="HeaderChar">
    <w:name w:val="Header Char"/>
    <w:basedOn w:val="DefaultParagraphFont"/>
    <w:link w:val="Header"/>
    <w:uiPriority w:val="99"/>
    <w:semiHidden/>
    <w:rsid w:val="00DD6FB1"/>
    <w:rPr>
      <w:rFonts w:ascii="Arial" w:hAnsi="Arial"/>
      <w:sz w:val="20"/>
      <w:szCs w:val="24"/>
      <w:lang w:val="en-NZ" w:eastAsia="en-US"/>
    </w:rPr>
  </w:style>
  <w:style w:type="paragraph" w:styleId="Footer">
    <w:name w:val="footer"/>
    <w:basedOn w:val="zzBodyBase"/>
    <w:link w:val="FooterChar"/>
    <w:uiPriority w:val="99"/>
    <w:rsid w:val="00585C65"/>
    <w:pPr>
      <w:tabs>
        <w:tab w:val="center" w:pos="4820"/>
        <w:tab w:val="right" w:pos="9639"/>
      </w:tabs>
      <w:spacing w:line="240" w:lineRule="auto"/>
      <w:jc w:val="left"/>
    </w:pPr>
    <w:rPr>
      <w:i/>
      <w:sz w:val="18"/>
    </w:rPr>
  </w:style>
  <w:style w:type="character" w:customStyle="1" w:styleId="FooterChar">
    <w:name w:val="Footer Char"/>
    <w:basedOn w:val="DefaultParagraphFont"/>
    <w:link w:val="Footer"/>
    <w:uiPriority w:val="99"/>
    <w:semiHidden/>
    <w:rsid w:val="00DD6FB1"/>
    <w:rPr>
      <w:rFonts w:ascii="Arial" w:hAnsi="Arial"/>
      <w:sz w:val="20"/>
      <w:szCs w:val="24"/>
      <w:lang w:val="en-NZ" w:eastAsia="en-US"/>
    </w:rPr>
  </w:style>
  <w:style w:type="table" w:styleId="TableGrid">
    <w:name w:val="Table Grid"/>
    <w:basedOn w:val="TableNormal"/>
    <w:uiPriority w:val="99"/>
    <w:rsid w:val="00B359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B359A3"/>
    <w:rPr>
      <w:rFonts w:cs="Times New Roman"/>
    </w:rPr>
  </w:style>
  <w:style w:type="paragraph" w:customStyle="1" w:styleId="zzBodyBase">
    <w:name w:val="zzBodyBase"/>
    <w:uiPriority w:val="99"/>
    <w:rsid w:val="004E62E0"/>
    <w:pPr>
      <w:suppressAutoHyphens/>
      <w:spacing w:line="360" w:lineRule="auto"/>
      <w:jc w:val="both"/>
    </w:pPr>
    <w:rPr>
      <w:rFonts w:ascii="Arial" w:hAnsi="Arial"/>
      <w:sz w:val="20"/>
      <w:lang w:val="en-NZ" w:eastAsia="en-US"/>
    </w:rPr>
  </w:style>
  <w:style w:type="paragraph" w:styleId="BodyText">
    <w:name w:val="Body Text"/>
    <w:basedOn w:val="zzBodyBase"/>
    <w:link w:val="BodyTextChar"/>
    <w:uiPriority w:val="99"/>
    <w:rsid w:val="0099211F"/>
  </w:style>
  <w:style w:type="character" w:customStyle="1" w:styleId="BodyTextChar">
    <w:name w:val="Body Text Char"/>
    <w:basedOn w:val="DefaultParagraphFont"/>
    <w:link w:val="BodyText"/>
    <w:uiPriority w:val="99"/>
    <w:locked/>
    <w:rsid w:val="00180AEE"/>
    <w:rPr>
      <w:rFonts w:ascii="Arial" w:hAnsi="Arial" w:cs="Times New Roman"/>
      <w:sz w:val="22"/>
      <w:szCs w:val="22"/>
      <w:lang w:eastAsia="en-US"/>
    </w:rPr>
  </w:style>
  <w:style w:type="paragraph" w:styleId="Title">
    <w:name w:val="Title"/>
    <w:basedOn w:val="Normal"/>
    <w:link w:val="TitleChar"/>
    <w:uiPriority w:val="99"/>
    <w:qFormat/>
    <w:rsid w:val="0099211F"/>
    <w:pPr>
      <w:keepLines/>
      <w:suppressAutoHyphens/>
      <w:spacing w:after="0"/>
      <w:ind w:left="0" w:firstLine="0"/>
      <w:outlineLvl w:val="0"/>
    </w:pPr>
    <w:rPr>
      <w:rFonts w:cs="Arial"/>
      <w:b/>
      <w:bCs/>
      <w:kern w:val="28"/>
      <w:sz w:val="32"/>
      <w:szCs w:val="32"/>
    </w:rPr>
  </w:style>
  <w:style w:type="character" w:customStyle="1" w:styleId="TitleChar">
    <w:name w:val="Title Char"/>
    <w:basedOn w:val="DefaultParagraphFont"/>
    <w:link w:val="Title"/>
    <w:uiPriority w:val="10"/>
    <w:rsid w:val="00DD6FB1"/>
    <w:rPr>
      <w:rFonts w:asciiTheme="majorHAnsi" w:eastAsiaTheme="majorEastAsia" w:hAnsiTheme="majorHAnsi" w:cstheme="majorBidi"/>
      <w:b/>
      <w:bCs/>
      <w:kern w:val="28"/>
      <w:sz w:val="32"/>
      <w:szCs w:val="32"/>
      <w:lang w:val="en-NZ" w:eastAsia="en-US"/>
    </w:rPr>
  </w:style>
  <w:style w:type="paragraph" w:styleId="Date">
    <w:name w:val="Date"/>
    <w:basedOn w:val="zzBodyBase"/>
    <w:next w:val="BodyText"/>
    <w:link w:val="DateChar"/>
    <w:uiPriority w:val="99"/>
    <w:rsid w:val="00E4340A"/>
  </w:style>
  <w:style w:type="character" w:customStyle="1" w:styleId="DateChar">
    <w:name w:val="Date Char"/>
    <w:basedOn w:val="DefaultParagraphFont"/>
    <w:link w:val="Date"/>
    <w:uiPriority w:val="99"/>
    <w:semiHidden/>
    <w:rsid w:val="00DD6FB1"/>
    <w:rPr>
      <w:rFonts w:ascii="Arial" w:hAnsi="Arial"/>
      <w:sz w:val="20"/>
      <w:szCs w:val="24"/>
      <w:lang w:val="en-NZ" w:eastAsia="en-US"/>
    </w:rPr>
  </w:style>
  <w:style w:type="paragraph" w:styleId="ListBullet">
    <w:name w:val="List Bullet"/>
    <w:basedOn w:val="zzBodyBase"/>
    <w:uiPriority w:val="99"/>
    <w:rsid w:val="00E4340A"/>
    <w:pPr>
      <w:numPr>
        <w:numId w:val="3"/>
      </w:numPr>
    </w:pPr>
  </w:style>
  <w:style w:type="paragraph" w:styleId="ListNumber">
    <w:name w:val="List Number"/>
    <w:basedOn w:val="zzBodyBase"/>
    <w:uiPriority w:val="99"/>
    <w:rsid w:val="00E4340A"/>
    <w:pPr>
      <w:numPr>
        <w:numId w:val="8"/>
      </w:numPr>
      <w:tabs>
        <w:tab w:val="clear" w:pos="1209"/>
        <w:tab w:val="num" w:pos="360"/>
      </w:tabs>
      <w:ind w:left="360"/>
    </w:pPr>
  </w:style>
  <w:style w:type="paragraph" w:customStyle="1" w:styleId="ContactDetails">
    <w:name w:val="Contact Details"/>
    <w:basedOn w:val="zzBodyBase"/>
    <w:uiPriority w:val="99"/>
    <w:rsid w:val="00AE5B88"/>
    <w:pPr>
      <w:keepNext/>
      <w:keepLines/>
      <w:tabs>
        <w:tab w:val="left" w:pos="4536"/>
      </w:tabs>
      <w:spacing w:line="240" w:lineRule="auto"/>
      <w:jc w:val="left"/>
    </w:pPr>
  </w:style>
  <w:style w:type="paragraph" w:styleId="ListContinue">
    <w:name w:val="List Continue"/>
    <w:basedOn w:val="zzBodyBase"/>
    <w:uiPriority w:val="99"/>
    <w:rsid w:val="003D69FA"/>
    <w:pPr>
      <w:ind w:left="357"/>
    </w:pPr>
  </w:style>
  <w:style w:type="paragraph" w:styleId="BalloonText">
    <w:name w:val="Balloon Text"/>
    <w:basedOn w:val="Normal"/>
    <w:link w:val="BalloonTextChar"/>
    <w:uiPriority w:val="99"/>
    <w:rsid w:val="000B16E3"/>
    <w:rPr>
      <w:rFonts w:ascii="Tahoma" w:hAnsi="Tahoma" w:cs="Tahoma"/>
      <w:sz w:val="16"/>
      <w:szCs w:val="16"/>
    </w:rPr>
  </w:style>
  <w:style w:type="character" w:customStyle="1" w:styleId="BalloonTextChar">
    <w:name w:val="Balloon Text Char"/>
    <w:basedOn w:val="DefaultParagraphFont"/>
    <w:link w:val="BalloonText"/>
    <w:uiPriority w:val="99"/>
    <w:locked/>
    <w:rsid w:val="000B16E3"/>
    <w:rPr>
      <w:rFonts w:ascii="Tahoma" w:hAnsi="Tahoma" w:cs="Tahoma"/>
      <w:sz w:val="16"/>
      <w:szCs w:val="16"/>
      <w:lang w:eastAsia="en-US"/>
    </w:rPr>
  </w:style>
  <w:style w:type="table" w:styleId="TableList4">
    <w:name w:val="Table List 4"/>
    <w:basedOn w:val="TableNormal"/>
    <w:uiPriority w:val="99"/>
    <w:rsid w:val="00180AEE"/>
    <w:pPr>
      <w:spacing w:after="40"/>
      <w:ind w:left="284" w:hanging="284"/>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CommentReference">
    <w:name w:val="annotation reference"/>
    <w:basedOn w:val="DefaultParagraphFont"/>
    <w:uiPriority w:val="99"/>
    <w:rsid w:val="00180AEE"/>
    <w:rPr>
      <w:rFonts w:cs="Times New Roman"/>
      <w:sz w:val="16"/>
      <w:szCs w:val="16"/>
    </w:rPr>
  </w:style>
  <w:style w:type="paragraph" w:styleId="CommentText">
    <w:name w:val="annotation text"/>
    <w:basedOn w:val="Normal"/>
    <w:link w:val="CommentTextChar"/>
    <w:uiPriority w:val="99"/>
    <w:rsid w:val="00180AEE"/>
    <w:pPr>
      <w:widowControl w:val="0"/>
      <w:spacing w:after="0"/>
      <w:ind w:left="0" w:firstLine="0"/>
    </w:pPr>
    <w:rPr>
      <w:szCs w:val="20"/>
    </w:rPr>
  </w:style>
  <w:style w:type="character" w:customStyle="1" w:styleId="CommentTextChar">
    <w:name w:val="Comment Text Char"/>
    <w:basedOn w:val="DefaultParagraphFont"/>
    <w:link w:val="CommentText"/>
    <w:uiPriority w:val="99"/>
    <w:locked/>
    <w:rsid w:val="00180AEE"/>
    <w:rPr>
      <w:rFonts w:ascii="Arial" w:hAnsi="Arial" w:cs="Times New Roman"/>
      <w:lang w:eastAsia="en-US"/>
    </w:rPr>
  </w:style>
  <w:style w:type="paragraph" w:styleId="CommentSubject">
    <w:name w:val="annotation subject"/>
    <w:basedOn w:val="CommentText"/>
    <w:next w:val="CommentText"/>
    <w:link w:val="CommentSubjectChar"/>
    <w:uiPriority w:val="99"/>
    <w:rsid w:val="005E3EF5"/>
    <w:pPr>
      <w:widowControl/>
      <w:spacing w:after="40"/>
      <w:ind w:left="284" w:hanging="284"/>
    </w:pPr>
    <w:rPr>
      <w:b/>
      <w:bCs/>
    </w:rPr>
  </w:style>
  <w:style w:type="character" w:customStyle="1" w:styleId="CommentSubjectChar">
    <w:name w:val="Comment Subject Char"/>
    <w:basedOn w:val="CommentTextChar"/>
    <w:link w:val="CommentSubject"/>
    <w:uiPriority w:val="99"/>
    <w:locked/>
    <w:rsid w:val="005E3EF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_Secured\Templates\Communications\Media_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Media_Release.dotx</Template>
  <TotalTime>4</TotalTime>
  <Pages>6</Pages>
  <Words>1916</Words>
  <Characters>10926</Characters>
  <Application>Microsoft Office Outlook</Application>
  <DocSecurity>0</DocSecurity>
  <Lines>0</Lines>
  <Paragraphs>0</Paragraphs>
  <ScaleCrop>false</ScaleCrop>
  <Company>Solid Energy NZ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Angela Peacock</dc:creator>
  <cp:keywords/>
  <dc:description/>
  <cp:lastModifiedBy>interest</cp:lastModifiedBy>
  <cp:revision>2</cp:revision>
  <cp:lastPrinted>2013-10-03T01:37:00Z</cp:lastPrinted>
  <dcterms:created xsi:type="dcterms:W3CDTF">2013-10-04T00:44:00Z</dcterms:created>
  <dcterms:modified xsi:type="dcterms:W3CDTF">2013-10-04T00:44:00Z</dcterms:modified>
</cp:coreProperties>
</file>